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201404">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614DF021">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4728FE05">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05C9F3F0">
      <w:pPr>
        <w:pStyle w:val="2"/>
        <w:bidi w:val="0"/>
        <w:rPr>
          <w:rFonts w:hint="eastAsia"/>
          <w:color w:val="auto"/>
          <w:highlight w:val="none"/>
          <w:lang w:val="en-US" w:eastAsia="zh-CN"/>
        </w:rPr>
      </w:pPr>
      <w:r>
        <w:rPr>
          <w:rFonts w:hint="eastAsia"/>
          <w:color w:val="auto"/>
          <w:highlight w:val="none"/>
          <w:lang w:val="en-US" w:eastAsia="zh-CN"/>
        </w:rPr>
        <w:t>1.部门主要职能</w:t>
      </w:r>
    </w:p>
    <w:p w14:paraId="62B99BE9">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lang w:val="en-US" w:eastAsia="zh-CN"/>
        </w:rPr>
        <w:t>2023年，我院在</w:t>
      </w:r>
      <w:r>
        <w:rPr>
          <w:rFonts w:hint="eastAsia" w:eastAsia="仿宋_GB2312"/>
          <w:color w:val="auto"/>
          <w:szCs w:val="28"/>
          <w:highlight w:val="none"/>
          <w:lang w:val="en-US" w:eastAsia="zh-CN"/>
        </w:rPr>
        <w:t>县委、县政府</w:t>
      </w:r>
      <w:r>
        <w:rPr>
          <w:rFonts w:hint="eastAsia" w:ascii="仿宋_GB2312" w:hAnsi="仿宋_GB2312" w:eastAsia="仿宋_GB2312"/>
          <w:color w:val="auto"/>
          <w:szCs w:val="28"/>
          <w:highlight w:val="none"/>
          <w:lang w:val="en-US" w:eastAsia="zh-CN"/>
        </w:rPr>
        <w:t>的关心支持下，积极履行公立医院的社会职能，以进一步提高干部职工整体素质，提高技术水平和服务质量为目的，围绕等级医院评审标准，强化医院文化建设，确保医疗安全，改变就医环境</w:t>
      </w:r>
      <w:r>
        <w:rPr>
          <w:rFonts w:hint="eastAsia" w:ascii="仿宋_GB2312" w:hAnsi="仿宋_GB2312" w:eastAsia="仿宋_GB2312"/>
          <w:color w:val="auto"/>
          <w:szCs w:val="28"/>
          <w:highlight w:val="none"/>
        </w:rPr>
        <w:t>。主要职责是：</w:t>
      </w:r>
    </w:p>
    <w:p w14:paraId="15DD8DC2">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（1）承担全县各族人民的医疗与保健服务工作；</w:t>
      </w:r>
    </w:p>
    <w:p w14:paraId="1FA05D28">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（2）疾病预防与疾病控制，发现</w:t>
      </w:r>
      <w:r>
        <w:rPr>
          <w:rFonts w:hint="eastAsia" w:eastAsia="仿宋_GB2312"/>
          <w:color w:val="auto"/>
          <w:szCs w:val="28"/>
          <w:highlight w:val="none"/>
          <w:lang w:eastAsia="zh-CN"/>
        </w:rPr>
        <w:t>重大</w:t>
      </w:r>
      <w:r>
        <w:rPr>
          <w:rFonts w:hint="eastAsia" w:ascii="仿宋_GB2312" w:hAnsi="仿宋_GB2312" w:eastAsia="仿宋_GB2312"/>
          <w:color w:val="auto"/>
          <w:szCs w:val="28"/>
          <w:highlight w:val="none"/>
        </w:rPr>
        <w:t>感染性疾病</w:t>
      </w:r>
      <w:r>
        <w:rPr>
          <w:rFonts w:hint="eastAsia" w:eastAsia="仿宋_GB2312"/>
          <w:color w:val="auto"/>
          <w:szCs w:val="28"/>
          <w:highlight w:val="none"/>
          <w:lang w:eastAsia="zh-CN"/>
        </w:rPr>
        <w:t>及时处理</w:t>
      </w:r>
      <w:r>
        <w:rPr>
          <w:rFonts w:hint="eastAsia" w:ascii="仿宋_GB2312" w:hAnsi="仿宋_GB2312" w:eastAsia="仿宋_GB2312"/>
          <w:color w:val="auto"/>
          <w:szCs w:val="28"/>
          <w:highlight w:val="none"/>
        </w:rPr>
        <w:t>，保存相关病历及资料并及时向上级管理部门上报；</w:t>
      </w:r>
    </w:p>
    <w:p w14:paraId="03D3CAF8">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（3）各族人民卫生健康体检。包括各单位，各学校，各乡镇及地理位置较远部门等实行上门体检服务；</w:t>
      </w:r>
    </w:p>
    <w:p w14:paraId="340C2B40">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（4）指导</w:t>
      </w:r>
      <w:r>
        <w:rPr>
          <w:rFonts w:hint="eastAsia" w:eastAsia="仿宋_GB2312"/>
          <w:color w:val="auto"/>
          <w:szCs w:val="28"/>
          <w:highlight w:val="none"/>
          <w:lang w:eastAsia="zh-CN"/>
        </w:rPr>
        <w:t>各单位</w:t>
      </w:r>
      <w:r>
        <w:rPr>
          <w:rFonts w:hint="eastAsia" w:ascii="仿宋_GB2312" w:hAnsi="仿宋_GB2312" w:eastAsia="仿宋_GB2312"/>
          <w:color w:val="auto"/>
          <w:szCs w:val="28"/>
          <w:highlight w:val="none"/>
        </w:rPr>
        <w:t>学习日常中突发情况的急救措施和相应办法及处理流程；</w:t>
      </w:r>
    </w:p>
    <w:p w14:paraId="3A9CDE02">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（5）各分支机构的医疗数据、财务数据及工作重点的监管与参考；</w:t>
      </w:r>
    </w:p>
    <w:p w14:paraId="56EE4E26">
      <w:pPr>
        <w:spacing w:line="600" w:lineRule="exact"/>
        <w:ind w:firstLine="560"/>
        <w:jc w:val="left"/>
        <w:rPr>
          <w:rFonts w:ascii="仿宋_GB2312" w:hAnsi="仿宋_GB2312" w:eastAsia="仿宋_GB2312"/>
          <w:color w:val="auto"/>
          <w:szCs w:val="28"/>
          <w:highlight w:val="none"/>
        </w:rPr>
      </w:pPr>
      <w:r>
        <w:rPr>
          <w:rFonts w:hint="eastAsia" w:ascii="仿宋_GB2312" w:hAnsi="仿宋_GB2312" w:eastAsia="仿宋_GB2312"/>
          <w:color w:val="auto"/>
          <w:szCs w:val="28"/>
          <w:highlight w:val="none"/>
        </w:rPr>
        <w:t>（6）负责实施及社会层面监管下的医疗改革工作</w:t>
      </w:r>
    </w:p>
    <w:p w14:paraId="46B966BD">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61A71B1F">
      <w:pPr>
        <w:bidi w:val="0"/>
        <w:rPr>
          <w:rFonts w:hint="eastAsia" w:ascii="仿宋_GB2312" w:hAnsi="仿宋" w:eastAsia="仿宋_GB2312"/>
          <w:color w:val="auto"/>
          <w:sz w:val="32"/>
          <w:szCs w:val="32"/>
          <w:highlight w:val="none"/>
        </w:rPr>
      </w:pPr>
      <w:r>
        <w:rPr>
          <w:rFonts w:hint="eastAsia"/>
          <w:color w:val="auto"/>
          <w:highlight w:val="none"/>
          <w:lang w:val="en-US" w:eastAsia="zh-CN"/>
        </w:rPr>
        <w:t>和静县人民医院单位机构设置：无下属预算单位，</w:t>
      </w:r>
      <w:r>
        <w:rPr>
          <w:rFonts w:hint="eastAsia"/>
          <w:color w:val="auto"/>
          <w:szCs w:val="28"/>
          <w:highlight w:val="none"/>
        </w:rPr>
        <w:t>根据上述职责，</w:t>
      </w:r>
      <w:r>
        <w:rPr>
          <w:rFonts w:hint="eastAsia"/>
          <w:color w:val="auto"/>
          <w:szCs w:val="28"/>
          <w:highlight w:val="none"/>
          <w:lang w:eastAsia="zh-CN"/>
        </w:rPr>
        <w:t>和静县人民医院</w:t>
      </w:r>
      <w:r>
        <w:rPr>
          <w:rFonts w:hint="eastAsia"/>
          <w:color w:val="auto"/>
          <w:szCs w:val="28"/>
          <w:highlight w:val="none"/>
          <w:lang w:val="en-US" w:eastAsia="zh-CN"/>
        </w:rPr>
        <w:t>设有科室46个，</w:t>
      </w:r>
      <w:r>
        <w:rPr>
          <w:rFonts w:hint="eastAsia" w:ascii="仿宋_GB2312" w:hAnsi="仿宋_GB2312" w:eastAsia="仿宋_GB2312" w:cs="Times New Roman"/>
          <w:b w:val="0"/>
          <w:bCs w:val="0"/>
          <w:color w:val="auto"/>
          <w:kern w:val="2"/>
          <w:sz w:val="28"/>
          <w:szCs w:val="28"/>
          <w:highlight w:val="none"/>
          <w:lang w:val="en-US" w:eastAsia="zh-CN" w:bidi="ar-SA"/>
        </w:rPr>
        <w:t>心内科、呼吸内科、儿科、消化内分泌科、中医科、民族医学科、疼痛科、眼耳鼻喉科、普外科、神经外科、骨外科、泌尿外科、妇产科、皮肤科、急诊科、口腔科、感染性疾病科、ICU、CCU、门诊等临床科室23个，有功能科、放射科、CT、核磁室、检验科、病理科、手麻科、药剂科等医技科室7个</w:t>
      </w:r>
      <w:r>
        <w:rPr>
          <w:rFonts w:hint="eastAsia" w:eastAsia="仿宋_GB2312" w:cs="Times New Roman"/>
          <w:b w:val="0"/>
          <w:bCs w:val="0"/>
          <w:color w:val="auto"/>
          <w:kern w:val="2"/>
          <w:sz w:val="28"/>
          <w:szCs w:val="28"/>
          <w:highlight w:val="none"/>
          <w:lang w:val="en-US" w:eastAsia="zh-CN" w:bidi="ar-SA"/>
        </w:rPr>
        <w:t>，</w:t>
      </w:r>
      <w:r>
        <w:rPr>
          <w:rFonts w:hint="eastAsia"/>
          <w:color w:val="auto"/>
          <w:szCs w:val="28"/>
          <w:highlight w:val="none"/>
          <w:lang w:val="en-US" w:eastAsia="zh-CN"/>
        </w:rPr>
        <w:t>其他科室16个。</w:t>
      </w:r>
    </w:p>
    <w:p w14:paraId="5E0E607F">
      <w:pPr>
        <w:bidi w:val="0"/>
        <w:rPr>
          <w:rFonts w:hint="eastAsia"/>
          <w:color w:val="auto"/>
          <w:highlight w:val="none"/>
          <w:lang w:val="en-US" w:eastAsia="zh-CN"/>
        </w:rPr>
      </w:pPr>
      <w:r>
        <w:rPr>
          <w:rFonts w:hint="eastAsia"/>
          <w:color w:val="auto"/>
          <w:highlight w:val="none"/>
          <w:lang w:val="en-US" w:eastAsia="zh-CN"/>
        </w:rPr>
        <w:t>和静县人民医院单位人员总数786名，其中：在职237名，退休142名，离休0名、其他人员407人。实有人员786人。</w:t>
      </w:r>
    </w:p>
    <w:p w14:paraId="4B5BBAA6">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0C2610A1">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2023年1月1日至12月31日，医院实际开放床位535张，入院24734人次，出院24800人次，其中死亡96人次。手术及操作（包括手术、介入、治疗性操作、诊断性操作）5369人次，其中手术（包括手术、介入等）3160人次，三级手术849人次，四级手术79人次，危重348人次，病房抢救654人次，病房抢救成功584人次，病房抢救成功率89.30%。</w:t>
      </w:r>
    </w:p>
    <w:p w14:paraId="52B29993">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实际开放总床日数：220835，实际占用总床日数：195352，平均开放床位数605张，出院者占床总日数：194635。治愈好转率96.75%，病死率0.39%，病床周转次数40.99，出院者平均住院日7.85天，病床使用率88.46%，平均病床工作日：322.88。</w:t>
      </w:r>
    </w:p>
    <w:p w14:paraId="5783CA2C">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560" w:firstLineChars="20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门急诊169344人次，其中门诊137273人次，急诊32071人次，体检106306人次，三日确诊率92.69%，出入院诊断符合率97.29%，临床与病理诊断符合率100%，手术前后符合率100%，</w:t>
      </w:r>
    </w:p>
    <w:p w14:paraId="6F22768F">
      <w:pPr>
        <w:pStyle w:val="1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jc w:val="left"/>
        <w:rPr>
          <w:rFonts w:hint="eastAsia" w:ascii="仿宋_GB2312" w:hAnsi="仿宋_GB2312" w:eastAsia="仿宋_GB2312" w:cs="Times New Roman"/>
          <w:b w:val="0"/>
          <w:bCs w:val="0"/>
          <w:color w:val="auto"/>
          <w:kern w:val="2"/>
          <w:sz w:val="28"/>
          <w:szCs w:val="28"/>
          <w:highlight w:val="none"/>
          <w:lang w:val="en-US" w:eastAsia="zh-CN" w:bidi="ar-SA"/>
        </w:rPr>
      </w:pPr>
      <w:r>
        <w:rPr>
          <w:rFonts w:hint="eastAsia" w:ascii="仿宋_GB2312" w:hAnsi="仿宋_GB2312" w:eastAsia="仿宋_GB2312" w:cs="Times New Roman"/>
          <w:b w:val="0"/>
          <w:bCs w:val="0"/>
          <w:color w:val="auto"/>
          <w:kern w:val="2"/>
          <w:sz w:val="28"/>
          <w:szCs w:val="28"/>
          <w:highlight w:val="none"/>
          <w:lang w:val="en-US" w:eastAsia="zh-CN" w:bidi="ar-SA"/>
        </w:rPr>
        <w:t>人均住院医疗费用5089.34元。</w:t>
      </w:r>
    </w:p>
    <w:p w14:paraId="72D6F1E0">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7982585">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07DA98E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FB6A10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我单位年初预算数为19952.32 万元，实际预算执行数19952.32 万元，预算执行率为100%。</w:t>
      </w:r>
    </w:p>
    <w:p w14:paraId="4CE2D29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642876A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全年预算数为27155.05万元，全年实际支出资金27155.05万元，预算执行率为100%。</w:t>
      </w:r>
    </w:p>
    <w:p w14:paraId="39C75DCA">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19AB20D5">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19952.32</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7202.73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27155.05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36.1</w:t>
      </w:r>
      <w:r>
        <w:rPr>
          <w:rFonts w:hint="eastAsia" w:ascii="Times New Roman" w:hAnsi="Times New Roman" w:cs="Times New Roman"/>
          <w:bCs/>
          <w:color w:val="auto"/>
          <w:highlight w:val="none"/>
          <w:lang w:eastAsia="zh-CN"/>
        </w:rPr>
        <w:t>%。</w:t>
      </w:r>
    </w:p>
    <w:p w14:paraId="5E178BEE">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46295636">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27155.05</w:t>
      </w:r>
      <w:r>
        <w:rPr>
          <w:rFonts w:hint="default"/>
          <w:color w:val="auto"/>
          <w:highlight w:val="none"/>
          <w:lang w:val="en-US" w:eastAsia="zh-CN"/>
        </w:rPr>
        <w:t>万元，其中：</w:t>
      </w:r>
    </w:p>
    <w:p w14:paraId="1C7B63DA">
      <w:pPr>
        <w:bidi w:val="0"/>
        <w:rPr>
          <w:rFonts w:hint="default"/>
          <w:color w:val="auto"/>
          <w:highlight w:val="none"/>
          <w:lang w:val="en-US" w:eastAsia="zh-CN"/>
        </w:rPr>
      </w:pPr>
      <w:r>
        <w:rPr>
          <w:rFonts w:hint="default"/>
          <w:color w:val="auto"/>
          <w:highlight w:val="none"/>
          <w:lang w:val="en-US" w:eastAsia="zh-CN"/>
        </w:rPr>
        <w:t>基本支出21001</w:t>
      </w:r>
      <w:r>
        <w:rPr>
          <w:rFonts w:hint="eastAsia"/>
          <w:color w:val="auto"/>
          <w:highlight w:val="none"/>
          <w:lang w:val="en-US" w:eastAsia="zh-CN"/>
        </w:rPr>
        <w:t>.85</w:t>
      </w:r>
      <w:r>
        <w:rPr>
          <w:rFonts w:hint="default"/>
          <w:color w:val="auto"/>
          <w:highlight w:val="none"/>
          <w:lang w:val="en-US" w:eastAsia="zh-CN"/>
        </w:rPr>
        <w:t>万元，资金的使用方向为我单位机关人员经费支出</w:t>
      </w:r>
      <w:r>
        <w:rPr>
          <w:rFonts w:hint="eastAsia"/>
          <w:color w:val="auto"/>
          <w:highlight w:val="none"/>
          <w:lang w:val="en-US" w:eastAsia="zh-CN"/>
        </w:rPr>
        <w:t>7621.03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13380.82</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0891F561">
      <w:pPr>
        <w:bidi w:val="0"/>
        <w:rPr>
          <w:rFonts w:hint="default"/>
          <w:color w:val="auto"/>
          <w:highlight w:val="none"/>
          <w:lang w:val="en-US" w:eastAsia="zh-CN"/>
        </w:rPr>
      </w:pPr>
      <w:r>
        <w:rPr>
          <w:rFonts w:hint="default"/>
          <w:color w:val="auto"/>
          <w:highlight w:val="none"/>
          <w:lang w:val="en-US" w:eastAsia="zh-CN"/>
        </w:rPr>
        <w:t>项目支出共计6153</w:t>
      </w:r>
      <w:r>
        <w:rPr>
          <w:rFonts w:hint="eastAsia"/>
          <w:color w:val="auto"/>
          <w:highlight w:val="none"/>
          <w:lang w:val="en-US" w:eastAsia="zh-CN"/>
        </w:rPr>
        <w:t>.</w:t>
      </w:r>
      <w:r>
        <w:rPr>
          <w:rFonts w:hint="default"/>
          <w:color w:val="auto"/>
          <w:highlight w:val="none"/>
          <w:lang w:val="en-US" w:eastAsia="zh-CN"/>
        </w:rPr>
        <w:t>20万元，主要用于保障</w:t>
      </w:r>
      <w:r>
        <w:rPr>
          <w:rFonts w:hint="eastAsia"/>
          <w:color w:val="auto"/>
          <w:highlight w:val="none"/>
          <w:lang w:val="en-US" w:eastAsia="zh-CN"/>
        </w:rPr>
        <w:t>2023年中央医疗服务与保障能力提升（医疗卫生机构能力建设）补助资金</w:t>
      </w:r>
      <w:r>
        <w:rPr>
          <w:rFonts w:hint="default"/>
          <w:color w:val="auto"/>
          <w:highlight w:val="none"/>
          <w:lang w:val="en-US" w:eastAsia="zh-CN"/>
        </w:rPr>
        <w:t>项目、2023年中央财政医疗服务与保障能力提升（公立医院综合改革）补助资金</w:t>
      </w:r>
      <w:r>
        <w:rPr>
          <w:rFonts w:hint="eastAsia"/>
          <w:color w:val="auto"/>
          <w:highlight w:val="none"/>
          <w:lang w:val="en-US" w:eastAsia="zh-CN"/>
        </w:rPr>
        <w:t>项目、2023年度新疆人才发展基金第一批重大人才计划项目支持资金、</w:t>
      </w:r>
      <w:r>
        <w:rPr>
          <w:rFonts w:hint="default"/>
          <w:color w:val="auto"/>
          <w:highlight w:val="none"/>
          <w:lang w:val="en-US" w:eastAsia="zh-CN"/>
        </w:rPr>
        <w:t>医务一线人员临时性工作补助项目</w:t>
      </w:r>
      <w:r>
        <w:rPr>
          <w:rFonts w:hint="eastAsia"/>
          <w:color w:val="auto"/>
          <w:highlight w:val="none"/>
          <w:lang w:val="en-US" w:eastAsia="zh-CN"/>
        </w:rPr>
        <w:t>、2023年中央财政重大传染病防治补助项目、疫情期间项目资金</w:t>
      </w:r>
      <w:r>
        <w:rPr>
          <w:rFonts w:hint="default"/>
          <w:color w:val="auto"/>
          <w:highlight w:val="none"/>
          <w:lang w:val="en-US" w:eastAsia="zh-CN"/>
        </w:rPr>
        <w:t>等项目支出。</w:t>
      </w:r>
    </w:p>
    <w:p w14:paraId="728AF39B">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3F7690E9">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3EAE1603">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default"/>
          <w:color w:val="auto"/>
          <w:highlight w:val="none"/>
          <w:lang w:val="en-US" w:eastAsia="zh-CN"/>
        </w:rPr>
        <w:t>21001</w:t>
      </w:r>
      <w:r>
        <w:rPr>
          <w:rFonts w:hint="eastAsia"/>
          <w:color w:val="auto"/>
          <w:highlight w:val="none"/>
          <w:lang w:val="en-US" w:eastAsia="zh-CN"/>
        </w:rPr>
        <w:t>.85万元，全年实际支出</w:t>
      </w:r>
      <w:r>
        <w:rPr>
          <w:rFonts w:hint="default"/>
          <w:color w:val="auto"/>
          <w:highlight w:val="none"/>
          <w:lang w:val="en-US" w:eastAsia="zh-CN"/>
        </w:rPr>
        <w:t>21001</w:t>
      </w:r>
      <w:r>
        <w:rPr>
          <w:rFonts w:hint="eastAsia"/>
          <w:color w:val="auto"/>
          <w:highlight w:val="none"/>
          <w:lang w:val="en-US" w:eastAsia="zh-CN"/>
        </w:rPr>
        <w:t>.85万元，资金执行率100%。基本支出严格按照财务管理制度执行，其中：</w:t>
      </w:r>
    </w:p>
    <w:p w14:paraId="3F1E0CAD">
      <w:pPr>
        <w:bidi w:val="0"/>
        <w:rPr>
          <w:rFonts w:hint="eastAsia"/>
          <w:color w:val="auto"/>
          <w:highlight w:val="none"/>
          <w:lang w:val="en-US" w:eastAsia="zh-CN"/>
        </w:rPr>
      </w:pPr>
      <w:r>
        <w:rPr>
          <w:rFonts w:hint="eastAsia"/>
          <w:color w:val="auto"/>
          <w:highlight w:val="none"/>
          <w:lang w:val="en-US" w:eastAsia="zh-CN"/>
        </w:rPr>
        <w:t>人员经费支出7621.03万元，主要包括：基本工资、津贴补贴、奖金、绩效工资、机关事业单位基本养老保险缴费、职业年金缴费、职工基本医疗保险缴费、其他社会保障缴费、住房公积金、其他工资福利支出、生活补助等。</w:t>
      </w:r>
    </w:p>
    <w:p w14:paraId="109E2CF0">
      <w:pPr>
        <w:bidi w:val="0"/>
        <w:rPr>
          <w:rFonts w:hint="eastAsia"/>
          <w:color w:val="auto"/>
          <w:highlight w:val="none"/>
          <w:lang w:val="en-US" w:eastAsia="zh-CN"/>
        </w:rPr>
      </w:pPr>
      <w:r>
        <w:rPr>
          <w:rFonts w:hint="eastAsia"/>
          <w:color w:val="auto"/>
          <w:highlight w:val="none"/>
          <w:lang w:val="en-US" w:eastAsia="zh-CN"/>
        </w:rPr>
        <w:t>公用经费支出13380.82万元，主要包括：办公费、印刷费、水费、电费、邮电费、咨询费、手续费、取暖费、物业管理费、差旅费、培训费、租赁费、维修（护）费、其他交通费用、专用材料费、燃料费等。</w:t>
      </w:r>
    </w:p>
    <w:p w14:paraId="31E3EC24">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3C6C3D3A">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3B39827C">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其中：上级专项资金1136.13万元，本级财政资金5017.07万元</w:t>
      </w:r>
      <w:r>
        <w:rPr>
          <w:rFonts w:hint="eastAsia"/>
          <w:color w:val="auto"/>
          <w:highlight w:val="none"/>
          <w:lang w:eastAsia="zh-CN"/>
        </w:rPr>
        <w:t>。</w:t>
      </w:r>
    </w:p>
    <w:p w14:paraId="23ED7686">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43EE4B9D">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1136.13万元，其中2023年中央医疗服务与保障能力提升（医疗卫生机构能力建设）补助资金236万元</w:t>
      </w:r>
      <w:r>
        <w:rPr>
          <w:rFonts w:hint="default"/>
          <w:color w:val="auto"/>
          <w:highlight w:val="none"/>
          <w:lang w:val="en-US" w:eastAsia="zh-CN"/>
        </w:rPr>
        <w:t>、2023年中央财政医疗服务与保障能力提升（公立医院综合改革）补助资金</w:t>
      </w:r>
      <w:r>
        <w:rPr>
          <w:rFonts w:hint="eastAsia"/>
          <w:color w:val="auto"/>
          <w:highlight w:val="none"/>
          <w:lang w:val="en-US" w:eastAsia="zh-CN"/>
        </w:rPr>
        <w:t>113.7万元、2023年度新疆人才发展基金第一批重大人才计划项目支持资金100万元、</w:t>
      </w:r>
      <w:r>
        <w:rPr>
          <w:rFonts w:hint="default"/>
          <w:color w:val="auto"/>
          <w:highlight w:val="none"/>
          <w:lang w:val="en-US" w:eastAsia="zh-CN"/>
        </w:rPr>
        <w:t>医务一线人员临时性工作补助</w:t>
      </w:r>
      <w:r>
        <w:rPr>
          <w:rFonts w:hint="eastAsia"/>
          <w:color w:val="auto"/>
          <w:highlight w:val="none"/>
          <w:lang w:val="en-US" w:eastAsia="zh-CN"/>
        </w:rPr>
        <w:t>155.02万元、2023年中央财政重大传染病防治补助12.40万元、中央疫情防控财力补助资金217.01万元。2020年卫生领域中央基建投资项目302万元，项目资金全部通过财政国库集中支付方式直接拨给项目实施单位。</w:t>
      </w:r>
    </w:p>
    <w:p w14:paraId="57398783">
      <w:pPr>
        <w:pageBreakBefore w:val="0"/>
        <w:widowControl w:val="0"/>
        <w:kinsoku/>
        <w:wordWrap/>
        <w:overflowPunct/>
        <w:topLinePunct w:val="0"/>
        <w:autoSpaceDE/>
        <w:autoSpaceDN/>
        <w:bidi w:val="0"/>
        <w:adjustRightInd/>
        <w:snapToGrid/>
        <w:spacing w:line="560" w:lineRule="exact"/>
        <w:ind w:left="0" w:leftChars="0" w:firstLine="560" w:firstLineChars="200"/>
        <w:textAlignment w:val="auto"/>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2023年度新疆人才发展基金第一批重大人才计划制定实施方案，明确时间节点，开展项目规划设计、部署工作，认真落实项目任务。工作中突出重点，高标准规划、精细设计。该项目先后</w:t>
      </w:r>
      <w:r>
        <w:rPr>
          <w:rFonts w:hint="default"/>
          <w:color w:val="auto"/>
          <w:highlight w:val="none"/>
          <w:lang w:val="en-US" w:eastAsia="zh-CN"/>
        </w:rPr>
        <w:t>邀请疆外专家（含援疆专家）</w:t>
      </w:r>
      <w:r>
        <w:rPr>
          <w:rFonts w:hint="eastAsia"/>
          <w:color w:val="auto"/>
          <w:highlight w:val="none"/>
          <w:lang w:val="en-US" w:eastAsia="zh-CN"/>
        </w:rPr>
        <w:t>23</w:t>
      </w:r>
      <w:r>
        <w:rPr>
          <w:rFonts w:hint="default"/>
          <w:color w:val="auto"/>
          <w:highlight w:val="none"/>
          <w:lang w:val="en-US" w:eastAsia="zh-CN"/>
        </w:rPr>
        <w:t>人</w:t>
      </w:r>
      <w:r>
        <w:rPr>
          <w:rFonts w:hint="eastAsia"/>
          <w:color w:val="auto"/>
          <w:highlight w:val="none"/>
          <w:lang w:val="en-US" w:eastAsia="zh-CN"/>
        </w:rPr>
        <w:t>，开展</w:t>
      </w:r>
      <w:r>
        <w:rPr>
          <w:rFonts w:hint="default"/>
          <w:color w:val="auto"/>
          <w:highlight w:val="none"/>
          <w:lang w:val="en-US" w:eastAsia="zh-CN"/>
        </w:rPr>
        <w:t>院内培训场次87次，</w:t>
      </w:r>
      <w:r>
        <w:rPr>
          <w:rFonts w:hint="eastAsia"/>
          <w:color w:val="auto"/>
          <w:highlight w:val="none"/>
          <w:lang w:val="en-US" w:eastAsia="zh-CN"/>
        </w:rPr>
        <w:t>参与人次</w:t>
      </w:r>
      <w:r>
        <w:rPr>
          <w:rFonts w:hint="default"/>
          <w:color w:val="auto"/>
          <w:highlight w:val="none"/>
          <w:lang w:val="en-US" w:eastAsia="zh-CN"/>
        </w:rPr>
        <w:t>4350</w:t>
      </w:r>
      <w:r>
        <w:rPr>
          <w:rFonts w:hint="eastAsia"/>
          <w:color w:val="auto"/>
          <w:highlight w:val="none"/>
          <w:lang w:val="en-US" w:eastAsia="zh-CN"/>
        </w:rPr>
        <w:t>次，先后派出4批、</w:t>
      </w:r>
      <w:r>
        <w:rPr>
          <w:rFonts w:hint="default"/>
          <w:color w:val="auto"/>
          <w:highlight w:val="none"/>
          <w:lang w:val="en-US" w:eastAsia="zh-CN"/>
        </w:rPr>
        <w:t>41</w:t>
      </w:r>
      <w:r>
        <w:rPr>
          <w:rFonts w:hint="eastAsia"/>
          <w:color w:val="auto"/>
          <w:highlight w:val="none"/>
          <w:lang w:val="en-US" w:eastAsia="zh-CN"/>
        </w:rPr>
        <w:t>进修学习。</w:t>
      </w:r>
      <w:r>
        <w:rPr>
          <w:rFonts w:hint="default"/>
          <w:color w:val="auto"/>
          <w:highlight w:val="none"/>
          <w:lang w:val="en-US" w:eastAsia="zh-CN"/>
        </w:rPr>
        <w:t>具体成果</w:t>
      </w:r>
      <w:r>
        <w:rPr>
          <w:rFonts w:hint="eastAsia"/>
          <w:color w:val="auto"/>
          <w:highlight w:val="none"/>
          <w:lang w:val="en-US" w:eastAsia="zh-CN"/>
        </w:rPr>
        <w:t>及事例：2023年7月28日，和静县人民医院神经医学科团队在河北邯郸援疆专家韩亚非主任、郭鹏主任的带领下开展了我院首例行经桡动脉穿刺全脑血管造影术；2023年9月6日，邯郸市援疆医疗专家赴新疆生产建设兵团</w:t>
      </w:r>
      <w:bookmarkStart w:id="6" w:name="_GoBack"/>
      <w:bookmarkEnd w:id="6"/>
      <w:r>
        <w:rPr>
          <w:rFonts w:hint="eastAsia"/>
          <w:color w:val="auto"/>
          <w:highlight w:val="none"/>
          <w:lang w:val="en-US" w:eastAsia="zh-CN"/>
        </w:rPr>
        <w:t>第二师二十二团河畔镇开展惠民义诊；</w:t>
      </w:r>
      <w:r>
        <w:rPr>
          <w:rFonts w:hint="default"/>
          <w:color w:val="auto"/>
          <w:highlight w:val="none"/>
          <w:lang w:val="en-US" w:eastAsia="zh-CN"/>
        </w:rPr>
        <w:t>2023年9月14日，</w:t>
      </w:r>
      <w:r>
        <w:rPr>
          <w:rFonts w:hint="eastAsia"/>
          <w:color w:val="auto"/>
          <w:highlight w:val="none"/>
          <w:lang w:val="en-US" w:eastAsia="zh-CN"/>
        </w:rPr>
        <w:t>和静县人民医院</w:t>
      </w:r>
      <w:r>
        <w:rPr>
          <w:rFonts w:hint="default"/>
          <w:color w:val="auto"/>
          <w:highlight w:val="none"/>
          <w:lang w:val="en-US" w:eastAsia="zh-CN"/>
        </w:rPr>
        <w:t>皮肤科团队在河北邯郸援疆专家袁好军主任的带领下开展了“左面部肿物切除术+（旋转+易位）皮瓣切取移植术”；</w:t>
      </w:r>
      <w:r>
        <w:rPr>
          <w:rFonts w:hint="eastAsia"/>
          <w:color w:val="auto"/>
          <w:highlight w:val="none"/>
          <w:lang w:val="en-US" w:eastAsia="zh-CN"/>
        </w:rPr>
        <w:t>2023年9月23日下午，和静县人民医院柔性援疆专家袁好军主任在行政楼五楼会议室讲授专题党课；</w:t>
      </w:r>
      <w:r>
        <w:rPr>
          <w:rFonts w:hint="default"/>
          <w:color w:val="auto"/>
          <w:highlight w:val="none"/>
          <w:lang w:val="en-US" w:eastAsia="zh-CN"/>
        </w:rPr>
        <w:t>2023年10月初，在援疆专家张振翼院长的带领下，</w:t>
      </w:r>
      <w:r>
        <w:rPr>
          <w:rFonts w:hint="eastAsia"/>
          <w:color w:val="auto"/>
          <w:highlight w:val="none"/>
          <w:lang w:val="en-US" w:eastAsia="zh-CN"/>
        </w:rPr>
        <w:t>和静县人民医院</w:t>
      </w:r>
      <w:r>
        <w:rPr>
          <w:rFonts w:hint="default"/>
          <w:color w:val="auto"/>
          <w:highlight w:val="none"/>
          <w:lang w:val="en-US" w:eastAsia="zh-CN"/>
        </w:rPr>
        <w:t>完成首例肝包虫微创手术该技术的开展填补了我院普通外科微创治疗肝包虫技术空白；2023年12月10日，</w:t>
      </w:r>
      <w:r>
        <w:rPr>
          <w:rFonts w:hint="eastAsia"/>
          <w:color w:val="auto"/>
          <w:highlight w:val="none"/>
          <w:lang w:val="en-US" w:eastAsia="zh-CN"/>
        </w:rPr>
        <w:t>和静县人民医院</w:t>
      </w:r>
      <w:r>
        <w:rPr>
          <w:rFonts w:hint="default"/>
          <w:color w:val="auto"/>
          <w:highlight w:val="none"/>
          <w:lang w:val="en-US" w:eastAsia="zh-CN"/>
        </w:rPr>
        <w:t>在院领导的大力支持下，消化内科患者经过多学科诊疗，在河北邯郸中心医院血管介入科许军廷主任联合神经医学科、重症医学科、输血科等在介入室完成首例上消化道大出血的动脉栓塞治疗</w:t>
      </w:r>
      <w:r>
        <w:rPr>
          <w:rFonts w:hint="eastAsia"/>
          <w:color w:val="auto"/>
          <w:highlight w:val="none"/>
          <w:lang w:val="en-US" w:eastAsia="zh-CN"/>
        </w:rPr>
        <w:t>；2023年</w:t>
      </w:r>
      <w:r>
        <w:rPr>
          <w:rFonts w:hint="default"/>
          <w:color w:val="auto"/>
          <w:highlight w:val="none"/>
          <w:lang w:val="en-US" w:eastAsia="zh-CN"/>
        </w:rPr>
        <w:t>12月14日，</w:t>
      </w:r>
      <w:r>
        <w:rPr>
          <w:rFonts w:hint="eastAsia"/>
          <w:color w:val="auto"/>
          <w:highlight w:val="none"/>
          <w:lang w:val="en-US" w:eastAsia="zh-CN"/>
        </w:rPr>
        <w:t>和静县人民医院</w:t>
      </w:r>
      <w:r>
        <w:rPr>
          <w:rFonts w:hint="default"/>
          <w:color w:val="auto"/>
          <w:highlight w:val="none"/>
          <w:lang w:val="en-US" w:eastAsia="zh-CN"/>
        </w:rPr>
        <w:t>呼吸内科在张振翼院长的指导及河北邯郸援疆专家杨庚武主任、许军廷主任的带领下成功开展</w:t>
      </w:r>
      <w:r>
        <w:rPr>
          <w:rFonts w:hint="eastAsia"/>
          <w:color w:val="auto"/>
          <w:highlight w:val="none"/>
          <w:lang w:val="en-US" w:eastAsia="zh-CN"/>
        </w:rPr>
        <w:t>院内首例</w:t>
      </w:r>
      <w:r>
        <w:rPr>
          <w:rFonts w:hint="default"/>
          <w:color w:val="auto"/>
          <w:highlight w:val="none"/>
          <w:lang w:val="en-US" w:eastAsia="zh-CN"/>
        </w:rPr>
        <w:t>CT引导下的经皮肺组织穿刺活检术。该手术的成功开展，标志</w:t>
      </w:r>
      <w:r>
        <w:rPr>
          <w:rFonts w:hint="eastAsia"/>
          <w:color w:val="auto"/>
          <w:highlight w:val="none"/>
          <w:lang w:val="en-US" w:eastAsia="zh-CN"/>
        </w:rPr>
        <w:t>和静县人民医院肺部疾病</w:t>
      </w:r>
      <w:r>
        <w:rPr>
          <w:rFonts w:hint="default"/>
          <w:color w:val="auto"/>
          <w:highlight w:val="none"/>
          <w:lang w:val="en-US" w:eastAsia="zh-CN"/>
        </w:rPr>
        <w:t>诊疗技术再上新台阶。</w:t>
      </w:r>
    </w:p>
    <w:p w14:paraId="48A00973">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5D809B45">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val="en-US" w:eastAsia="zh-CN"/>
        </w:rPr>
        <w:t>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6153</w:t>
      </w:r>
      <w:r>
        <w:rPr>
          <w:rFonts w:hint="eastAsia"/>
          <w:color w:val="auto"/>
          <w:highlight w:val="none"/>
          <w:lang w:val="en-US" w:eastAsia="zh-CN"/>
        </w:rPr>
        <w:t>.</w:t>
      </w:r>
      <w:r>
        <w:rPr>
          <w:rFonts w:hint="default"/>
          <w:color w:val="auto"/>
          <w:highlight w:val="none"/>
          <w:lang w:val="en-US" w:eastAsia="zh-CN"/>
        </w:rPr>
        <w:t>20</w:t>
      </w:r>
      <w:r>
        <w:rPr>
          <w:rFonts w:hint="eastAsia"/>
          <w:color w:val="auto"/>
          <w:highlight w:val="none"/>
          <w:lang w:eastAsia="zh-CN"/>
        </w:rPr>
        <w:t>万元，</w:t>
      </w:r>
      <w:r>
        <w:rPr>
          <w:rFonts w:hint="eastAsia"/>
          <w:color w:val="auto"/>
          <w:highlight w:val="none"/>
          <w:lang w:val="en-US" w:eastAsia="zh-CN"/>
        </w:rPr>
        <w:t>其中：上级专项资金支出1136.13万元，本级财政资金5017.07万元，项目预算资金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14:paraId="4B86E611">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包括卫生健康管理事务</w:t>
      </w:r>
      <w:r>
        <w:rPr>
          <w:rFonts w:hint="eastAsia"/>
          <w:color w:val="auto"/>
          <w:highlight w:val="none"/>
          <w:lang w:val="en-US" w:eastAsia="zh-CN"/>
        </w:rPr>
        <w:t>支出231.6</w:t>
      </w:r>
      <w:r>
        <w:rPr>
          <w:rFonts w:hint="default"/>
          <w:color w:val="auto"/>
          <w:highlight w:val="none"/>
          <w:lang w:val="en-US" w:eastAsia="zh-CN"/>
        </w:rPr>
        <w:t>万元，公共卫生支出</w:t>
      </w:r>
      <w:r>
        <w:rPr>
          <w:rFonts w:hint="eastAsia"/>
          <w:color w:val="auto"/>
          <w:highlight w:val="none"/>
          <w:lang w:val="en-US" w:eastAsia="zh-CN"/>
        </w:rPr>
        <w:t>5438.85</w:t>
      </w:r>
      <w:r>
        <w:rPr>
          <w:rFonts w:hint="default"/>
          <w:color w:val="auto"/>
          <w:highlight w:val="none"/>
          <w:lang w:val="en-US" w:eastAsia="zh-CN"/>
        </w:rPr>
        <w:t>万元，</w:t>
      </w:r>
      <w:r>
        <w:rPr>
          <w:rFonts w:hint="eastAsia"/>
          <w:color w:val="auto"/>
          <w:highlight w:val="none"/>
          <w:lang w:val="en-US" w:eastAsia="zh-CN"/>
        </w:rPr>
        <w:t>公共卫生</w:t>
      </w:r>
      <w:r>
        <w:rPr>
          <w:rFonts w:hint="default"/>
          <w:color w:val="auto"/>
          <w:highlight w:val="none"/>
          <w:lang w:val="en-US" w:eastAsia="zh-CN"/>
        </w:rPr>
        <w:t>支出</w:t>
      </w:r>
      <w:r>
        <w:rPr>
          <w:rFonts w:hint="eastAsia"/>
          <w:color w:val="auto"/>
          <w:highlight w:val="none"/>
          <w:lang w:val="en-US" w:eastAsia="zh-CN"/>
        </w:rPr>
        <w:t>482.75</w:t>
      </w:r>
      <w:r>
        <w:rPr>
          <w:rFonts w:hint="default"/>
          <w:color w:val="auto"/>
          <w:highlight w:val="none"/>
          <w:lang w:val="en-US" w:eastAsia="zh-CN"/>
        </w:rPr>
        <w:t>万元</w:t>
      </w:r>
      <w:r>
        <w:rPr>
          <w:rFonts w:hint="eastAsia"/>
          <w:color w:val="auto"/>
          <w:highlight w:val="none"/>
          <w:lang w:val="en-US" w:eastAsia="zh-CN"/>
        </w:rPr>
        <w:t>。</w:t>
      </w:r>
    </w:p>
    <w:bookmarkEnd w:id="2"/>
    <w:p w14:paraId="6FCB06AF">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B3F4140">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99.84</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6A7C312B">
      <w:pPr>
        <w:pStyle w:val="4"/>
        <w:numPr>
          <w:ilvl w:val="0"/>
          <w:numId w:val="1"/>
        </w:numPr>
        <w:bidi w:val="0"/>
        <w:rPr>
          <w:color w:val="auto"/>
          <w:highlight w:val="none"/>
        </w:rPr>
      </w:pPr>
      <w:r>
        <w:rPr>
          <w:rFonts w:hint="eastAsia"/>
          <w:color w:val="auto"/>
          <w:highlight w:val="none"/>
          <w:lang w:val="en-US" w:eastAsia="zh-CN"/>
        </w:rPr>
        <w:t>项目支出预算执行率</w:t>
      </w:r>
      <w:r>
        <w:rPr>
          <w:rFonts w:hint="eastAsia"/>
          <w:color w:val="auto"/>
          <w:highlight w:val="none"/>
        </w:rPr>
        <w:t>指标完成情况分析</w:t>
      </w:r>
    </w:p>
    <w:p w14:paraId="0AC07CF4">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项目支出预算执行率指标年初设定目标是=100%，年中绩效运行监控时完成值49.55%，年终实际完成值是100%，指标完成率是100%，达到了资金合理分配和使用的预期目标。偏差原因：无偏差。</w:t>
      </w:r>
    </w:p>
    <w:p w14:paraId="400BB440">
      <w:pPr>
        <w:pStyle w:val="4"/>
        <w:numPr>
          <w:ilvl w:val="0"/>
          <w:numId w:val="1"/>
        </w:numPr>
        <w:bidi w:val="0"/>
        <w:rPr>
          <w:color w:val="auto"/>
          <w:highlight w:val="none"/>
        </w:rPr>
      </w:pPr>
      <w:r>
        <w:rPr>
          <w:rFonts w:hint="eastAsia"/>
          <w:color w:val="auto"/>
          <w:highlight w:val="none"/>
          <w:lang w:val="en-US" w:eastAsia="zh-CN"/>
        </w:rPr>
        <w:t>“三公经费”控制率</w:t>
      </w:r>
      <w:r>
        <w:rPr>
          <w:rFonts w:hint="eastAsia"/>
          <w:color w:val="auto"/>
          <w:highlight w:val="none"/>
        </w:rPr>
        <w:t>指标完成情况分析</w:t>
      </w:r>
    </w:p>
    <w:p w14:paraId="642077B9">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“三公经费”控制率指标年初设定目标是=100%，年中绩效运行监控时完成值100%，年终实际完成值是100%，指标完成率是100%，达到了“三公经费”合理控制的预期目标。偏差原因：无偏差。</w:t>
      </w:r>
    </w:p>
    <w:p w14:paraId="721F16B4">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（三）工作队人员经费保障人数指标完成情况分析</w:t>
      </w:r>
    </w:p>
    <w:p w14:paraId="1F2773CB">
      <w:pPr>
        <w:rPr>
          <w:rFonts w:hint="eastAsia"/>
          <w:color w:val="auto"/>
          <w:highlight w:val="none"/>
          <w:lang w:val="en-US" w:eastAsia="zh-CN"/>
        </w:rPr>
      </w:pPr>
      <w:r>
        <w:rPr>
          <w:rFonts w:hint="eastAsia"/>
          <w:color w:val="auto"/>
          <w:highlight w:val="none"/>
          <w:lang w:val="en-US" w:eastAsia="zh-CN"/>
        </w:rPr>
        <w:t>工作队人员经费保障人数指标年初设定目标是&gt;=3人，年中绩效运行监控时完成值3人，年终实际完成值是100%，指标完成率是100%，保障了工作队人员的生活保障的预期目标。偏差原因：无偏差。</w:t>
      </w:r>
    </w:p>
    <w:p w14:paraId="05C6DD9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（四）在职人员经费保障人数指标完成情况分析</w:t>
      </w:r>
    </w:p>
    <w:p w14:paraId="661386CC">
      <w:pPr>
        <w:pStyle w:val="4"/>
        <w:numPr>
          <w:ilvl w:val="0"/>
          <w:numId w:val="0"/>
        </w:numPr>
        <w:bidi w:val="0"/>
        <w:ind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在职人员经费保障人数指标年初设定目标是&gt;=242人，年中绩效运行监控时完成值242人，年终实际完成值是237</w:t>
      </w:r>
      <w:r>
        <w:rPr>
          <w:rFonts w:hint="eastAsia" w:cs="仿宋_GB2312"/>
          <w:b w:val="0"/>
          <w:bCs w:val="0"/>
          <w:color w:val="auto"/>
          <w:kern w:val="2"/>
          <w:sz w:val="28"/>
          <w:szCs w:val="24"/>
          <w:highlight w:val="none"/>
          <w:lang w:val="en-US" w:eastAsia="zh-CN" w:bidi="ar-SA"/>
        </w:rPr>
        <w:t>人</w:t>
      </w:r>
      <w:r>
        <w:rPr>
          <w:rFonts w:hint="eastAsia" w:ascii="仿宋_GB2312" w:hAnsi="仿宋_GB2312" w:eastAsia="仿宋" w:cs="仿宋_GB2312"/>
          <w:b w:val="0"/>
          <w:bCs w:val="0"/>
          <w:color w:val="auto"/>
          <w:kern w:val="2"/>
          <w:sz w:val="28"/>
          <w:szCs w:val="24"/>
          <w:highlight w:val="none"/>
          <w:lang w:val="en-US" w:eastAsia="zh-CN" w:bidi="ar-SA"/>
        </w:rPr>
        <w:t>，指标完成率是97.87%，达到了职工人员工资按时发放、社保按时缴纳的预期目标。偏差原因：在职人员有调动，使年初目标与年终实际完成值有偏差</w:t>
      </w:r>
      <w:r>
        <w:rPr>
          <w:rFonts w:hint="eastAsia"/>
          <w:color w:val="auto"/>
          <w:highlight w:val="none"/>
          <w:lang w:val="en-US" w:eastAsia="zh-CN"/>
        </w:rPr>
        <w:t>。</w:t>
      </w:r>
    </w:p>
    <w:p w14:paraId="66820D4C">
      <w:pPr>
        <w:ind w:left="0" w:leftChars="0" w:firstLine="0" w:firstLineChars="0"/>
        <w:rPr>
          <w:rFonts w:hint="eastAsia"/>
          <w:color w:val="auto"/>
          <w:highlight w:val="none"/>
          <w:lang w:val="en-US" w:eastAsia="zh-CN"/>
        </w:rPr>
      </w:pPr>
      <w:r>
        <w:rPr>
          <w:rFonts w:hint="eastAsia"/>
          <w:color w:val="auto"/>
          <w:highlight w:val="none"/>
          <w:lang w:val="en-US" w:eastAsia="zh-CN"/>
        </w:rPr>
        <w:t>改进措施：年初预算时充分考虑多方面因素，使预算更加精确。</w:t>
      </w:r>
    </w:p>
    <w:p w14:paraId="0EE854F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（五）退休职工经费保障人数指标完成情况分析</w:t>
      </w:r>
    </w:p>
    <w:p w14:paraId="3ECC247E">
      <w:pPr>
        <w:ind w:left="0" w:leftChars="0" w:firstLine="560" w:firstLineChars="200"/>
        <w:rPr>
          <w:rFonts w:hint="eastAsia"/>
          <w:color w:val="auto"/>
          <w:highlight w:val="none"/>
          <w:lang w:val="en-US" w:eastAsia="zh-CN"/>
        </w:rPr>
      </w:pPr>
      <w:r>
        <w:rPr>
          <w:rFonts w:hint="eastAsia"/>
          <w:color w:val="auto"/>
          <w:highlight w:val="none"/>
          <w:lang w:val="en-US" w:eastAsia="zh-CN"/>
        </w:rPr>
        <w:t>退休职工经费保障人数指标年初设定目标是&gt;=141人，年中绩效运行监控时完成值140人，年终实际完成值是142人，指标完成率是100%，达到退休职工经费按时发放的预期目标偏</w:t>
      </w:r>
      <w:r>
        <w:rPr>
          <w:rFonts w:hint="eastAsia" w:ascii="仿宋_GB2312" w:hAnsi="仿宋_GB2312" w:eastAsia="仿宋" w:cs="仿宋_GB2312"/>
          <w:b w:val="0"/>
          <w:bCs w:val="0"/>
          <w:color w:val="auto"/>
          <w:kern w:val="2"/>
          <w:sz w:val="28"/>
          <w:szCs w:val="24"/>
          <w:highlight w:val="none"/>
          <w:lang w:val="en-US" w:eastAsia="zh-CN" w:bidi="ar-SA"/>
        </w:rPr>
        <w:t>差原因：</w:t>
      </w:r>
      <w:r>
        <w:rPr>
          <w:rFonts w:hint="eastAsia"/>
          <w:color w:val="auto"/>
          <w:highlight w:val="none"/>
          <w:lang w:val="en-US" w:eastAsia="zh-CN"/>
        </w:rPr>
        <w:t>无偏差。</w:t>
      </w:r>
    </w:p>
    <w:p w14:paraId="6F1F6219">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（六）年度医疗服务人次指标完成情况分析</w:t>
      </w:r>
    </w:p>
    <w:p w14:paraId="5C2ADE95">
      <w:pPr>
        <w:ind w:left="0" w:leftChars="0" w:firstLine="560" w:firstLineChars="200"/>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年度医疗服务</w:t>
      </w:r>
      <w:r>
        <w:rPr>
          <w:rFonts w:hint="eastAsia" w:cs="仿宋_GB2312"/>
          <w:b w:val="0"/>
          <w:bCs w:val="0"/>
          <w:color w:val="auto"/>
          <w:kern w:val="2"/>
          <w:sz w:val="28"/>
          <w:szCs w:val="24"/>
          <w:highlight w:val="none"/>
          <w:lang w:val="en-US" w:eastAsia="zh-CN" w:bidi="ar-SA"/>
        </w:rPr>
        <w:t>人次</w:t>
      </w:r>
      <w:r>
        <w:rPr>
          <w:rFonts w:hint="eastAsia" w:ascii="仿宋_GB2312" w:hAnsi="仿宋_GB2312" w:eastAsia="仿宋" w:cs="仿宋_GB2312"/>
          <w:b w:val="0"/>
          <w:bCs w:val="0"/>
          <w:color w:val="auto"/>
          <w:kern w:val="2"/>
          <w:sz w:val="28"/>
          <w:szCs w:val="24"/>
          <w:highlight w:val="none"/>
          <w:lang w:val="en-US" w:eastAsia="zh-CN" w:bidi="ar-SA"/>
        </w:rPr>
        <w:t>指标年初设定目标是&gt;=245158人次，年中绩效运行监控时完成值153666人次，年终实际完成值是275650人次，指标完成率是</w:t>
      </w:r>
      <w:r>
        <w:rPr>
          <w:rFonts w:hint="eastAsia" w:cs="仿宋_GB2312"/>
          <w:b w:val="0"/>
          <w:bCs w:val="0"/>
          <w:color w:val="auto"/>
          <w:kern w:val="2"/>
          <w:sz w:val="28"/>
          <w:szCs w:val="24"/>
          <w:highlight w:val="none"/>
          <w:lang w:val="en-US" w:eastAsia="zh-CN" w:bidi="ar-SA"/>
        </w:rPr>
        <w:t>112.44</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门诊量增加，医疗收入增加</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6B0E0E5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509881DE">
      <w:pPr>
        <w:numPr>
          <w:ilvl w:val="0"/>
          <w:numId w:val="0"/>
        </w:numPr>
        <w:ind w:firstLine="560" w:firstLineChars="200"/>
        <w:rPr>
          <w:rFonts w:hint="eastAsia"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人员经费足额发放率指标年初设定目标是=100%，年中绩效运行监控时完成值100%，年终实际完成值是100%，指标完成率是100%，</w:t>
      </w:r>
      <w:r>
        <w:rPr>
          <w:rFonts w:hint="eastAsia" w:cs="仿宋_GB2312"/>
          <w:b w:val="0"/>
          <w:bCs w:val="0"/>
          <w:color w:val="auto"/>
          <w:kern w:val="2"/>
          <w:sz w:val="28"/>
          <w:szCs w:val="24"/>
          <w:highlight w:val="none"/>
          <w:lang w:val="en-US" w:eastAsia="zh-CN" w:bidi="ar-SA"/>
        </w:rPr>
        <w:t>保障了职工的生活保障的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4043ABF9">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51A1509F">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药品差价政策执行率指标年初设定目标是=100%，年中绩效运行监控时完成值100%，年终实际完成值是100%，指标完成率是100%，达到</w:t>
      </w:r>
      <w:r>
        <w:rPr>
          <w:rFonts w:hint="eastAsia" w:cs="仿宋_GB2312"/>
          <w:b w:val="0"/>
          <w:bCs w:val="0"/>
          <w:color w:val="auto"/>
          <w:kern w:val="2"/>
          <w:sz w:val="28"/>
          <w:szCs w:val="24"/>
          <w:highlight w:val="none"/>
          <w:lang w:val="en-US" w:eastAsia="zh-CN" w:bidi="ar-SA"/>
        </w:rPr>
        <w:t>了严格执行药品零差价相关政策的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75FF44C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（九）医疗废弃物处置率指标完成情况分析</w:t>
      </w:r>
    </w:p>
    <w:p w14:paraId="68759BAC">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医疗废弃物处置率指标年初设定目标是&gt;=</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w:t>
      </w:r>
      <w:r>
        <w:rPr>
          <w:rFonts w:hint="eastAsia" w:ascii="仿宋_GB2312" w:hAnsi="仿宋_GB2312" w:eastAsia="仿宋" w:cs="仿宋_GB2312"/>
          <w:b w:val="0"/>
          <w:bCs w:val="0"/>
          <w:color w:val="auto"/>
          <w:kern w:val="2"/>
          <w:sz w:val="28"/>
          <w:szCs w:val="24"/>
          <w:highlight w:val="none"/>
          <w:lang w:val="en-US" w:eastAsia="zh-CN" w:bidi="ar-SA"/>
        </w:rPr>
        <w:t>0</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，年终实际完成值是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严格执行了医疗废物处置制度</w:t>
      </w:r>
      <w:r>
        <w:rPr>
          <w:rFonts w:hint="eastAsia" w:ascii="仿宋_GB2312" w:hAnsi="仿宋_GB2312" w:eastAsia="仿宋" w:cs="仿宋_GB2312"/>
          <w:b w:val="0"/>
          <w:bCs w:val="0"/>
          <w:color w:val="auto"/>
          <w:kern w:val="2"/>
          <w:sz w:val="28"/>
          <w:szCs w:val="24"/>
          <w:highlight w:val="none"/>
          <w:lang w:val="en-US" w:eastAsia="zh-CN" w:bidi="ar-SA"/>
        </w:rPr>
        <w:t>。偏差原因：无偏差</w:t>
      </w:r>
      <w:r>
        <w:rPr>
          <w:rFonts w:hint="eastAsia" w:cs="仿宋_GB2312"/>
          <w:b w:val="0"/>
          <w:bCs w:val="0"/>
          <w:color w:val="auto"/>
          <w:kern w:val="2"/>
          <w:sz w:val="28"/>
          <w:szCs w:val="24"/>
          <w:highlight w:val="none"/>
          <w:lang w:val="en-US" w:eastAsia="zh-CN" w:bidi="ar-SA"/>
        </w:rPr>
        <w:t>。</w:t>
      </w:r>
    </w:p>
    <w:p w14:paraId="4A746A0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0E9EF0F8">
      <w:pPr>
        <w:bidi w:val="0"/>
        <w:rPr>
          <w:rFonts w:hint="eastAsia"/>
          <w:color w:val="auto"/>
          <w:highlight w:val="none"/>
          <w:lang w:val="en-US" w:eastAsia="zh-CN"/>
        </w:rPr>
      </w:pPr>
      <w:r>
        <w:rPr>
          <w:rFonts w:hint="eastAsia"/>
          <w:color w:val="auto"/>
          <w:highlight w:val="none"/>
          <w:lang w:val="en-US" w:eastAsia="zh-CN"/>
        </w:rPr>
        <w:t>医保政策知晓率指标年初设定目标是&gt;=85%，年中绩效运行监控时完成值90%，年终实际完成值是85%，指标完成率是100%，提高了居民对医保政策的理解和信任的预期目标。偏差原因：无偏差。</w:t>
      </w:r>
    </w:p>
    <w:p w14:paraId="33820EB5">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（十一）居民满意度指标完成情况分析</w:t>
      </w:r>
    </w:p>
    <w:p w14:paraId="054DEE00">
      <w:pPr>
        <w:bidi w:val="0"/>
        <w:rPr>
          <w:rFonts w:hint="eastAsia"/>
          <w:color w:val="auto"/>
          <w:highlight w:val="none"/>
          <w:lang w:val="en-US" w:eastAsia="zh-CN"/>
        </w:rPr>
      </w:pPr>
      <w:r>
        <w:rPr>
          <w:rFonts w:hint="eastAsia"/>
          <w:color w:val="auto"/>
          <w:highlight w:val="none"/>
          <w:lang w:val="en-US" w:eastAsia="zh-CN"/>
        </w:rPr>
        <w:t>居民满意度指标年初设定目标是85%，年中绩效运行监控时完成值未达监控节点，年终实际完成值是99.72%，指标完成率是100%，提升了患者满意度和就诊体验的预期目标。偏差原因：无偏差。</w:t>
      </w:r>
    </w:p>
    <w:p w14:paraId="51F5A356">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（十二）职工满意度指标完成情况分析</w:t>
      </w:r>
    </w:p>
    <w:p w14:paraId="454A0A5A">
      <w:pPr>
        <w:bidi w:val="0"/>
        <w:ind w:left="0" w:leftChars="0" w:firstLine="560" w:firstLineChars="200"/>
        <w:rPr>
          <w:rFonts w:hint="eastAsia"/>
          <w:color w:val="auto"/>
          <w:highlight w:val="none"/>
          <w:lang w:val="en-US" w:eastAsia="zh-CN"/>
        </w:rPr>
      </w:pPr>
      <w:r>
        <w:rPr>
          <w:rFonts w:hint="eastAsia"/>
          <w:color w:val="auto"/>
          <w:highlight w:val="none"/>
          <w:lang w:val="en-US" w:eastAsia="zh-CN"/>
        </w:rPr>
        <w:t>职工满意度指标年初设定目标是&gt;=90%，年中绩效运行监控时完成值未达监控节点，年终实际完成值是90%，指标完成率是100%，增强了员工的积极性，提高了工作效率，减少人员流失的预期目标。偏差原因：无偏差。</w:t>
      </w:r>
    </w:p>
    <w:p w14:paraId="2231BCA4">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9BBB1F5">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99.84</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2DF71728">
      <w:pPr>
        <w:snapToGrid w:val="0"/>
        <w:spacing w:line="600" w:lineRule="exact"/>
        <w:ind w:firstLine="560" w:firstLineChars="200"/>
        <w:rPr>
          <w:rFonts w:hint="default" w:ascii="仿宋_GB2312" w:hAnsi="仿宋_GB2312" w:eastAsia="仿宋_GB2312" w:cs="仿宋_GB2312"/>
          <w:color w:val="auto"/>
          <w:sz w:val="28"/>
          <w:szCs w:val="28"/>
          <w:highlight w:val="none"/>
          <w:lang w:val="en-US" w:eastAsia="zh-CN" w:bidi="ar-SA"/>
        </w:rPr>
      </w:pPr>
      <w:bookmarkStart w:id="4" w:name="_Toc22800_WPSOffice_Level1"/>
      <w:r>
        <w:rPr>
          <w:rFonts w:hint="eastAsia" w:ascii="仿宋_GB2312" w:hAnsi="仿宋_GB2312" w:eastAsia="仿宋_GB2312" w:cs="仿宋_GB2312"/>
          <w:color w:val="auto"/>
          <w:sz w:val="28"/>
          <w:szCs w:val="28"/>
          <w:highlight w:val="none"/>
          <w:lang w:val="en-US" w:eastAsia="zh-CN" w:bidi="ar-SA"/>
        </w:rPr>
        <w:t>202</w:t>
      </w:r>
      <w:r>
        <w:rPr>
          <w:rFonts w:hint="eastAsia" w:eastAsia="仿宋_GB2312" w:cs="仿宋_GB2312"/>
          <w:color w:val="auto"/>
          <w:sz w:val="28"/>
          <w:szCs w:val="28"/>
          <w:highlight w:val="none"/>
          <w:lang w:val="en-US" w:eastAsia="zh-CN" w:bidi="ar-SA"/>
        </w:rPr>
        <w:t>3</w:t>
      </w:r>
      <w:r>
        <w:rPr>
          <w:rFonts w:hint="eastAsia" w:ascii="仿宋_GB2312" w:hAnsi="仿宋_GB2312" w:eastAsia="仿宋_GB2312" w:cs="仿宋_GB2312"/>
          <w:color w:val="auto"/>
          <w:sz w:val="28"/>
          <w:szCs w:val="28"/>
          <w:highlight w:val="none"/>
          <w:lang w:val="en-US" w:eastAsia="zh-CN" w:bidi="ar-SA"/>
        </w:rPr>
        <w:t>年我单位严格按照上级党委、政府要求做好了各项工作，做好了宣传贯彻执行党的路线方针、政策、贯彻落实上级党组织的决议、指示，完成以邓小平理论和“三个代表”重要思想为指导，贯彻落实科学发展观，牢固树立以病人为中心的服务理念，紧紧围绕“坚持以人为本、提高服务质量，规范医疗行为、保证医疗安全，优化诊疗环境、加快建设发展，加强科学管理、为群众提供安全、有效、方便、廉洁的医疗服务的总体工作方针”，深入开展医院平安建设、构建和谐医患关系、知识竞赛和业务技术操作、整顿医疗秩序等活动。科学管理、强化措施、狠抓落实、注重实效，促进了医院的各项工作，推动了医院工作的全面建设和发展。进一步完善了各项规章制度、宣传工作。</w:t>
      </w:r>
    </w:p>
    <w:p w14:paraId="28388778">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2CB683A6">
      <w:pPr>
        <w:spacing w:line="360" w:lineRule="auto"/>
        <w:ind w:firstLine="560" w:firstLineChars="200"/>
        <w:jc w:val="left"/>
        <w:rPr>
          <w:rFonts w:ascii="Times New Roman" w:hAnsi="Times New Roman" w:cs="Times New Roman"/>
          <w:color w:val="auto"/>
          <w:kern w:val="0"/>
          <w:szCs w:val="28"/>
          <w:highlight w:val="none"/>
        </w:rPr>
      </w:pPr>
      <w:bookmarkStart w:id="5"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58207745">
      <w:pPr>
        <w:spacing w:line="360" w:lineRule="auto"/>
        <w:ind w:firstLine="560" w:firstLineChars="200"/>
        <w:jc w:val="left"/>
        <w:rPr>
          <w:rFonts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1、预算编制工作有待细化。预算编制不够明确和细化，预算编制的合理性需要提高。预算执行力度还要进一步加强。</w:t>
      </w:r>
    </w:p>
    <w:p w14:paraId="4EE73649">
      <w:pPr>
        <w:pStyle w:val="3"/>
        <w:bidi w:val="0"/>
        <w:rPr>
          <w:rFonts w:hint="eastAsia" w:ascii="Times New Roman" w:hAnsi="Times New Roman" w:eastAsia="仿宋" w:cs="Times New Roman"/>
          <w:bCs w:val="0"/>
          <w:color w:val="auto"/>
          <w:kern w:val="0"/>
          <w:sz w:val="28"/>
          <w:szCs w:val="28"/>
          <w:highlight w:val="none"/>
          <w:lang w:val="en-US" w:eastAsia="zh-CN" w:bidi="ar-SA"/>
        </w:rPr>
      </w:pPr>
      <w:r>
        <w:rPr>
          <w:rFonts w:hint="eastAsia" w:ascii="Times New Roman" w:hAnsi="Times New Roman" w:eastAsia="仿宋" w:cs="Times New Roman"/>
          <w:bCs w:val="0"/>
          <w:color w:val="auto"/>
          <w:kern w:val="0"/>
          <w:sz w:val="28"/>
          <w:szCs w:val="28"/>
          <w:highlight w:val="none"/>
          <w:lang w:val="en-US" w:eastAsia="zh-CN" w:bidi="ar-SA"/>
        </w:rPr>
        <w:t>2、单位管理制度仍有漏洞，还需继续完善，对财务制度执行力有待加强，资金使用流程有待细化，单位财务人员专业有待提高。</w:t>
      </w:r>
    </w:p>
    <w:p w14:paraId="34FAC786">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14:paraId="03EC8FE3">
      <w:pPr>
        <w:ind w:firstLine="560"/>
        <w:rPr>
          <w:rFonts w:hint="eastAsia"/>
          <w:color w:val="auto"/>
          <w:highlight w:val="none"/>
          <w:lang w:val="en-US" w:eastAsia="zh-CN"/>
        </w:rPr>
      </w:pPr>
      <w:r>
        <w:rPr>
          <w:rFonts w:hint="eastAsia"/>
          <w:color w:val="auto"/>
          <w:highlight w:val="none"/>
          <w:lang w:val="en-US" w:eastAsia="zh-CN"/>
        </w:rPr>
        <w:t xml:space="preserve">1、加强新行政单位会计制度和新预算法学习培训、规范账务处理，加强新《中华人民共和国预算法》《行政单位会计制度》 、《中华人民共和国会计法》 、《行政单位财务规则》等学习培训，规范部门预算收支核算。财务上，会计核算要更加详细，为本单位各项工作的开展、总结、评估提供有效数据资料支撑，为各项业务工作更好地开展提供帮助。 </w:t>
      </w:r>
    </w:p>
    <w:p w14:paraId="14CA86B9">
      <w:pPr>
        <w:pStyle w:val="3"/>
        <w:bidi w:val="0"/>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2、加强管理制度对业务人员及财务人员的培训，加强理论研究，对绩效评价的范围，方法进行探索，形成理论和实践互为促进的良好局面，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49E629B">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A5CEA6">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99832DE">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A6753C"/>
    <w:multiLevelType w:val="singleLevel"/>
    <w:tmpl w:val="28A6753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892162"/>
    <w:rsid w:val="04DB4953"/>
    <w:rsid w:val="04FF0482"/>
    <w:rsid w:val="05062887"/>
    <w:rsid w:val="05464D81"/>
    <w:rsid w:val="0575419C"/>
    <w:rsid w:val="05F70F85"/>
    <w:rsid w:val="0607573C"/>
    <w:rsid w:val="06547701"/>
    <w:rsid w:val="072B19D6"/>
    <w:rsid w:val="07F75BB0"/>
    <w:rsid w:val="084208C4"/>
    <w:rsid w:val="098A3C0A"/>
    <w:rsid w:val="09A24E4E"/>
    <w:rsid w:val="0A9A7091"/>
    <w:rsid w:val="0C48260B"/>
    <w:rsid w:val="0C6738B8"/>
    <w:rsid w:val="0C901A50"/>
    <w:rsid w:val="0CA40EDF"/>
    <w:rsid w:val="0E7D784C"/>
    <w:rsid w:val="0FBC1346"/>
    <w:rsid w:val="10300946"/>
    <w:rsid w:val="10A122E9"/>
    <w:rsid w:val="10FE60D7"/>
    <w:rsid w:val="11A06A50"/>
    <w:rsid w:val="13477178"/>
    <w:rsid w:val="134F7771"/>
    <w:rsid w:val="13E513B9"/>
    <w:rsid w:val="14FB46BE"/>
    <w:rsid w:val="158C5316"/>
    <w:rsid w:val="15B76590"/>
    <w:rsid w:val="15B904C0"/>
    <w:rsid w:val="165C118C"/>
    <w:rsid w:val="17125CEF"/>
    <w:rsid w:val="172D035F"/>
    <w:rsid w:val="175D58E3"/>
    <w:rsid w:val="17E51656"/>
    <w:rsid w:val="18061B60"/>
    <w:rsid w:val="190C3DF8"/>
    <w:rsid w:val="19AA4D08"/>
    <w:rsid w:val="19B9393C"/>
    <w:rsid w:val="19F83E30"/>
    <w:rsid w:val="1B403139"/>
    <w:rsid w:val="1C6D319F"/>
    <w:rsid w:val="1D13631D"/>
    <w:rsid w:val="1D384A93"/>
    <w:rsid w:val="1D4D74D6"/>
    <w:rsid w:val="1DE32CFD"/>
    <w:rsid w:val="1F1A602A"/>
    <w:rsid w:val="1F2854B6"/>
    <w:rsid w:val="209329A5"/>
    <w:rsid w:val="217D20CE"/>
    <w:rsid w:val="21C67E02"/>
    <w:rsid w:val="21C768CD"/>
    <w:rsid w:val="22E14253"/>
    <w:rsid w:val="23931BB2"/>
    <w:rsid w:val="23F209A3"/>
    <w:rsid w:val="2403516E"/>
    <w:rsid w:val="24E71FCC"/>
    <w:rsid w:val="251C15DC"/>
    <w:rsid w:val="256A2A9E"/>
    <w:rsid w:val="26BF16F1"/>
    <w:rsid w:val="27F7226E"/>
    <w:rsid w:val="2805537E"/>
    <w:rsid w:val="289437EE"/>
    <w:rsid w:val="297873DB"/>
    <w:rsid w:val="29EC0C55"/>
    <w:rsid w:val="29F35E61"/>
    <w:rsid w:val="2A285817"/>
    <w:rsid w:val="2B6F150A"/>
    <w:rsid w:val="2BB557CB"/>
    <w:rsid w:val="2BC51751"/>
    <w:rsid w:val="2D166684"/>
    <w:rsid w:val="2EBF757D"/>
    <w:rsid w:val="313A1C72"/>
    <w:rsid w:val="31927D00"/>
    <w:rsid w:val="31AE39CE"/>
    <w:rsid w:val="31B83F5F"/>
    <w:rsid w:val="328E2AB6"/>
    <w:rsid w:val="329B12EA"/>
    <w:rsid w:val="32FB1A54"/>
    <w:rsid w:val="331A3077"/>
    <w:rsid w:val="33291F9F"/>
    <w:rsid w:val="332E3A59"/>
    <w:rsid w:val="33A83F87"/>
    <w:rsid w:val="340D2D0F"/>
    <w:rsid w:val="348F1A9E"/>
    <w:rsid w:val="355C2B3F"/>
    <w:rsid w:val="356B4AF0"/>
    <w:rsid w:val="35F12468"/>
    <w:rsid w:val="36851B5C"/>
    <w:rsid w:val="36E667CE"/>
    <w:rsid w:val="3714684D"/>
    <w:rsid w:val="37661A13"/>
    <w:rsid w:val="377A54BF"/>
    <w:rsid w:val="379871D0"/>
    <w:rsid w:val="37BA58BB"/>
    <w:rsid w:val="37D360CA"/>
    <w:rsid w:val="3882287D"/>
    <w:rsid w:val="38CB5066"/>
    <w:rsid w:val="38CD161E"/>
    <w:rsid w:val="38E054C9"/>
    <w:rsid w:val="3A565DE9"/>
    <w:rsid w:val="3AB111F7"/>
    <w:rsid w:val="3AC36A27"/>
    <w:rsid w:val="3B4A33FA"/>
    <w:rsid w:val="3B4A3407"/>
    <w:rsid w:val="3BA26036"/>
    <w:rsid w:val="3E100C78"/>
    <w:rsid w:val="3F301058"/>
    <w:rsid w:val="417A34F9"/>
    <w:rsid w:val="418810F4"/>
    <w:rsid w:val="41A37673"/>
    <w:rsid w:val="42503F5E"/>
    <w:rsid w:val="42C30950"/>
    <w:rsid w:val="42EA371E"/>
    <w:rsid w:val="44EB17AA"/>
    <w:rsid w:val="459B4F7E"/>
    <w:rsid w:val="45A65C7F"/>
    <w:rsid w:val="45F13359"/>
    <w:rsid w:val="468C2A4A"/>
    <w:rsid w:val="46AD2493"/>
    <w:rsid w:val="46EC7F14"/>
    <w:rsid w:val="471276CB"/>
    <w:rsid w:val="47CA7D9C"/>
    <w:rsid w:val="47DB3D58"/>
    <w:rsid w:val="480D0379"/>
    <w:rsid w:val="48194880"/>
    <w:rsid w:val="48AF4C7F"/>
    <w:rsid w:val="4A5B46DD"/>
    <w:rsid w:val="4A6F6A56"/>
    <w:rsid w:val="4A7162AD"/>
    <w:rsid w:val="4A81677A"/>
    <w:rsid w:val="4AD43BE1"/>
    <w:rsid w:val="4B3B5348"/>
    <w:rsid w:val="4D2143D5"/>
    <w:rsid w:val="4DA177B2"/>
    <w:rsid w:val="4DA370C6"/>
    <w:rsid w:val="4DF36D4F"/>
    <w:rsid w:val="4E50267E"/>
    <w:rsid w:val="4F2E6E63"/>
    <w:rsid w:val="4F5B577E"/>
    <w:rsid w:val="501B7C76"/>
    <w:rsid w:val="504D5CCF"/>
    <w:rsid w:val="50744D49"/>
    <w:rsid w:val="511A2CA6"/>
    <w:rsid w:val="533A7469"/>
    <w:rsid w:val="53526129"/>
    <w:rsid w:val="538B4CD8"/>
    <w:rsid w:val="53A21BCD"/>
    <w:rsid w:val="541D74A6"/>
    <w:rsid w:val="54394F3D"/>
    <w:rsid w:val="54A84FC1"/>
    <w:rsid w:val="54E12281"/>
    <w:rsid w:val="553D0F8F"/>
    <w:rsid w:val="55570796"/>
    <w:rsid w:val="56034C94"/>
    <w:rsid w:val="565F61A9"/>
    <w:rsid w:val="56AD4B11"/>
    <w:rsid w:val="57232FC4"/>
    <w:rsid w:val="572D2326"/>
    <w:rsid w:val="57365691"/>
    <w:rsid w:val="59EE1E48"/>
    <w:rsid w:val="5A490F5C"/>
    <w:rsid w:val="5B805E16"/>
    <w:rsid w:val="5BD21464"/>
    <w:rsid w:val="5BDE2B83"/>
    <w:rsid w:val="5C777282"/>
    <w:rsid w:val="61635F72"/>
    <w:rsid w:val="618606C5"/>
    <w:rsid w:val="6224402D"/>
    <w:rsid w:val="62516C98"/>
    <w:rsid w:val="636649C5"/>
    <w:rsid w:val="6384067A"/>
    <w:rsid w:val="638D125E"/>
    <w:rsid w:val="6396333E"/>
    <w:rsid w:val="63E114D3"/>
    <w:rsid w:val="64033FC2"/>
    <w:rsid w:val="65B174D2"/>
    <w:rsid w:val="680E0276"/>
    <w:rsid w:val="690031C6"/>
    <w:rsid w:val="6A2B751B"/>
    <w:rsid w:val="6AD46D46"/>
    <w:rsid w:val="6B07083C"/>
    <w:rsid w:val="6B623CC4"/>
    <w:rsid w:val="6B6C65E0"/>
    <w:rsid w:val="6C2B67AC"/>
    <w:rsid w:val="6CB31465"/>
    <w:rsid w:val="6DE07909"/>
    <w:rsid w:val="6E0C3182"/>
    <w:rsid w:val="6E58438A"/>
    <w:rsid w:val="6E7066F8"/>
    <w:rsid w:val="6E9D5508"/>
    <w:rsid w:val="6F871359"/>
    <w:rsid w:val="7012558D"/>
    <w:rsid w:val="711B7F18"/>
    <w:rsid w:val="71EB22B3"/>
    <w:rsid w:val="72010FA6"/>
    <w:rsid w:val="730542C9"/>
    <w:rsid w:val="733F48EB"/>
    <w:rsid w:val="74212849"/>
    <w:rsid w:val="744C1D4E"/>
    <w:rsid w:val="74602D6B"/>
    <w:rsid w:val="748A4F72"/>
    <w:rsid w:val="74934EEE"/>
    <w:rsid w:val="74961819"/>
    <w:rsid w:val="750202C6"/>
    <w:rsid w:val="75664078"/>
    <w:rsid w:val="761E4132"/>
    <w:rsid w:val="77707769"/>
    <w:rsid w:val="78061A79"/>
    <w:rsid w:val="78713799"/>
    <w:rsid w:val="79181486"/>
    <w:rsid w:val="79295AD1"/>
    <w:rsid w:val="7A015F2D"/>
    <w:rsid w:val="7AFE508C"/>
    <w:rsid w:val="7B2561EC"/>
    <w:rsid w:val="7B587F11"/>
    <w:rsid w:val="7BC003CA"/>
    <w:rsid w:val="7CBF4BB4"/>
    <w:rsid w:val="7E53749D"/>
    <w:rsid w:val="7E5D346D"/>
    <w:rsid w:val="7EEF3669"/>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10</Pages>
  <Words>5239</Words>
  <Characters>5863</Characters>
  <Lines>7</Lines>
  <Paragraphs>2</Paragraphs>
  <TotalTime>9</TotalTime>
  <ScaleCrop>false</ScaleCrop>
  <LinksUpToDate>false</LinksUpToDate>
  <CharactersWithSpaces>5870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cp:lastPrinted>2024-05-17T04:21:00Z</cp:lastPrinted>
  <dcterms:modified xsi:type="dcterms:W3CDTF">2024-11-22T04:55:14Z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