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724827">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人社局整体支出绩效自评报告</w:t>
      </w:r>
    </w:p>
    <w:p w14:paraId="299AB9F7">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4178381B">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47342A54">
      <w:pPr>
        <w:pStyle w:val="5"/>
        <w:bidi w:val="0"/>
        <w:rPr>
          <w:rFonts w:hint="eastAsia"/>
          <w:color w:val="auto"/>
          <w:highlight w:val="none"/>
          <w:lang w:val="en-US" w:eastAsia="zh-CN"/>
        </w:rPr>
      </w:pPr>
      <w:r>
        <w:rPr>
          <w:rFonts w:hint="eastAsia"/>
          <w:color w:val="auto"/>
          <w:highlight w:val="none"/>
          <w:lang w:val="en-US" w:eastAsia="zh-CN"/>
        </w:rPr>
        <w:t>1.部门主要职能</w:t>
      </w:r>
    </w:p>
    <w:p w14:paraId="1AB3861B">
      <w:pPr>
        <w:ind w:firstLine="560"/>
        <w:jc w:val="left"/>
        <w:rPr>
          <w:color w:val="auto"/>
          <w:szCs w:val="28"/>
          <w:highlight w:val="none"/>
        </w:rPr>
      </w:pPr>
      <w:r>
        <w:rPr>
          <w:rFonts w:hint="eastAsia" w:cs="仿宋"/>
          <w:color w:val="auto"/>
          <w:kern w:val="0"/>
          <w:szCs w:val="28"/>
          <w:highlight w:val="none"/>
        </w:rPr>
        <w:t>根据中共</w:t>
      </w:r>
      <w:r>
        <w:rPr>
          <w:rFonts w:hint="eastAsia" w:cs="仿宋"/>
          <w:color w:val="auto"/>
          <w:kern w:val="0"/>
          <w:szCs w:val="28"/>
          <w:highlight w:val="none"/>
          <w:lang w:eastAsia="zh-CN"/>
        </w:rPr>
        <w:t>和静县</w:t>
      </w:r>
      <w:r>
        <w:rPr>
          <w:rFonts w:hint="eastAsia" w:cs="仿宋"/>
          <w:color w:val="auto"/>
          <w:kern w:val="0"/>
          <w:szCs w:val="28"/>
          <w:highlight w:val="none"/>
        </w:rPr>
        <w:t>委员会办公室、</w:t>
      </w:r>
      <w:r>
        <w:rPr>
          <w:rFonts w:hint="eastAsia" w:cs="仿宋"/>
          <w:color w:val="auto"/>
          <w:kern w:val="0"/>
          <w:szCs w:val="28"/>
          <w:highlight w:val="none"/>
          <w:lang w:eastAsia="zh-CN"/>
        </w:rPr>
        <w:t>和静县</w:t>
      </w:r>
      <w:r>
        <w:rPr>
          <w:rFonts w:hint="eastAsia" w:cs="仿宋"/>
          <w:color w:val="auto"/>
          <w:kern w:val="0"/>
          <w:szCs w:val="28"/>
          <w:highlight w:val="none"/>
        </w:rPr>
        <w:t>人民政府办公室《关于印发</w:t>
      </w:r>
      <w:r>
        <w:rPr>
          <w:rFonts w:hint="eastAsia" w:cs="仿宋"/>
          <w:color w:val="auto"/>
          <w:kern w:val="0"/>
          <w:szCs w:val="28"/>
          <w:highlight w:val="none"/>
          <w:lang w:eastAsia="zh-CN"/>
        </w:rPr>
        <w:t>〈和静县</w:t>
      </w:r>
      <w:r>
        <w:rPr>
          <w:rFonts w:hint="eastAsia" w:cs="仿宋"/>
          <w:color w:val="auto"/>
          <w:kern w:val="0"/>
          <w:szCs w:val="28"/>
          <w:highlight w:val="none"/>
        </w:rPr>
        <w:t>人民政府机构改革方案&gt;的通知》精神，设立</w:t>
      </w:r>
      <w:r>
        <w:rPr>
          <w:rFonts w:hint="eastAsia" w:cs="仿宋"/>
          <w:color w:val="auto"/>
          <w:kern w:val="0"/>
          <w:szCs w:val="28"/>
          <w:highlight w:val="none"/>
          <w:lang w:eastAsia="zh-CN"/>
        </w:rPr>
        <w:t>和静县</w:t>
      </w:r>
      <w:r>
        <w:rPr>
          <w:rFonts w:hint="eastAsia" w:cs="仿宋"/>
          <w:color w:val="auto"/>
          <w:kern w:val="0"/>
          <w:szCs w:val="28"/>
          <w:highlight w:val="none"/>
        </w:rPr>
        <w:t>人力资源和社会保障局，机构规格为正科级，为</w:t>
      </w:r>
      <w:r>
        <w:rPr>
          <w:rFonts w:hint="eastAsia" w:cs="仿宋"/>
          <w:color w:val="auto"/>
          <w:kern w:val="0"/>
          <w:szCs w:val="28"/>
          <w:highlight w:val="none"/>
          <w:lang w:eastAsia="zh-CN"/>
        </w:rPr>
        <w:t>和静县</w:t>
      </w:r>
      <w:r>
        <w:rPr>
          <w:rFonts w:hint="eastAsia" w:cs="仿宋"/>
          <w:color w:val="auto"/>
          <w:kern w:val="0"/>
          <w:szCs w:val="28"/>
          <w:highlight w:val="none"/>
        </w:rPr>
        <w:t>人民政府工作部门。</w:t>
      </w:r>
    </w:p>
    <w:p w14:paraId="55EAE366">
      <w:pPr>
        <w:ind w:firstLine="560"/>
        <w:rPr>
          <w:color w:val="auto"/>
          <w:szCs w:val="28"/>
          <w:highlight w:val="none"/>
        </w:rPr>
      </w:pPr>
      <w:r>
        <w:rPr>
          <w:rFonts w:hint="eastAsia"/>
          <w:color w:val="auto"/>
          <w:szCs w:val="28"/>
          <w:highlight w:val="none"/>
          <w:lang w:eastAsia="zh-CN"/>
        </w:rPr>
        <w:t>（</w:t>
      </w:r>
      <w:r>
        <w:rPr>
          <w:rFonts w:hint="eastAsia"/>
          <w:color w:val="auto"/>
          <w:szCs w:val="28"/>
          <w:highlight w:val="none"/>
        </w:rPr>
        <w:t>1</w:t>
      </w:r>
      <w:r>
        <w:rPr>
          <w:rFonts w:hint="eastAsia"/>
          <w:color w:val="auto"/>
          <w:szCs w:val="28"/>
          <w:highlight w:val="none"/>
          <w:lang w:eastAsia="zh-CN"/>
        </w:rPr>
        <w:t>）</w:t>
      </w:r>
      <w:r>
        <w:rPr>
          <w:rFonts w:hint="eastAsia"/>
          <w:color w:val="auto"/>
          <w:szCs w:val="28"/>
          <w:highlight w:val="none"/>
        </w:rPr>
        <w:t>贯彻执行国家、自治区和自治州人力资源和社会保障事业发展规划、政策；拟订</w:t>
      </w:r>
      <w:r>
        <w:rPr>
          <w:rFonts w:hint="eastAsia"/>
          <w:color w:val="auto"/>
          <w:szCs w:val="28"/>
          <w:highlight w:val="none"/>
          <w:lang w:eastAsia="zh-CN"/>
        </w:rPr>
        <w:t>和静县</w:t>
      </w:r>
      <w:r>
        <w:rPr>
          <w:rFonts w:hint="eastAsia"/>
          <w:color w:val="auto"/>
          <w:szCs w:val="28"/>
          <w:highlight w:val="none"/>
        </w:rPr>
        <w:t>人力资源和社会保障事业发展规划、政策、实施意见和办法，并组织实施和监督检查；</w:t>
      </w:r>
    </w:p>
    <w:p w14:paraId="21B78FCF">
      <w:pPr>
        <w:ind w:firstLine="560"/>
        <w:rPr>
          <w:color w:val="auto"/>
          <w:szCs w:val="28"/>
          <w:highlight w:val="none"/>
        </w:rPr>
      </w:pPr>
      <w:r>
        <w:rPr>
          <w:rFonts w:hint="eastAsia"/>
          <w:color w:val="auto"/>
          <w:szCs w:val="28"/>
          <w:highlight w:val="none"/>
          <w:lang w:eastAsia="zh-CN"/>
        </w:rPr>
        <w:t>（</w:t>
      </w:r>
      <w:r>
        <w:rPr>
          <w:rFonts w:hint="eastAsia"/>
          <w:color w:val="auto"/>
          <w:szCs w:val="28"/>
          <w:highlight w:val="none"/>
        </w:rPr>
        <w:t>2</w:t>
      </w:r>
      <w:r>
        <w:rPr>
          <w:rFonts w:hint="eastAsia"/>
          <w:color w:val="auto"/>
          <w:szCs w:val="28"/>
          <w:highlight w:val="none"/>
          <w:lang w:eastAsia="zh-CN"/>
        </w:rPr>
        <w:t>）</w:t>
      </w:r>
      <w:r>
        <w:rPr>
          <w:rFonts w:hint="eastAsia"/>
          <w:color w:val="auto"/>
          <w:szCs w:val="28"/>
          <w:highlight w:val="none"/>
        </w:rPr>
        <w:t>负责促进就业工作，落实统筹城乡就业发展规划和相关政策，完善公共就业服务体系；组织落实就业援助制度；落实职业资格制度相关政策，统筹建立面向城乡劳动者的职业培训制度；会同有关部门做好高校毕业生就业及高技能人才、农村实用人才培养工作。</w:t>
      </w:r>
    </w:p>
    <w:p w14:paraId="380A48D2">
      <w:pPr>
        <w:ind w:firstLine="560"/>
        <w:rPr>
          <w:color w:val="auto"/>
          <w:szCs w:val="28"/>
          <w:highlight w:val="none"/>
        </w:rPr>
      </w:pPr>
      <w:r>
        <w:rPr>
          <w:rFonts w:hint="eastAsia"/>
          <w:color w:val="auto"/>
          <w:szCs w:val="28"/>
          <w:highlight w:val="none"/>
          <w:lang w:eastAsia="zh-CN"/>
        </w:rPr>
        <w:t>（</w:t>
      </w:r>
      <w:r>
        <w:rPr>
          <w:rFonts w:hint="eastAsia"/>
          <w:color w:val="auto"/>
          <w:szCs w:val="28"/>
          <w:highlight w:val="none"/>
        </w:rPr>
        <w:t>3</w:t>
      </w:r>
      <w:r>
        <w:rPr>
          <w:rFonts w:hint="eastAsia"/>
          <w:color w:val="auto"/>
          <w:szCs w:val="28"/>
          <w:highlight w:val="none"/>
          <w:lang w:eastAsia="zh-CN"/>
        </w:rPr>
        <w:t>）</w:t>
      </w:r>
      <w:r>
        <w:rPr>
          <w:rFonts w:hint="eastAsia"/>
          <w:color w:val="auto"/>
          <w:szCs w:val="28"/>
          <w:highlight w:val="none"/>
        </w:rPr>
        <w:t>统筹建立覆盖城乡的社会保障体系；完善并组织实施</w:t>
      </w:r>
      <w:r>
        <w:rPr>
          <w:rFonts w:hint="eastAsia"/>
          <w:color w:val="auto"/>
          <w:szCs w:val="28"/>
          <w:highlight w:val="none"/>
          <w:lang w:eastAsia="zh-CN"/>
        </w:rPr>
        <w:t>和静县</w:t>
      </w:r>
      <w:r>
        <w:rPr>
          <w:rFonts w:hint="eastAsia"/>
          <w:color w:val="auto"/>
          <w:szCs w:val="28"/>
          <w:highlight w:val="none"/>
        </w:rPr>
        <w:t>城乡社会保险的实施办法；加强对城乡社会保险基金收缴、支付、运营的管理和监督；负责编制</w:t>
      </w:r>
      <w:r>
        <w:rPr>
          <w:rFonts w:hint="eastAsia"/>
          <w:color w:val="auto"/>
          <w:szCs w:val="28"/>
          <w:highlight w:val="none"/>
          <w:lang w:eastAsia="zh-CN"/>
        </w:rPr>
        <w:t>和静县</w:t>
      </w:r>
      <w:r>
        <w:rPr>
          <w:rFonts w:hint="eastAsia"/>
          <w:color w:val="auto"/>
          <w:szCs w:val="28"/>
          <w:highlight w:val="none"/>
        </w:rPr>
        <w:t>社会保险基金预决算草案。</w:t>
      </w:r>
    </w:p>
    <w:p w14:paraId="2495391B">
      <w:pPr>
        <w:ind w:firstLine="560"/>
        <w:rPr>
          <w:color w:val="auto"/>
          <w:szCs w:val="28"/>
          <w:highlight w:val="none"/>
        </w:rPr>
      </w:pPr>
      <w:r>
        <w:rPr>
          <w:rFonts w:hint="eastAsia"/>
          <w:color w:val="auto"/>
          <w:szCs w:val="28"/>
          <w:highlight w:val="none"/>
          <w:lang w:eastAsia="zh-CN"/>
        </w:rPr>
        <w:t>（</w:t>
      </w:r>
      <w:r>
        <w:rPr>
          <w:rFonts w:hint="eastAsia"/>
          <w:color w:val="auto"/>
          <w:szCs w:val="28"/>
          <w:highlight w:val="none"/>
        </w:rPr>
        <w:t>4</w:t>
      </w:r>
      <w:r>
        <w:rPr>
          <w:rFonts w:hint="eastAsia"/>
          <w:color w:val="auto"/>
          <w:szCs w:val="28"/>
          <w:highlight w:val="none"/>
          <w:lang w:eastAsia="zh-CN"/>
        </w:rPr>
        <w:t>）</w:t>
      </w:r>
      <w:r>
        <w:rPr>
          <w:rFonts w:hint="eastAsia"/>
          <w:color w:val="auto"/>
          <w:szCs w:val="28"/>
          <w:highlight w:val="none"/>
        </w:rPr>
        <w:t>负责就业、失业、社会保险基金预测预警和信息引导；拟订应对预案，实施预防、调节和控制，保持就业形势稳定和社会保险基金总体收支平衡。</w:t>
      </w:r>
    </w:p>
    <w:p w14:paraId="1F398C97">
      <w:pPr>
        <w:ind w:firstLine="560"/>
        <w:rPr>
          <w:color w:val="auto"/>
          <w:szCs w:val="28"/>
          <w:highlight w:val="none"/>
        </w:rPr>
      </w:pPr>
      <w:r>
        <w:rPr>
          <w:rFonts w:hint="eastAsia"/>
          <w:color w:val="auto"/>
          <w:szCs w:val="28"/>
          <w:highlight w:val="none"/>
          <w:lang w:eastAsia="zh-CN"/>
        </w:rPr>
        <w:t>（</w:t>
      </w:r>
      <w:r>
        <w:rPr>
          <w:rFonts w:hint="eastAsia"/>
          <w:color w:val="auto"/>
          <w:szCs w:val="28"/>
          <w:highlight w:val="none"/>
        </w:rPr>
        <w:t>5</w:t>
      </w:r>
      <w:r>
        <w:rPr>
          <w:rFonts w:hint="eastAsia"/>
          <w:color w:val="auto"/>
          <w:szCs w:val="28"/>
          <w:highlight w:val="none"/>
          <w:lang w:eastAsia="zh-CN"/>
        </w:rPr>
        <w:t>）</w:t>
      </w:r>
      <w:r>
        <w:rPr>
          <w:rFonts w:hint="eastAsia"/>
          <w:color w:val="auto"/>
          <w:szCs w:val="28"/>
          <w:highlight w:val="none"/>
        </w:rPr>
        <w:t>会同有关部门拟订事业单位人员工资收入分配制度改革实施意见，促进建立企事业单位人员工资正常增长和支付保障机制；落实企事业单位人员福利和离退休政策； 参与县级企业劳动模范评定工作。</w:t>
      </w:r>
    </w:p>
    <w:p w14:paraId="53AC08F1">
      <w:pPr>
        <w:ind w:firstLine="560"/>
        <w:rPr>
          <w:color w:val="auto"/>
          <w:szCs w:val="28"/>
          <w:highlight w:val="none"/>
        </w:rPr>
      </w:pPr>
      <w:r>
        <w:rPr>
          <w:rFonts w:hint="eastAsia"/>
          <w:color w:val="auto"/>
          <w:szCs w:val="28"/>
          <w:highlight w:val="none"/>
          <w:lang w:eastAsia="zh-CN"/>
        </w:rPr>
        <w:t>（</w:t>
      </w:r>
      <w:r>
        <w:rPr>
          <w:rFonts w:hint="eastAsia"/>
          <w:color w:val="auto"/>
          <w:szCs w:val="28"/>
          <w:highlight w:val="none"/>
        </w:rPr>
        <w:t>6</w:t>
      </w:r>
      <w:r>
        <w:rPr>
          <w:rFonts w:hint="eastAsia"/>
          <w:color w:val="auto"/>
          <w:szCs w:val="28"/>
          <w:highlight w:val="none"/>
          <w:lang w:eastAsia="zh-CN"/>
        </w:rPr>
        <w:t>）</w:t>
      </w:r>
      <w:r>
        <w:rPr>
          <w:rFonts w:hint="eastAsia"/>
          <w:color w:val="auto"/>
          <w:szCs w:val="28"/>
          <w:highlight w:val="none"/>
        </w:rPr>
        <w:t>会同有关部门指导事业单位人事制度改革，拟订事业单位人员和机关工勤人员管理办法；综合管理全县专业技术人员专业技术资格的评定和职务聘任工作，组织实施专业技术人员队伍建设和继续教育工作；深化职称制度改革工作；负责国家级有突出贡献中青年专家、享受政府特殊津贴专家及自治区优秀专业技术工作者、少数民族中青年骨干人才特殊培养人选的选拔、推荐和管理工作。</w:t>
      </w:r>
    </w:p>
    <w:p w14:paraId="4F579291">
      <w:pPr>
        <w:ind w:firstLine="560"/>
        <w:rPr>
          <w:color w:val="auto"/>
          <w:szCs w:val="28"/>
          <w:highlight w:val="none"/>
        </w:rPr>
      </w:pPr>
      <w:r>
        <w:rPr>
          <w:rFonts w:hint="eastAsia"/>
          <w:color w:val="auto"/>
          <w:szCs w:val="28"/>
          <w:highlight w:val="none"/>
          <w:lang w:eastAsia="zh-CN"/>
        </w:rPr>
        <w:t>（</w:t>
      </w:r>
      <w:r>
        <w:rPr>
          <w:rFonts w:hint="eastAsia"/>
          <w:color w:val="auto"/>
          <w:szCs w:val="28"/>
          <w:highlight w:val="none"/>
          <w:lang w:val="en-US" w:eastAsia="zh-CN"/>
        </w:rPr>
        <w:t>7）</w:t>
      </w:r>
      <w:r>
        <w:rPr>
          <w:rFonts w:hint="eastAsia"/>
          <w:color w:val="auto"/>
          <w:szCs w:val="28"/>
          <w:highlight w:val="none"/>
        </w:rPr>
        <w:t>负责行政机关公务员综合管理；落实有关人员调配政策和特殊人员安置政策；会同有关部门组织落实国家荣誉制度，拟订并组织实施政府奖励制度。</w:t>
      </w:r>
    </w:p>
    <w:p w14:paraId="339C26B0">
      <w:pPr>
        <w:ind w:firstLine="560"/>
        <w:rPr>
          <w:color w:val="auto"/>
          <w:szCs w:val="28"/>
          <w:highlight w:val="none"/>
        </w:rPr>
      </w:pPr>
      <w:r>
        <w:rPr>
          <w:rFonts w:hint="eastAsia"/>
          <w:color w:val="auto"/>
          <w:szCs w:val="28"/>
          <w:highlight w:val="none"/>
          <w:lang w:eastAsia="zh-CN"/>
        </w:rPr>
        <w:t>（</w:t>
      </w:r>
      <w:r>
        <w:rPr>
          <w:rFonts w:hint="eastAsia"/>
          <w:color w:val="auto"/>
          <w:szCs w:val="28"/>
          <w:highlight w:val="none"/>
          <w:lang w:val="en-US" w:eastAsia="zh-CN"/>
        </w:rPr>
        <w:t>8）</w:t>
      </w:r>
      <w:r>
        <w:rPr>
          <w:rFonts w:hint="eastAsia"/>
          <w:color w:val="auto"/>
          <w:szCs w:val="28"/>
          <w:highlight w:val="none"/>
        </w:rPr>
        <w:t>会同有关部门落实农民工工作有关政策，拟订农民工工作规划，协调解决重点难点问题，维护农民工合法权益。</w:t>
      </w:r>
    </w:p>
    <w:p w14:paraId="78DFB29B">
      <w:pPr>
        <w:ind w:firstLine="560"/>
        <w:rPr>
          <w:color w:val="auto"/>
          <w:szCs w:val="28"/>
          <w:highlight w:val="none"/>
        </w:rPr>
      </w:pPr>
      <w:r>
        <w:rPr>
          <w:rFonts w:hint="eastAsia"/>
          <w:color w:val="auto"/>
          <w:szCs w:val="28"/>
          <w:highlight w:val="none"/>
          <w:lang w:eastAsia="zh-CN"/>
        </w:rPr>
        <w:t>（</w:t>
      </w:r>
      <w:r>
        <w:rPr>
          <w:rFonts w:hint="eastAsia"/>
          <w:color w:val="auto"/>
          <w:szCs w:val="28"/>
          <w:highlight w:val="none"/>
          <w:lang w:val="en-US" w:eastAsia="zh-CN"/>
        </w:rPr>
        <w:t>9）</w:t>
      </w:r>
      <w:r>
        <w:rPr>
          <w:rFonts w:hint="eastAsia"/>
          <w:color w:val="auto"/>
          <w:szCs w:val="28"/>
          <w:highlight w:val="none"/>
        </w:rPr>
        <w:t>落实劳动关系有关政策，完善劳动关系协调机制，协调劳动者维权工作；依法行使国家劳动和社会保障监督检查权，组织实施劳动和社会保障监察，监督落实消除非法使用童工政策和女工、未成年工的特殊劳动保护政策，依法查处重大案件；统筹实施劳动、人事争议调解仲裁制度。</w:t>
      </w:r>
    </w:p>
    <w:p w14:paraId="386B776C">
      <w:pPr>
        <w:pStyle w:val="5"/>
        <w:bidi w:val="0"/>
        <w:rPr>
          <w:rFonts w:hint="eastAsia"/>
          <w:color w:val="auto"/>
          <w:highlight w:val="none"/>
          <w:lang w:val="en-US" w:eastAsia="zh-CN"/>
        </w:rPr>
      </w:pPr>
      <w:r>
        <w:rPr>
          <w:rFonts w:hint="eastAsia"/>
          <w:color w:val="auto"/>
          <w:highlight w:val="none"/>
          <w:lang w:val="en-US" w:eastAsia="zh-CN"/>
        </w:rPr>
        <w:t>2.部门机构设置及人员构成</w:t>
      </w:r>
    </w:p>
    <w:p w14:paraId="3E72311A">
      <w:pPr>
        <w:ind w:firstLine="560"/>
        <w:rPr>
          <w:color w:val="auto"/>
          <w:highlight w:val="none"/>
        </w:rPr>
      </w:pPr>
      <w:r>
        <w:rPr>
          <w:rFonts w:hint="eastAsia"/>
          <w:color w:val="auto"/>
          <w:szCs w:val="28"/>
          <w:highlight w:val="none"/>
          <w:lang w:eastAsia="zh-CN"/>
        </w:rPr>
        <w:t>和静县</w:t>
      </w:r>
      <w:r>
        <w:rPr>
          <w:rFonts w:hint="eastAsia"/>
          <w:color w:val="auto"/>
          <w:szCs w:val="28"/>
          <w:highlight w:val="none"/>
        </w:rPr>
        <w:t>人力资源和社会保障局人员编制数共</w:t>
      </w:r>
      <w:r>
        <w:rPr>
          <w:rFonts w:hint="eastAsia"/>
          <w:color w:val="auto"/>
          <w:szCs w:val="28"/>
          <w:highlight w:val="none"/>
          <w:lang w:val="en-US" w:eastAsia="zh-CN"/>
        </w:rPr>
        <w:t>25</w:t>
      </w:r>
      <w:r>
        <w:rPr>
          <w:rFonts w:hint="eastAsia"/>
          <w:color w:val="auto"/>
          <w:szCs w:val="28"/>
          <w:highlight w:val="none"/>
        </w:rPr>
        <w:t>人，其中：行政编制</w:t>
      </w:r>
      <w:r>
        <w:rPr>
          <w:rFonts w:hint="eastAsia"/>
          <w:color w:val="auto"/>
          <w:szCs w:val="28"/>
          <w:highlight w:val="none"/>
          <w:lang w:val="en-US" w:eastAsia="zh-CN"/>
        </w:rPr>
        <w:t>13</w:t>
      </w:r>
      <w:r>
        <w:rPr>
          <w:rFonts w:hint="eastAsia"/>
          <w:color w:val="auto"/>
          <w:szCs w:val="28"/>
          <w:highlight w:val="none"/>
        </w:rPr>
        <w:t>人，事业编制</w:t>
      </w:r>
      <w:r>
        <w:rPr>
          <w:rFonts w:hint="eastAsia"/>
          <w:color w:val="auto"/>
          <w:szCs w:val="28"/>
          <w:highlight w:val="none"/>
          <w:lang w:val="en-US" w:eastAsia="zh-CN"/>
        </w:rPr>
        <w:t>12</w:t>
      </w:r>
      <w:r>
        <w:rPr>
          <w:rFonts w:hint="eastAsia"/>
          <w:color w:val="auto"/>
          <w:szCs w:val="28"/>
          <w:highlight w:val="none"/>
        </w:rPr>
        <w:t>人。年初预算实有在职人员</w:t>
      </w:r>
      <w:r>
        <w:rPr>
          <w:rFonts w:hint="eastAsia"/>
          <w:color w:val="auto"/>
          <w:szCs w:val="28"/>
          <w:highlight w:val="none"/>
          <w:lang w:val="en-US" w:eastAsia="zh-CN"/>
        </w:rPr>
        <w:t>32</w:t>
      </w:r>
      <w:r>
        <w:rPr>
          <w:rFonts w:hint="eastAsia"/>
          <w:color w:val="auto"/>
          <w:szCs w:val="28"/>
          <w:highlight w:val="none"/>
        </w:rPr>
        <w:t>人，退休人员</w:t>
      </w:r>
      <w:r>
        <w:rPr>
          <w:rFonts w:hint="eastAsia"/>
          <w:color w:val="auto"/>
          <w:szCs w:val="28"/>
          <w:highlight w:val="none"/>
          <w:lang w:val="en-US" w:eastAsia="zh-CN"/>
        </w:rPr>
        <w:t>9</w:t>
      </w:r>
      <w:r>
        <w:rPr>
          <w:rFonts w:hint="eastAsia"/>
          <w:color w:val="auto"/>
          <w:szCs w:val="28"/>
          <w:highlight w:val="none"/>
        </w:rPr>
        <w:t>人。年末实有在职人数</w:t>
      </w:r>
      <w:r>
        <w:rPr>
          <w:rFonts w:hint="eastAsia"/>
          <w:color w:val="auto"/>
          <w:szCs w:val="28"/>
          <w:highlight w:val="none"/>
          <w:lang w:val="en-US" w:eastAsia="zh-CN"/>
        </w:rPr>
        <w:t>25</w:t>
      </w:r>
      <w:r>
        <w:rPr>
          <w:rFonts w:hint="eastAsia"/>
          <w:color w:val="auto"/>
          <w:szCs w:val="28"/>
          <w:highlight w:val="none"/>
        </w:rPr>
        <w:t>人</w:t>
      </w:r>
      <w:r>
        <w:rPr>
          <w:rFonts w:hint="eastAsia"/>
          <w:color w:val="auto"/>
          <w:szCs w:val="28"/>
          <w:highlight w:val="none"/>
          <w:lang w:eastAsia="zh-CN"/>
        </w:rPr>
        <w:t>，</w:t>
      </w:r>
      <w:r>
        <w:rPr>
          <w:rFonts w:hint="eastAsia"/>
          <w:color w:val="auto"/>
          <w:szCs w:val="28"/>
          <w:highlight w:val="none"/>
        </w:rPr>
        <w:t>退休人员</w:t>
      </w:r>
      <w:r>
        <w:rPr>
          <w:rFonts w:hint="eastAsia"/>
          <w:color w:val="auto"/>
          <w:szCs w:val="28"/>
          <w:highlight w:val="none"/>
          <w:lang w:val="en-US" w:eastAsia="zh-CN"/>
        </w:rPr>
        <w:t>9</w:t>
      </w:r>
      <w:r>
        <w:rPr>
          <w:rFonts w:hint="eastAsia"/>
          <w:color w:val="auto"/>
          <w:szCs w:val="28"/>
          <w:highlight w:val="none"/>
        </w:rPr>
        <w:t>人。</w:t>
      </w:r>
    </w:p>
    <w:p w14:paraId="13DF5D76">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14:paraId="1C7EC28A">
      <w:pP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今年以来，和静县人社局在县委、县人民政府的正确领导下，始终坚持以习近平新时代中国特色社会主义思想为指导，完整准确贯彻新时代党的治疆方略，牢牢把握“提高人民收入水平，强化就业优先政策”工作主线，坚持稳中求进工作总基调，结合自治区、自治州党委总体部署、县委重大决策及州人社局下达的各项目标任务，紧紧围绕人社中心工作锐意进取，开拓创新，全面推进人社工作向纵深发展，现将202</w:t>
      </w:r>
      <w:r>
        <w:rPr>
          <w:rFonts w:hint="eastAsia" w:ascii="仿宋" w:hAnsi="仿宋" w:cs="仿宋"/>
          <w:color w:val="auto"/>
          <w:sz w:val="28"/>
          <w:szCs w:val="28"/>
          <w:highlight w:val="none"/>
          <w:lang w:val="en-US" w:eastAsia="zh-CN"/>
        </w:rPr>
        <w:t>3</w:t>
      </w:r>
      <w:r>
        <w:rPr>
          <w:rFonts w:hint="eastAsia" w:ascii="仿宋" w:hAnsi="仿宋" w:eastAsia="仿宋" w:cs="仿宋"/>
          <w:color w:val="auto"/>
          <w:sz w:val="28"/>
          <w:szCs w:val="28"/>
          <w:highlight w:val="none"/>
          <w:lang w:val="en-US" w:eastAsia="zh-CN"/>
        </w:rPr>
        <w:t>年人社</w:t>
      </w:r>
      <w:r>
        <w:rPr>
          <w:rFonts w:hint="eastAsia" w:ascii="仿宋" w:hAnsi="仿宋" w:cs="仿宋"/>
          <w:color w:val="auto"/>
          <w:sz w:val="28"/>
          <w:szCs w:val="28"/>
          <w:highlight w:val="none"/>
          <w:lang w:val="en-US" w:eastAsia="zh-CN"/>
        </w:rPr>
        <w:t>年度重点工</w:t>
      </w:r>
      <w:r>
        <w:rPr>
          <w:rFonts w:hint="eastAsia" w:ascii="仿宋" w:hAnsi="仿宋" w:eastAsia="仿宋" w:cs="仿宋"/>
          <w:color w:val="auto"/>
          <w:sz w:val="28"/>
          <w:szCs w:val="28"/>
          <w:highlight w:val="none"/>
          <w:lang w:val="en-US" w:eastAsia="zh-CN"/>
        </w:rPr>
        <w:t>作开展情况汇报如下：</w:t>
      </w:r>
    </w:p>
    <w:p w14:paraId="4BD5157B">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560" w:firstLineChars="0"/>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多渠道促进高校毕业生就业、创业工作。通过统筹实施高校毕业生“三支一扶”计划、</w:t>
      </w:r>
      <w:r>
        <w:rPr>
          <w:rFonts w:hint="eastAsia" w:ascii="仿宋" w:hAnsi="仿宋" w:eastAsia="仿宋" w:cs="仿宋"/>
          <w:b w:val="0"/>
          <w:bCs w:val="0"/>
          <w:color w:val="auto"/>
          <w:sz w:val="28"/>
          <w:szCs w:val="28"/>
          <w:highlight w:val="none"/>
          <w:lang w:eastAsia="zh-CN"/>
        </w:rPr>
        <w:t>见习岗位</w:t>
      </w:r>
      <w:r>
        <w:rPr>
          <w:rFonts w:hint="eastAsia" w:ascii="仿宋" w:hAnsi="仿宋" w:eastAsia="仿宋" w:cs="仿宋"/>
          <w:b w:val="0"/>
          <w:bCs w:val="0"/>
          <w:color w:val="auto"/>
          <w:sz w:val="28"/>
          <w:szCs w:val="28"/>
          <w:highlight w:val="none"/>
        </w:rPr>
        <w:t>等基层服务项目，鼓励引导更多高校毕业生到一线就业。</w:t>
      </w:r>
    </w:p>
    <w:p w14:paraId="64B86191">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560" w:firstLineChars="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主动对接重点企业和建设项目，开展就业援助月、春风行动、3·8妇女专场招聘、民营企业招聘月、百日千万网络招聘、企业进校园招聘等专项就业服务活动</w:t>
      </w:r>
      <w:r>
        <w:rPr>
          <w:rFonts w:hint="eastAsia" w:ascii="仿宋" w:hAnsi="仿宋" w:eastAsia="仿宋" w:cs="仿宋"/>
          <w:color w:val="auto"/>
          <w:sz w:val="28"/>
          <w:szCs w:val="28"/>
          <w:highlight w:val="none"/>
          <w:lang w:val="en-US" w:eastAsia="zh-CN"/>
        </w:rPr>
        <w:t>等。依托和静零距离、</w:t>
      </w:r>
      <w:r>
        <w:rPr>
          <w:rFonts w:hint="eastAsia" w:ascii="仿宋" w:hAnsi="仿宋" w:cs="仿宋"/>
          <w:color w:val="auto"/>
          <w:sz w:val="28"/>
          <w:szCs w:val="28"/>
          <w:highlight w:val="none"/>
          <w:lang w:val="en-US" w:eastAsia="zh-CN"/>
        </w:rPr>
        <w:t>和静县</w:t>
      </w:r>
      <w:r>
        <w:rPr>
          <w:rFonts w:hint="eastAsia" w:ascii="仿宋" w:hAnsi="仿宋" w:eastAsia="仿宋" w:cs="仿宋"/>
          <w:color w:val="auto"/>
          <w:sz w:val="28"/>
          <w:szCs w:val="28"/>
          <w:highlight w:val="none"/>
          <w:lang w:val="en-US" w:eastAsia="zh-CN"/>
        </w:rPr>
        <w:t>青年等公众号、视频号、公共就业服务活动，开展政策宣讲、岗位推送等就业帮</w:t>
      </w:r>
      <w:r>
        <w:rPr>
          <w:rFonts w:hint="eastAsia" w:ascii="仿宋" w:hAnsi="仿宋" w:eastAsia="仿宋" w:cs="仿宋"/>
          <w:b w:val="0"/>
          <w:bCs w:val="0"/>
          <w:color w:val="auto"/>
          <w:sz w:val="28"/>
          <w:szCs w:val="28"/>
          <w:highlight w:val="none"/>
          <w:lang w:val="en-US" w:eastAsia="zh-CN"/>
        </w:rPr>
        <w:t>扶活动。</w:t>
      </w:r>
    </w:p>
    <w:p w14:paraId="4F8B247F">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560" w:firstLineChars="0"/>
        <w:textAlignment w:val="auto"/>
        <w:rPr>
          <w:rFonts w:hint="eastAsia" w:ascii="仿宋" w:hAnsi="仿宋" w:eastAsia="仿宋" w:cs="仿宋"/>
          <w:b w:val="0"/>
          <w:bCs/>
          <w:color w:val="auto"/>
          <w:kern w:val="2"/>
          <w:sz w:val="28"/>
          <w:szCs w:val="28"/>
          <w:highlight w:val="none"/>
          <w:lang w:val="en-US" w:eastAsia="zh-CN" w:bidi="ar-SA"/>
        </w:rPr>
      </w:pPr>
      <w:r>
        <w:rPr>
          <w:rFonts w:hint="eastAsia" w:ascii="仿宋" w:hAnsi="仿宋" w:eastAsia="仿宋" w:cs="仿宋"/>
          <w:b w:val="0"/>
          <w:bCs w:val="0"/>
          <w:color w:val="auto"/>
          <w:sz w:val="28"/>
          <w:szCs w:val="28"/>
          <w:highlight w:val="none"/>
          <w:lang w:eastAsia="zh-CN"/>
        </w:rPr>
        <w:t>扎实推进</w:t>
      </w:r>
      <w:r>
        <w:rPr>
          <w:rFonts w:hint="eastAsia" w:ascii="仿宋" w:hAnsi="仿宋" w:cs="仿宋"/>
          <w:b w:val="0"/>
          <w:bCs w:val="0"/>
          <w:color w:val="auto"/>
          <w:sz w:val="28"/>
          <w:szCs w:val="28"/>
          <w:highlight w:val="none"/>
          <w:lang w:eastAsia="zh-CN"/>
        </w:rPr>
        <w:t>巩固拓展脱贫攻坚成果</w:t>
      </w:r>
      <w:r>
        <w:rPr>
          <w:rFonts w:hint="eastAsia" w:ascii="仿宋" w:hAnsi="仿宋" w:eastAsia="仿宋" w:cs="仿宋"/>
          <w:b w:val="0"/>
          <w:bCs w:val="0"/>
          <w:color w:val="auto"/>
          <w:sz w:val="28"/>
          <w:szCs w:val="28"/>
          <w:highlight w:val="none"/>
          <w:lang w:eastAsia="zh-CN"/>
        </w:rPr>
        <w:t>，同乡村振兴有效衔接，拓宽农民就业渠道，促进脱贫人口稳定就业，加大职业技能培训力度</w:t>
      </w:r>
      <w:r>
        <w:rPr>
          <w:rFonts w:hint="eastAsia" w:ascii="仿宋" w:hAnsi="仿宋" w:cs="仿宋"/>
          <w:b w:val="0"/>
          <w:bCs w:val="0"/>
          <w:color w:val="auto"/>
          <w:sz w:val="28"/>
          <w:szCs w:val="28"/>
          <w:highlight w:val="none"/>
          <w:lang w:eastAsia="zh-CN"/>
        </w:rPr>
        <w:t>。</w:t>
      </w:r>
    </w:p>
    <w:p w14:paraId="26A1FBB7">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560" w:firstLineChars="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kern w:val="0"/>
          <w:sz w:val="28"/>
          <w:szCs w:val="28"/>
          <w:highlight w:val="none"/>
          <w:lang w:val="en-US" w:eastAsia="zh-CN" w:bidi="ar-SA"/>
        </w:rPr>
        <w:t>加快技能培训与稳就业深度融合。</w:t>
      </w:r>
      <w:r>
        <w:rPr>
          <w:rFonts w:hint="eastAsia" w:ascii="仿宋" w:hAnsi="仿宋" w:eastAsia="仿宋" w:cs="仿宋"/>
          <w:b w:val="0"/>
          <w:bCs w:val="0"/>
          <w:color w:val="auto"/>
          <w:kern w:val="2"/>
          <w:sz w:val="28"/>
          <w:szCs w:val="28"/>
          <w:highlight w:val="none"/>
          <w:lang w:val="en-US" w:eastAsia="zh-CN" w:bidi="ar-SA"/>
        </w:rPr>
        <w:t>一是</w:t>
      </w:r>
      <w:r>
        <w:rPr>
          <w:rFonts w:hint="eastAsia" w:ascii="仿宋" w:hAnsi="仿宋" w:eastAsia="仿宋" w:cs="仿宋"/>
          <w:b w:val="0"/>
          <w:bCs w:val="0"/>
          <w:color w:val="auto"/>
          <w:sz w:val="28"/>
          <w:szCs w:val="28"/>
          <w:highlight w:val="none"/>
          <w:lang w:val="en-US" w:eastAsia="zh-CN"/>
        </w:rPr>
        <w:t>加大培训力度，提高培训者的劳动技能。</w:t>
      </w:r>
      <w:r>
        <w:rPr>
          <w:rFonts w:hint="eastAsia" w:ascii="仿宋" w:hAnsi="仿宋" w:eastAsia="仿宋" w:cs="仿宋"/>
          <w:b w:val="0"/>
          <w:bCs w:val="0"/>
          <w:color w:val="auto"/>
          <w:spacing w:val="4"/>
          <w:sz w:val="28"/>
          <w:szCs w:val="28"/>
          <w:highlight w:val="none"/>
          <w:lang w:val="en-US" w:eastAsia="zh-CN"/>
        </w:rPr>
        <w:t>启动县、乡、村三级联动模式，以技工学校为平台，全面开展高质量技能培训。</w:t>
      </w:r>
      <w:r>
        <w:rPr>
          <w:rFonts w:hint="eastAsia" w:ascii="仿宋" w:hAnsi="仿宋" w:eastAsia="仿宋" w:cs="仿宋"/>
          <w:b w:val="0"/>
          <w:bCs w:val="0"/>
          <w:color w:val="auto"/>
          <w:kern w:val="2"/>
          <w:sz w:val="28"/>
          <w:szCs w:val="28"/>
          <w:highlight w:val="none"/>
          <w:lang w:val="en-US" w:eastAsia="zh-CN" w:bidi="ar-SA"/>
        </w:rPr>
        <w:t>二是</w:t>
      </w:r>
      <w:r>
        <w:rPr>
          <w:rFonts w:hint="eastAsia" w:ascii="仿宋" w:hAnsi="仿宋" w:eastAsia="仿宋" w:cs="仿宋"/>
          <w:b w:val="0"/>
          <w:bCs w:val="0"/>
          <w:color w:val="auto"/>
          <w:sz w:val="28"/>
          <w:szCs w:val="28"/>
          <w:highlight w:val="none"/>
          <w:lang w:val="en-US" w:eastAsia="zh-CN"/>
        </w:rPr>
        <w:t>加强校校、校企交流，共谋合作推进培训精准化。</w:t>
      </w:r>
      <w:r>
        <w:rPr>
          <w:rFonts w:hint="eastAsia" w:ascii="仿宋" w:hAnsi="仿宋" w:eastAsia="仿宋" w:cs="仿宋"/>
          <w:b w:val="0"/>
          <w:bCs w:val="0"/>
          <w:color w:val="auto"/>
          <w:sz w:val="28"/>
          <w:szCs w:val="28"/>
          <w:highlight w:val="none"/>
        </w:rPr>
        <w:t>采用校校合作、校企合作的办学模式</w:t>
      </w:r>
      <w:r>
        <w:rPr>
          <w:rFonts w:hint="eastAsia" w:ascii="仿宋" w:hAnsi="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rPr>
        <w:t>补充职业技能专业技师的短缺的问题，也根据企业用工需求，进行订单式培训。</w:t>
      </w:r>
      <w:r>
        <w:rPr>
          <w:rFonts w:hint="eastAsia" w:ascii="仿宋" w:hAnsi="仿宋" w:cs="仿宋"/>
          <w:b w:val="0"/>
          <w:bCs w:val="0"/>
          <w:color w:val="auto"/>
          <w:kern w:val="2"/>
          <w:sz w:val="28"/>
          <w:szCs w:val="28"/>
          <w:highlight w:val="none"/>
          <w:lang w:val="en-US" w:eastAsia="zh-CN" w:bidi="ar-SA"/>
        </w:rPr>
        <w:t>三</w:t>
      </w:r>
      <w:r>
        <w:rPr>
          <w:rFonts w:hint="eastAsia" w:ascii="仿宋" w:hAnsi="仿宋" w:eastAsia="仿宋" w:cs="仿宋"/>
          <w:b w:val="0"/>
          <w:bCs w:val="0"/>
          <w:color w:val="auto"/>
          <w:kern w:val="2"/>
          <w:sz w:val="28"/>
          <w:szCs w:val="28"/>
          <w:highlight w:val="none"/>
          <w:lang w:val="en-US" w:eastAsia="zh-CN" w:bidi="ar-SA"/>
        </w:rPr>
        <w:t>是</w:t>
      </w:r>
      <w:r>
        <w:rPr>
          <w:rFonts w:hint="eastAsia" w:ascii="仿宋" w:hAnsi="仿宋" w:eastAsia="仿宋" w:cs="仿宋"/>
          <w:b w:val="0"/>
          <w:bCs w:val="0"/>
          <w:color w:val="auto"/>
          <w:sz w:val="28"/>
          <w:szCs w:val="28"/>
          <w:highlight w:val="none"/>
          <w:lang w:val="en-US" w:eastAsia="zh-CN"/>
        </w:rPr>
        <w:t>拓宽招生渠道，提升培训就业一体化服务效能。</w:t>
      </w:r>
      <w:r>
        <w:rPr>
          <w:rFonts w:hint="eastAsia" w:ascii="仿宋" w:hAnsi="仿宋" w:cs="仿宋"/>
          <w:b w:val="0"/>
          <w:bCs w:val="0"/>
          <w:color w:val="auto"/>
          <w:kern w:val="2"/>
          <w:sz w:val="28"/>
          <w:szCs w:val="28"/>
          <w:highlight w:val="none"/>
          <w:lang w:val="en-US" w:eastAsia="zh-CN" w:bidi="ar-SA"/>
        </w:rPr>
        <w:t>四</w:t>
      </w:r>
      <w:r>
        <w:rPr>
          <w:rFonts w:hint="eastAsia" w:ascii="仿宋" w:hAnsi="仿宋" w:eastAsia="仿宋" w:cs="仿宋"/>
          <w:b w:val="0"/>
          <w:bCs w:val="0"/>
          <w:color w:val="auto"/>
          <w:kern w:val="2"/>
          <w:sz w:val="28"/>
          <w:szCs w:val="28"/>
          <w:highlight w:val="none"/>
          <w:lang w:val="en-US" w:eastAsia="zh-CN" w:bidi="ar-SA"/>
        </w:rPr>
        <w:t>是</w:t>
      </w:r>
      <w:r>
        <w:rPr>
          <w:rFonts w:hint="eastAsia" w:ascii="仿宋" w:hAnsi="仿宋" w:eastAsia="仿宋" w:cs="仿宋"/>
          <w:b w:val="0"/>
          <w:bCs w:val="0"/>
          <w:color w:val="auto"/>
          <w:sz w:val="28"/>
          <w:szCs w:val="28"/>
          <w:highlight w:val="none"/>
          <w:lang w:val="en-US" w:eastAsia="zh-CN"/>
        </w:rPr>
        <w:t>充分发挥创业担保贷款扶持创业、带动就业、促进发展的积极作用</w:t>
      </w:r>
      <w:r>
        <w:rPr>
          <w:rFonts w:hint="eastAsia" w:ascii="仿宋" w:hAnsi="仿宋" w:eastAsia="仿宋" w:cs="仿宋"/>
          <w:b w:val="0"/>
          <w:bCs w:val="0"/>
          <w:color w:val="auto"/>
          <w:sz w:val="28"/>
          <w:szCs w:val="28"/>
          <w:highlight w:val="none"/>
          <w:lang w:eastAsia="zh-CN"/>
        </w:rPr>
        <w:t>。</w:t>
      </w:r>
    </w:p>
    <w:p w14:paraId="6AE08EAA">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560" w:firstLineChars="0"/>
        <w:textAlignment w:val="auto"/>
        <w:rPr>
          <w:rFonts w:hint="eastAsia"/>
          <w:color w:val="auto"/>
          <w:highlight w:val="none"/>
          <w:lang w:val="en-US" w:eastAsia="zh-CN"/>
        </w:rPr>
      </w:pPr>
      <w:r>
        <w:rPr>
          <w:rFonts w:hint="eastAsia" w:ascii="仿宋" w:hAnsi="仿宋" w:eastAsia="仿宋" w:cs="仿宋"/>
          <w:color w:val="auto"/>
          <w:kern w:val="0"/>
          <w:sz w:val="28"/>
          <w:szCs w:val="28"/>
          <w:highlight w:val="none"/>
          <w:lang w:val="en-US" w:eastAsia="zh-CN" w:bidi="ar-SA"/>
        </w:rPr>
        <w:t>完善服务</w:t>
      </w:r>
      <w:r>
        <w:rPr>
          <w:rFonts w:hint="eastAsia" w:ascii="仿宋" w:hAnsi="仿宋" w:eastAsia="仿宋" w:cs="仿宋"/>
          <w:b w:val="0"/>
          <w:bCs w:val="0"/>
          <w:color w:val="auto"/>
          <w:kern w:val="0"/>
          <w:sz w:val="28"/>
          <w:szCs w:val="28"/>
          <w:highlight w:val="none"/>
          <w:lang w:val="en-US" w:eastAsia="zh-CN" w:bidi="ar-SA"/>
        </w:rPr>
        <w:t>平台、创优服务质量，织密全民共享的社会保障网。</w:t>
      </w:r>
      <w:r>
        <w:rPr>
          <w:rFonts w:hint="eastAsia" w:ascii="仿宋" w:hAnsi="仿宋" w:eastAsia="仿宋" w:cs="仿宋"/>
          <w:b w:val="0"/>
          <w:bCs w:val="0"/>
          <w:color w:val="auto"/>
          <w:kern w:val="2"/>
          <w:sz w:val="28"/>
          <w:szCs w:val="28"/>
          <w:highlight w:val="none"/>
          <w:lang w:val="en-US" w:eastAsia="zh-CN" w:bidi="ar-SA"/>
        </w:rPr>
        <w:t>一是加大</w:t>
      </w:r>
      <w:r>
        <w:rPr>
          <w:rFonts w:hint="eastAsia" w:ascii="仿宋" w:hAnsi="仿宋" w:eastAsia="仿宋" w:cs="仿宋"/>
          <w:b w:val="0"/>
          <w:bCs w:val="0"/>
          <w:color w:val="auto"/>
          <w:sz w:val="28"/>
          <w:szCs w:val="28"/>
          <w:highlight w:val="none"/>
        </w:rPr>
        <w:t>社会保险补贴</w:t>
      </w:r>
      <w:r>
        <w:rPr>
          <w:rFonts w:hint="eastAsia" w:ascii="仿宋" w:hAnsi="仿宋" w:eastAsia="仿宋" w:cs="仿宋"/>
          <w:b w:val="0"/>
          <w:bCs w:val="0"/>
          <w:color w:val="auto"/>
          <w:sz w:val="28"/>
          <w:szCs w:val="28"/>
          <w:highlight w:val="none"/>
          <w:lang w:val="en-US" w:eastAsia="zh-CN"/>
        </w:rPr>
        <w:t>力度</w:t>
      </w:r>
      <w:r>
        <w:rPr>
          <w:rFonts w:hint="eastAsia" w:ascii="仿宋" w:hAnsi="仿宋" w:eastAsia="仿宋" w:cs="仿宋"/>
          <w:b w:val="0"/>
          <w:bCs w:val="0"/>
          <w:color w:val="auto"/>
          <w:sz w:val="28"/>
          <w:szCs w:val="28"/>
          <w:highlight w:val="none"/>
        </w:rPr>
        <w:t>。为切实防范化解就业领域风险，加大就业补贴支付力度，减轻企业负担。</w:t>
      </w:r>
      <w:r>
        <w:rPr>
          <w:rFonts w:hint="eastAsia" w:ascii="仿宋" w:hAnsi="仿宋" w:eastAsia="仿宋" w:cs="仿宋"/>
          <w:b w:val="0"/>
          <w:bCs w:val="0"/>
          <w:color w:val="auto"/>
          <w:sz w:val="28"/>
          <w:szCs w:val="28"/>
          <w:highlight w:val="none"/>
          <w:lang w:val="en-US" w:eastAsia="zh-CN"/>
        </w:rPr>
        <w:t>和静县人社局对县域范围内中小微企业和灵活就业人员开展深入摸排，对符合享受社保补贴的企业、个人进行点对点宣传讲解，确保应享尽享。</w:t>
      </w:r>
      <w:r>
        <w:rPr>
          <w:rFonts w:hint="eastAsia" w:ascii="仿宋" w:hAnsi="仿宋" w:eastAsia="仿宋" w:cs="仿宋"/>
          <w:b w:val="0"/>
          <w:bCs w:val="0"/>
          <w:color w:val="auto"/>
          <w:kern w:val="2"/>
          <w:sz w:val="28"/>
          <w:szCs w:val="28"/>
          <w:highlight w:val="none"/>
          <w:lang w:val="en-US" w:eastAsia="zh-CN" w:bidi="ar-SA"/>
        </w:rPr>
        <w:t>二是</w:t>
      </w:r>
      <w:r>
        <w:rPr>
          <w:rFonts w:hint="eastAsia" w:ascii="仿宋" w:hAnsi="仿宋" w:eastAsia="仿宋" w:cs="仿宋"/>
          <w:b w:val="0"/>
          <w:bCs w:val="0"/>
          <w:color w:val="auto"/>
          <w:sz w:val="28"/>
          <w:szCs w:val="28"/>
          <w:highlight w:val="none"/>
        </w:rPr>
        <w:t>延续实施稳岗补贴政策。加强大数据信息比对，</w:t>
      </w:r>
      <w:r>
        <w:rPr>
          <w:rFonts w:hint="eastAsia" w:ascii="仿宋" w:hAnsi="仿宋" w:eastAsia="仿宋" w:cs="仿宋"/>
          <w:b w:val="0"/>
          <w:bCs w:val="0"/>
          <w:color w:val="auto"/>
          <w:sz w:val="28"/>
          <w:szCs w:val="28"/>
          <w:highlight w:val="none"/>
          <w:lang w:val="en-US" w:eastAsia="zh-CN"/>
        </w:rPr>
        <w:t>对符合稳岗补贴</w:t>
      </w:r>
      <w:r>
        <w:rPr>
          <w:rFonts w:hint="eastAsia" w:ascii="仿宋" w:hAnsi="仿宋" w:eastAsia="仿宋" w:cs="仿宋"/>
          <w:b w:val="0"/>
          <w:bCs w:val="0"/>
          <w:color w:val="auto"/>
          <w:sz w:val="28"/>
          <w:szCs w:val="28"/>
          <w:highlight w:val="none"/>
        </w:rPr>
        <w:t>条件的企业，简化办事流程，即时发放补贴。</w:t>
      </w:r>
    </w:p>
    <w:p w14:paraId="00EBBC25">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14:paraId="07948374">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6D0FA194">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77E97FBA">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我单位年初预算数为6612.28万元，实际预算执行数6612.28万元，预算执行率为100%。</w:t>
      </w:r>
    </w:p>
    <w:p w14:paraId="6C0E4354">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4F89A508">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全年预算数为6801.41万元，全年实际支出资金6801.41万元，预算执行率为100%。</w:t>
      </w:r>
    </w:p>
    <w:p w14:paraId="20B5C34D">
      <w:pPr>
        <w:pStyle w:val="5"/>
        <w:bidi w:val="0"/>
        <w:rPr>
          <w:rFonts w:hint="eastAsia"/>
          <w:color w:val="auto"/>
          <w:highlight w:val="none"/>
          <w:lang w:val="en-US" w:eastAsia="zh-CN"/>
        </w:rPr>
      </w:pPr>
      <w:r>
        <w:rPr>
          <w:rFonts w:hint="eastAsia"/>
          <w:color w:val="auto"/>
          <w:highlight w:val="none"/>
          <w:lang w:val="en-US" w:eastAsia="zh-CN"/>
        </w:rPr>
        <w:t>2.预算调整（追加减）情况</w:t>
      </w:r>
    </w:p>
    <w:p w14:paraId="78CAE9B5">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6612.28</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189.13</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6801.41</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2.86</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2.86</w:t>
      </w:r>
      <w:r>
        <w:rPr>
          <w:rFonts w:hint="eastAsia" w:ascii="Times New Roman" w:hAnsi="Times New Roman" w:cs="Times New Roman"/>
          <w:bCs/>
          <w:color w:val="auto"/>
          <w:highlight w:val="none"/>
          <w:lang w:eastAsia="zh-CN"/>
        </w:rPr>
        <w:t>%。）</w:t>
      </w:r>
    </w:p>
    <w:p w14:paraId="4E83C6E6">
      <w:pPr>
        <w:pStyle w:val="5"/>
        <w:rPr>
          <w:rFonts w:hint="default"/>
          <w:color w:val="auto"/>
          <w:highlight w:val="none"/>
          <w:lang w:val="en-US" w:eastAsia="zh-CN"/>
        </w:rPr>
      </w:pPr>
      <w:r>
        <w:rPr>
          <w:rFonts w:hint="default"/>
          <w:color w:val="auto"/>
          <w:highlight w:val="none"/>
          <w:lang w:val="en-US" w:eastAsia="zh-CN"/>
        </w:rPr>
        <w:t>3.资金使用主要内容、涉及的范围</w:t>
      </w:r>
    </w:p>
    <w:p w14:paraId="51826FBC">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ascii="Times New Roman" w:hAnsi="Times New Roman" w:cs="Times New Roman"/>
          <w:bCs/>
          <w:color w:val="auto"/>
          <w:highlight w:val="none"/>
          <w:lang w:val="en-US" w:eastAsia="zh-CN"/>
        </w:rPr>
        <w:t>6801.41</w:t>
      </w:r>
      <w:r>
        <w:rPr>
          <w:rFonts w:hint="default"/>
          <w:color w:val="auto"/>
          <w:highlight w:val="none"/>
          <w:lang w:val="en-US" w:eastAsia="zh-CN"/>
        </w:rPr>
        <w:t>万元，其中：</w:t>
      </w:r>
    </w:p>
    <w:p w14:paraId="30281CC4">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4431.95</w:t>
      </w:r>
      <w:r>
        <w:rPr>
          <w:rFonts w:hint="default"/>
          <w:color w:val="auto"/>
          <w:highlight w:val="none"/>
          <w:lang w:val="en-US" w:eastAsia="zh-CN"/>
        </w:rPr>
        <w:t>万元，资金的使用方向为我单位机关人员经费支出</w:t>
      </w:r>
      <w:r>
        <w:rPr>
          <w:rFonts w:hint="eastAsia"/>
          <w:color w:val="auto"/>
          <w:highlight w:val="none"/>
          <w:lang w:val="en-US" w:eastAsia="zh-CN"/>
        </w:rPr>
        <w:t>4406.27</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25.68</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14:paraId="0060AC4E">
      <w:pPr>
        <w:pStyle w:val="27"/>
        <w:keepNext w:val="0"/>
        <w:keepLines w:val="0"/>
        <w:pageBreakBefore w:val="0"/>
        <w:kinsoku/>
        <w:wordWrap/>
        <w:overflowPunct/>
        <w:topLinePunct w:val="0"/>
        <w:autoSpaceDE/>
        <w:autoSpaceDN/>
        <w:bidi w:val="0"/>
        <w:adjustRightInd/>
        <w:snapToGrid/>
        <w:spacing w:line="584" w:lineRule="exact"/>
        <w:jc w:val="both"/>
        <w:textAlignment w:val="auto"/>
        <w:rPr>
          <w:rFonts w:hint="default" w:ascii="仿宋_GB2312" w:hAnsi="仿宋_GB2312" w:eastAsia="仿宋" w:cs="仿宋_GB2312"/>
          <w:color w:val="auto"/>
          <w:kern w:val="2"/>
          <w:sz w:val="28"/>
          <w:szCs w:val="24"/>
          <w:highlight w:val="none"/>
          <w:lang w:val="en-US" w:eastAsia="zh-CN" w:bidi="ar-SA"/>
        </w:rPr>
      </w:pPr>
      <w:r>
        <w:rPr>
          <w:rFonts w:hint="default" w:ascii="仿宋_GB2312" w:hAnsi="仿宋_GB2312" w:eastAsia="仿宋" w:cs="仿宋_GB2312"/>
          <w:color w:val="auto"/>
          <w:kern w:val="2"/>
          <w:sz w:val="28"/>
          <w:szCs w:val="24"/>
          <w:highlight w:val="none"/>
          <w:lang w:val="en-US" w:eastAsia="zh-CN" w:bidi="ar-SA"/>
        </w:rPr>
        <w:t>项目支出共计</w:t>
      </w:r>
      <w:r>
        <w:rPr>
          <w:rFonts w:hint="eastAsia" w:eastAsia="仿宋" w:cs="仿宋_GB2312"/>
          <w:color w:val="auto"/>
          <w:kern w:val="2"/>
          <w:sz w:val="28"/>
          <w:szCs w:val="24"/>
          <w:highlight w:val="none"/>
          <w:lang w:val="en-US" w:eastAsia="zh-CN" w:bidi="ar-SA"/>
        </w:rPr>
        <w:t>2369.45</w:t>
      </w:r>
      <w:r>
        <w:rPr>
          <w:rFonts w:hint="default" w:ascii="仿宋_GB2312" w:hAnsi="仿宋_GB2312" w:eastAsia="仿宋" w:cs="仿宋_GB2312"/>
          <w:color w:val="auto"/>
          <w:kern w:val="2"/>
          <w:sz w:val="28"/>
          <w:szCs w:val="24"/>
          <w:highlight w:val="none"/>
          <w:lang w:val="en-US" w:eastAsia="zh-CN" w:bidi="ar-SA"/>
        </w:rPr>
        <w:t>万元，主要用于保障高校毕业生</w:t>
      </w:r>
      <w:bookmarkStart w:id="6" w:name="_GoBack"/>
      <w:bookmarkEnd w:id="6"/>
      <w:r>
        <w:rPr>
          <w:rFonts w:hint="default" w:ascii="仿宋_GB2312" w:hAnsi="仿宋_GB2312" w:eastAsia="仿宋" w:cs="仿宋_GB2312"/>
          <w:color w:val="auto"/>
          <w:kern w:val="2"/>
          <w:sz w:val="28"/>
          <w:szCs w:val="24"/>
          <w:highlight w:val="none"/>
          <w:lang w:val="en-US" w:eastAsia="zh-CN" w:bidi="ar-SA"/>
        </w:rPr>
        <w:t>三支一扶中央财政补助项目、</w:t>
      </w:r>
      <w:r>
        <w:rPr>
          <w:rFonts w:hint="eastAsia" w:ascii="仿宋_GB2312" w:hAnsi="仿宋_GB2312" w:eastAsia="仿宋" w:cs="仿宋_GB2312"/>
          <w:color w:val="auto"/>
          <w:kern w:val="2"/>
          <w:sz w:val="28"/>
          <w:szCs w:val="24"/>
          <w:highlight w:val="none"/>
          <w:lang w:val="en-US" w:eastAsia="zh-CN" w:bidi="ar-SA"/>
        </w:rPr>
        <w:t>职业培训补贴</w:t>
      </w:r>
      <w:r>
        <w:rPr>
          <w:rFonts w:hint="default" w:ascii="仿宋_GB2312" w:hAnsi="仿宋_GB2312" w:eastAsia="仿宋" w:cs="仿宋_GB2312"/>
          <w:color w:val="auto"/>
          <w:kern w:val="2"/>
          <w:sz w:val="28"/>
          <w:szCs w:val="24"/>
          <w:highlight w:val="none"/>
          <w:lang w:val="en-US" w:eastAsia="zh-CN" w:bidi="ar-SA"/>
        </w:rPr>
        <w:t>项目、</w:t>
      </w:r>
      <w:r>
        <w:rPr>
          <w:rFonts w:hint="eastAsia" w:ascii="仿宋_GB2312" w:hAnsi="仿宋_GB2312" w:eastAsia="仿宋" w:cs="仿宋_GB2312"/>
          <w:color w:val="auto"/>
          <w:kern w:val="2"/>
          <w:sz w:val="28"/>
          <w:szCs w:val="24"/>
          <w:highlight w:val="none"/>
          <w:lang w:val="en-US" w:eastAsia="zh-CN" w:bidi="ar-SA"/>
        </w:rPr>
        <w:t>社会保险补贴</w:t>
      </w:r>
      <w:r>
        <w:rPr>
          <w:rFonts w:hint="default" w:ascii="仿宋_GB2312" w:hAnsi="仿宋_GB2312" w:eastAsia="仿宋" w:cs="仿宋_GB2312"/>
          <w:color w:val="auto"/>
          <w:kern w:val="2"/>
          <w:sz w:val="28"/>
          <w:szCs w:val="24"/>
          <w:highlight w:val="none"/>
          <w:lang w:val="en-US" w:eastAsia="zh-CN" w:bidi="ar-SA"/>
        </w:rPr>
        <w:t>项目等项目支出</w:t>
      </w:r>
      <w:r>
        <w:rPr>
          <w:rFonts w:hint="eastAsia" w:ascii="仿宋_GB2312" w:hAnsi="仿宋_GB2312" w:eastAsia="仿宋" w:cs="仿宋_GB2312"/>
          <w:color w:val="auto"/>
          <w:kern w:val="2"/>
          <w:sz w:val="28"/>
          <w:szCs w:val="24"/>
          <w:highlight w:val="none"/>
          <w:lang w:val="en-US" w:eastAsia="zh-CN" w:bidi="ar-SA"/>
        </w:rPr>
        <w:t>、就业见习补贴</w:t>
      </w:r>
      <w:r>
        <w:rPr>
          <w:rFonts w:hint="default" w:ascii="仿宋_GB2312" w:hAnsi="仿宋_GB2312" w:eastAsia="仿宋" w:cs="仿宋_GB2312"/>
          <w:color w:val="auto"/>
          <w:kern w:val="2"/>
          <w:sz w:val="28"/>
          <w:szCs w:val="24"/>
          <w:highlight w:val="none"/>
          <w:lang w:val="en-US" w:eastAsia="zh-CN" w:bidi="ar-SA"/>
        </w:rPr>
        <w:t>项目、</w:t>
      </w:r>
      <w:r>
        <w:rPr>
          <w:rFonts w:hint="eastAsia" w:ascii="仿宋_GB2312" w:hAnsi="仿宋_GB2312" w:eastAsia="仿宋" w:cs="仿宋_GB2312"/>
          <w:color w:val="auto"/>
          <w:kern w:val="2"/>
          <w:sz w:val="28"/>
          <w:szCs w:val="24"/>
          <w:highlight w:val="none"/>
          <w:lang w:val="en-US" w:eastAsia="zh-CN" w:bidi="ar-SA"/>
        </w:rPr>
        <w:t>自治区财政衔接推进乡村振兴补助资金</w:t>
      </w:r>
      <w:r>
        <w:rPr>
          <w:rFonts w:hint="default" w:ascii="仿宋_GB2312" w:hAnsi="仿宋_GB2312" w:eastAsia="仿宋" w:cs="仿宋_GB2312"/>
          <w:color w:val="auto"/>
          <w:kern w:val="2"/>
          <w:sz w:val="28"/>
          <w:szCs w:val="24"/>
          <w:highlight w:val="none"/>
          <w:lang w:val="en-US" w:eastAsia="zh-CN" w:bidi="ar-SA"/>
        </w:rPr>
        <w:t>项目、</w:t>
      </w:r>
      <w:r>
        <w:rPr>
          <w:rFonts w:hint="eastAsia" w:ascii="仿宋_GB2312" w:hAnsi="仿宋_GB2312" w:eastAsia="仿宋" w:cs="仿宋_GB2312"/>
          <w:color w:val="auto"/>
          <w:kern w:val="2"/>
          <w:sz w:val="28"/>
          <w:szCs w:val="24"/>
          <w:highlight w:val="none"/>
          <w:lang w:val="en-US" w:eastAsia="zh-CN" w:bidi="ar-SA"/>
        </w:rPr>
        <w:t>普惠金融发展</w:t>
      </w:r>
      <w:r>
        <w:rPr>
          <w:rFonts w:hint="default" w:ascii="仿宋_GB2312" w:hAnsi="仿宋_GB2312" w:eastAsia="仿宋" w:cs="仿宋_GB2312"/>
          <w:color w:val="auto"/>
          <w:kern w:val="2"/>
          <w:sz w:val="28"/>
          <w:szCs w:val="24"/>
          <w:highlight w:val="none"/>
          <w:lang w:val="en-US" w:eastAsia="zh-CN" w:bidi="ar-SA"/>
        </w:rPr>
        <w:t>项目</w:t>
      </w:r>
      <w:r>
        <w:rPr>
          <w:rFonts w:hint="eastAsia" w:ascii="仿宋_GB2312" w:hAnsi="仿宋_GB2312" w:eastAsia="仿宋" w:cs="仿宋_GB2312"/>
          <w:color w:val="auto"/>
          <w:kern w:val="2"/>
          <w:sz w:val="28"/>
          <w:szCs w:val="24"/>
          <w:highlight w:val="none"/>
          <w:lang w:val="en-US" w:eastAsia="zh-CN" w:bidi="ar-SA"/>
        </w:rPr>
        <w:t>。</w:t>
      </w:r>
    </w:p>
    <w:p w14:paraId="5E1158B2">
      <w:pPr>
        <w:bidi w:val="0"/>
        <w:rPr>
          <w:rFonts w:hint="default" w:ascii="仿宋_GB2312" w:hAnsi="仿宋_GB2312" w:eastAsia="仿宋" w:cs="仿宋_GB2312"/>
          <w:color w:val="auto"/>
          <w:kern w:val="2"/>
          <w:sz w:val="28"/>
          <w:szCs w:val="24"/>
          <w:highlight w:val="none"/>
          <w:lang w:val="en-US" w:eastAsia="zh-CN" w:bidi="ar-SA"/>
        </w:rPr>
      </w:pPr>
    </w:p>
    <w:p w14:paraId="6E7759E5">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4B125F11">
      <w:pPr>
        <w:pStyle w:val="4"/>
        <w:bidi w:val="0"/>
        <w:rPr>
          <w:rFonts w:hint="eastAsia"/>
          <w:color w:val="auto"/>
          <w:highlight w:val="none"/>
          <w:lang w:val="en-US" w:eastAsia="zh-CN"/>
        </w:rPr>
      </w:pPr>
      <w:r>
        <w:rPr>
          <w:rFonts w:hint="eastAsia"/>
          <w:color w:val="auto"/>
          <w:highlight w:val="none"/>
          <w:lang w:val="en-US" w:eastAsia="zh-CN"/>
        </w:rPr>
        <w:t>（一）基本支出和使用情况</w:t>
      </w:r>
    </w:p>
    <w:p w14:paraId="74FA2714">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4431.95万元，全年实际支出4431.95万元，资金执行率100%。基本支出严格按照财务管理制度执行，其中：</w:t>
      </w:r>
    </w:p>
    <w:p w14:paraId="69305948">
      <w:pPr>
        <w:bidi w:val="0"/>
        <w:rPr>
          <w:rFonts w:hint="eastAsia"/>
          <w:color w:val="auto"/>
          <w:highlight w:val="none"/>
          <w:lang w:val="en-US" w:eastAsia="zh-CN"/>
        </w:rPr>
      </w:pPr>
      <w:r>
        <w:rPr>
          <w:rFonts w:hint="eastAsia"/>
          <w:color w:val="auto"/>
          <w:highlight w:val="none"/>
          <w:lang w:val="en-US" w:eastAsia="zh-CN"/>
        </w:rPr>
        <w:t>人员经费支出4406.27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14:paraId="476BE36B">
      <w:pPr>
        <w:bidi w:val="0"/>
        <w:rPr>
          <w:rFonts w:hint="eastAsia"/>
          <w:color w:val="auto"/>
          <w:highlight w:val="none"/>
          <w:lang w:val="en-US" w:eastAsia="zh-CN"/>
        </w:rPr>
      </w:pPr>
      <w:r>
        <w:rPr>
          <w:rFonts w:hint="eastAsia"/>
          <w:color w:val="auto"/>
          <w:highlight w:val="none"/>
          <w:lang w:val="en-US" w:eastAsia="zh-CN"/>
        </w:rPr>
        <w:t>公用经费支出25.68万元，主要包括：办公费、印刷费、水费、电费、邮电费、取暖费、物业管理费、差旅费、培训费、公务接待费、工会经费、福利费、公务用车运行维护费、其他交通费用、其他商品和服务支出。</w:t>
      </w:r>
    </w:p>
    <w:p w14:paraId="0FF5C7C9">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14:paraId="5D76347B">
      <w:pPr>
        <w:pStyle w:val="5"/>
        <w:bidi w:val="0"/>
        <w:rPr>
          <w:rFonts w:hint="eastAsia"/>
          <w:color w:val="auto"/>
          <w:highlight w:val="none"/>
          <w:lang w:val="en-US" w:eastAsia="zh-CN"/>
        </w:rPr>
      </w:pPr>
      <w:r>
        <w:rPr>
          <w:rFonts w:hint="eastAsia"/>
          <w:color w:val="auto"/>
          <w:highlight w:val="none"/>
          <w:lang w:val="en-US" w:eastAsia="zh-CN"/>
        </w:rPr>
        <w:t>1.政策、项目支出的投入情况分析</w:t>
      </w:r>
    </w:p>
    <w:p w14:paraId="5AEFB032">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w:t>
      </w:r>
      <w:r>
        <w:rPr>
          <w:rFonts w:hint="eastAsia" w:eastAsia="仿宋" w:cs="仿宋_GB2312"/>
          <w:color w:val="auto"/>
          <w:kern w:val="2"/>
          <w:sz w:val="28"/>
          <w:szCs w:val="24"/>
          <w:highlight w:val="none"/>
          <w:lang w:val="en-US" w:eastAsia="zh-CN" w:bidi="ar-SA"/>
        </w:rPr>
        <w:t>2369.45</w:t>
      </w:r>
      <w:r>
        <w:rPr>
          <w:rFonts w:hint="eastAsia"/>
          <w:color w:val="auto"/>
          <w:highlight w:val="none"/>
          <w:lang w:eastAsia="zh-CN"/>
        </w:rPr>
        <w:t>万元，</w:t>
      </w:r>
      <w:r>
        <w:rPr>
          <w:rFonts w:hint="eastAsia"/>
          <w:color w:val="auto"/>
          <w:highlight w:val="none"/>
          <w:lang w:val="en-US" w:eastAsia="zh-CN"/>
        </w:rPr>
        <w:t>其中：上级专项资金</w:t>
      </w:r>
      <w:r>
        <w:rPr>
          <w:rFonts w:hint="eastAsia" w:eastAsia="仿宋" w:cs="仿宋_GB2312"/>
          <w:color w:val="auto"/>
          <w:kern w:val="2"/>
          <w:sz w:val="28"/>
          <w:szCs w:val="24"/>
          <w:highlight w:val="none"/>
          <w:lang w:val="en-US" w:eastAsia="zh-CN" w:bidi="ar-SA"/>
        </w:rPr>
        <w:t>23</w:t>
      </w:r>
      <w:r>
        <w:rPr>
          <w:rFonts w:hint="eastAsia" w:cs="仿宋_GB2312"/>
          <w:color w:val="auto"/>
          <w:kern w:val="2"/>
          <w:sz w:val="28"/>
          <w:szCs w:val="24"/>
          <w:highlight w:val="none"/>
          <w:lang w:val="en-US" w:eastAsia="zh-CN" w:bidi="ar-SA"/>
        </w:rPr>
        <w:t>69.45</w:t>
      </w:r>
      <w:r>
        <w:rPr>
          <w:rFonts w:hint="eastAsia"/>
          <w:color w:val="auto"/>
          <w:highlight w:val="none"/>
          <w:lang w:val="en-US" w:eastAsia="zh-CN"/>
        </w:rPr>
        <w:t>万元，本级财政资金0万元</w:t>
      </w:r>
      <w:r>
        <w:rPr>
          <w:rFonts w:hint="eastAsia"/>
          <w:color w:val="auto"/>
          <w:highlight w:val="none"/>
          <w:lang w:eastAsia="zh-CN"/>
        </w:rPr>
        <w:t>。</w:t>
      </w:r>
    </w:p>
    <w:p w14:paraId="0D5BBBBA">
      <w:pPr>
        <w:pStyle w:val="5"/>
        <w:bidi w:val="0"/>
        <w:rPr>
          <w:rFonts w:hint="eastAsia"/>
          <w:color w:val="auto"/>
          <w:highlight w:val="none"/>
          <w:lang w:val="en-US" w:eastAsia="zh-CN"/>
        </w:rPr>
      </w:pPr>
      <w:r>
        <w:rPr>
          <w:rFonts w:hint="eastAsia"/>
          <w:color w:val="auto"/>
          <w:highlight w:val="none"/>
          <w:lang w:val="en-US" w:eastAsia="zh-CN"/>
        </w:rPr>
        <w:t>2.政策、项目支出管理情况</w:t>
      </w:r>
    </w:p>
    <w:p w14:paraId="071FA057">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w:t>
      </w:r>
      <w:r>
        <w:rPr>
          <w:rFonts w:hint="eastAsia" w:eastAsia="仿宋" w:cs="仿宋_GB2312"/>
          <w:color w:val="auto"/>
          <w:kern w:val="2"/>
          <w:sz w:val="28"/>
          <w:szCs w:val="24"/>
          <w:highlight w:val="none"/>
          <w:lang w:val="en-US" w:eastAsia="zh-CN" w:bidi="ar-SA"/>
        </w:rPr>
        <w:t>2369.45</w:t>
      </w:r>
      <w:r>
        <w:rPr>
          <w:rFonts w:hint="eastAsia"/>
          <w:color w:val="auto"/>
          <w:highlight w:val="none"/>
          <w:lang w:val="en-US" w:eastAsia="zh-CN"/>
        </w:rPr>
        <w:t>万元，其中就业补助共</w:t>
      </w:r>
      <w:r>
        <w:rPr>
          <w:rFonts w:hint="eastAsia" w:eastAsia="仿宋" w:cs="仿宋_GB2312"/>
          <w:color w:val="auto"/>
          <w:kern w:val="2"/>
          <w:sz w:val="28"/>
          <w:szCs w:val="24"/>
          <w:highlight w:val="none"/>
          <w:lang w:val="en-US" w:eastAsia="zh-CN" w:bidi="ar-SA"/>
        </w:rPr>
        <w:t>2369.45</w:t>
      </w:r>
      <w:r>
        <w:rPr>
          <w:rFonts w:hint="eastAsia"/>
          <w:color w:val="auto"/>
          <w:highlight w:val="none"/>
          <w:lang w:val="en-US" w:eastAsia="zh-CN"/>
        </w:rPr>
        <w:t>万元，通过财政直接补贴企业或补贴到人；企业社保补贴资金全部按上级标准拨付给各企业；其他就业项目资金全部通过财政国库集中支付方式直接拨给项目实施单位。</w:t>
      </w:r>
    </w:p>
    <w:p w14:paraId="260882D0">
      <w:pPr>
        <w:bidi w:val="0"/>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对就业补助项目工作方案，明确时间节点，开展项目规划设计、部署工作，认真落实项目任务。工作中突出重点，高标准规划、精细设计，社保补贴通过企业先缴纳，后补贴，由社保股负责监督，并在规定时间完成任务。确保就业补助资金拨付得到有效落实。</w:t>
      </w:r>
    </w:p>
    <w:p w14:paraId="6D729529">
      <w:pPr>
        <w:pStyle w:val="5"/>
        <w:bidi w:val="0"/>
        <w:rPr>
          <w:rFonts w:hint="eastAsia"/>
          <w:color w:val="auto"/>
          <w:highlight w:val="none"/>
          <w:lang w:val="en-US" w:eastAsia="zh-CN"/>
        </w:rPr>
      </w:pPr>
      <w:r>
        <w:rPr>
          <w:rFonts w:hint="eastAsia"/>
          <w:color w:val="auto"/>
          <w:highlight w:val="none"/>
          <w:lang w:val="en-US" w:eastAsia="zh-CN"/>
        </w:rPr>
        <w:t>3.政策、项目支出总体实际使用情况</w:t>
      </w:r>
    </w:p>
    <w:p w14:paraId="5608E651">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w:t>
      </w:r>
      <w:r>
        <w:rPr>
          <w:rFonts w:hint="eastAsia" w:eastAsia="仿宋" w:cs="仿宋_GB2312"/>
          <w:color w:val="auto"/>
          <w:kern w:val="2"/>
          <w:sz w:val="28"/>
          <w:szCs w:val="24"/>
          <w:highlight w:val="none"/>
          <w:lang w:val="en-US" w:eastAsia="zh-CN" w:bidi="ar-SA"/>
        </w:rPr>
        <w:t>2369.45</w:t>
      </w:r>
      <w:r>
        <w:rPr>
          <w:rFonts w:hint="eastAsia"/>
          <w:color w:val="auto"/>
          <w:highlight w:val="none"/>
          <w:lang w:val="en-US" w:eastAsia="zh-CN"/>
        </w:rPr>
        <w:t>万元，</w:t>
      </w:r>
      <w:r>
        <w:rPr>
          <w:rFonts w:hint="eastAsia"/>
          <w:color w:val="auto"/>
          <w:highlight w:val="none"/>
          <w:lang w:eastAsia="zh-CN"/>
        </w:rPr>
        <w:t>实际</w:t>
      </w:r>
      <w:r>
        <w:rPr>
          <w:rFonts w:hint="eastAsia"/>
          <w:color w:val="auto"/>
          <w:highlight w:val="none"/>
          <w:lang w:val="en-US" w:eastAsia="zh-CN"/>
        </w:rPr>
        <w:t>支出</w:t>
      </w:r>
      <w:r>
        <w:rPr>
          <w:rFonts w:hint="eastAsia" w:eastAsia="仿宋" w:cs="仿宋_GB2312"/>
          <w:color w:val="auto"/>
          <w:kern w:val="2"/>
          <w:sz w:val="28"/>
          <w:szCs w:val="24"/>
          <w:highlight w:val="none"/>
          <w:lang w:val="en-US" w:eastAsia="zh-CN" w:bidi="ar-SA"/>
        </w:rPr>
        <w:t>2369.45</w:t>
      </w:r>
      <w:r>
        <w:rPr>
          <w:rFonts w:hint="eastAsia"/>
          <w:color w:val="auto"/>
          <w:highlight w:val="none"/>
          <w:lang w:eastAsia="zh-CN"/>
        </w:rPr>
        <w:t>万元，</w:t>
      </w:r>
      <w:r>
        <w:rPr>
          <w:rFonts w:hint="eastAsia"/>
          <w:color w:val="auto"/>
          <w:highlight w:val="none"/>
          <w:lang w:val="en-US" w:eastAsia="zh-CN"/>
        </w:rPr>
        <w:t>其中：上级专项资金支出</w:t>
      </w:r>
      <w:r>
        <w:rPr>
          <w:rFonts w:hint="eastAsia" w:eastAsia="仿宋" w:cs="仿宋_GB2312"/>
          <w:color w:val="auto"/>
          <w:kern w:val="2"/>
          <w:sz w:val="28"/>
          <w:szCs w:val="24"/>
          <w:highlight w:val="none"/>
          <w:lang w:val="en-US" w:eastAsia="zh-CN" w:bidi="ar-SA"/>
        </w:rPr>
        <w:t>2369.45</w:t>
      </w:r>
      <w:r>
        <w:rPr>
          <w:rFonts w:hint="eastAsia"/>
          <w:color w:val="auto"/>
          <w:highlight w:val="none"/>
          <w:lang w:val="en-US" w:eastAsia="zh-CN"/>
        </w:rPr>
        <w:t>万元，本级财政安排项目资金支出0万元，项目预算金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bookmarkStart w:id="2" w:name="_Toc1734_WPSOffice_Level1"/>
    </w:p>
    <w:p w14:paraId="128AA6EE">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w:t>
      </w:r>
      <w:r>
        <w:rPr>
          <w:rFonts w:hint="eastAsia"/>
          <w:color w:val="auto"/>
          <w:highlight w:val="none"/>
          <w:lang w:val="en-US" w:eastAsia="zh-CN"/>
        </w:rPr>
        <w:t>三支一扶补助资金</w:t>
      </w:r>
      <w:r>
        <w:rPr>
          <w:rFonts w:hint="default"/>
          <w:color w:val="auto"/>
          <w:highlight w:val="none"/>
          <w:lang w:val="en-US" w:eastAsia="zh-CN"/>
        </w:rPr>
        <w:t>支出</w:t>
      </w:r>
      <w:r>
        <w:rPr>
          <w:rFonts w:hint="eastAsia"/>
          <w:color w:val="auto"/>
          <w:highlight w:val="none"/>
          <w:lang w:val="en-US" w:eastAsia="zh-CN"/>
        </w:rPr>
        <w:t>88.77</w:t>
      </w:r>
      <w:r>
        <w:rPr>
          <w:rFonts w:hint="default"/>
          <w:color w:val="auto"/>
          <w:highlight w:val="none"/>
          <w:lang w:val="en-US" w:eastAsia="zh-CN"/>
        </w:rPr>
        <w:t>万元，</w:t>
      </w:r>
      <w:r>
        <w:rPr>
          <w:rFonts w:hint="eastAsia"/>
          <w:color w:val="auto"/>
          <w:highlight w:val="none"/>
          <w:lang w:val="en-US" w:eastAsia="zh-CN"/>
        </w:rPr>
        <w:t>就业补助支出1562.90万元，农林水支出428.42万元，纺织服装企业社保补贴资金支出289.36万元。</w:t>
      </w:r>
    </w:p>
    <w:bookmarkEnd w:id="2"/>
    <w:p w14:paraId="3054A4B9">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14:paraId="05AA8DF9">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3</w:t>
      </w:r>
      <w:r>
        <w:rPr>
          <w:rFonts w:hint="eastAsia"/>
          <w:color w:val="auto"/>
          <w:highlight w:val="none"/>
        </w:rPr>
        <w:t>个，二级指标</w:t>
      </w:r>
      <w:r>
        <w:rPr>
          <w:rFonts w:hint="eastAsia"/>
          <w:color w:val="auto"/>
          <w:highlight w:val="none"/>
          <w:lang w:val="en-US" w:eastAsia="zh-CN"/>
        </w:rPr>
        <w:t>7</w:t>
      </w:r>
      <w:r>
        <w:rPr>
          <w:rFonts w:hint="eastAsia"/>
          <w:color w:val="auto"/>
          <w:highlight w:val="none"/>
        </w:rPr>
        <w:t>个，三级指标</w:t>
      </w:r>
      <w:r>
        <w:rPr>
          <w:rFonts w:hint="eastAsia"/>
          <w:color w:val="auto"/>
          <w:highlight w:val="none"/>
          <w:lang w:val="en-US" w:eastAsia="zh-CN"/>
        </w:rPr>
        <w:t>7</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7</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54B1FDAB">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一）资金支出预算执行率</w:t>
      </w:r>
      <w:r>
        <w:rPr>
          <w:rFonts w:hint="eastAsia"/>
          <w:color w:val="auto"/>
          <w:highlight w:val="none"/>
        </w:rPr>
        <w:t>指标完成情况分析</w:t>
      </w:r>
    </w:p>
    <w:p w14:paraId="5771C51D">
      <w:pPr>
        <w:bidi w:val="0"/>
        <w:rPr>
          <w:rFonts w:hint="eastAsia"/>
          <w:color w:val="auto"/>
          <w:highlight w:val="none"/>
          <w:lang w:val="en-US" w:eastAsia="zh-CN"/>
        </w:rPr>
      </w:pPr>
      <w:r>
        <w:rPr>
          <w:rFonts w:hint="eastAsia"/>
          <w:color w:val="auto"/>
          <w:highlight w:val="none"/>
          <w:lang w:val="en-US" w:eastAsia="zh-CN"/>
        </w:rPr>
        <w:t>资金支出预算执行率指标年初设定目标是100%，年中绩效运行监控时完成值40.24%，年终实际完成值是100%，达到资金支出和预算资金合理安排的预期目标。指标完成率是100%。偏差原因：无偏差。</w:t>
      </w:r>
    </w:p>
    <w:p w14:paraId="1472AB16">
      <w:pPr>
        <w:pStyle w:val="4"/>
        <w:numPr>
          <w:ilvl w:val="0"/>
          <w:numId w:val="2"/>
        </w:numPr>
        <w:bidi w:val="0"/>
        <w:ind w:left="-80" w:leftChars="0" w:firstLineChars="0"/>
        <w:rPr>
          <w:rFonts w:hint="eastAsia"/>
          <w:color w:val="auto"/>
          <w:highlight w:val="none"/>
          <w:lang w:val="en-US" w:eastAsia="zh-CN"/>
        </w:rPr>
      </w:pPr>
      <w:r>
        <w:rPr>
          <w:rFonts w:hint="eastAsia"/>
          <w:color w:val="auto"/>
          <w:highlight w:val="none"/>
          <w:lang w:val="en-US" w:eastAsia="zh-CN"/>
        </w:rPr>
        <w:t>“三公经费”控制率指标完成情况分析</w:t>
      </w:r>
    </w:p>
    <w:p w14:paraId="0A435417">
      <w:pPr>
        <w:bidi w:val="0"/>
        <w:rPr>
          <w:rFonts w:hint="eastAsia"/>
          <w:color w:val="auto"/>
          <w:highlight w:val="none"/>
          <w:lang w:val="en-US" w:eastAsia="zh-CN"/>
        </w:rPr>
      </w:pPr>
      <w:r>
        <w:rPr>
          <w:rFonts w:hint="eastAsia"/>
          <w:color w:val="auto"/>
          <w:highlight w:val="none"/>
          <w:lang w:val="en-US" w:eastAsia="zh-CN"/>
        </w:rPr>
        <w:t>“三公经费”控制率指标年初设定目标是100%，年中绩效运行监控时完成值100%，年终实际完成值是100%，达到严格按照要求合理控制三公经费的预期指标。指标完成率是100%。偏差原因：无偏差。</w:t>
      </w:r>
    </w:p>
    <w:p w14:paraId="36749BEE">
      <w:pPr>
        <w:pStyle w:val="4"/>
        <w:numPr>
          <w:ilvl w:val="0"/>
          <w:numId w:val="2"/>
        </w:numPr>
        <w:bidi w:val="0"/>
        <w:ind w:left="-80" w:leftChars="0" w:firstLineChars="0"/>
        <w:rPr>
          <w:rFonts w:hint="eastAsia"/>
          <w:color w:val="auto"/>
          <w:highlight w:val="none"/>
          <w:lang w:val="en-US" w:eastAsia="zh-CN"/>
        </w:rPr>
      </w:pPr>
      <w:r>
        <w:rPr>
          <w:rFonts w:hint="eastAsia"/>
          <w:color w:val="auto"/>
          <w:highlight w:val="none"/>
          <w:lang w:val="en-US" w:eastAsia="zh-CN"/>
        </w:rPr>
        <w:t>城镇新增就业指标完成情况分析</w:t>
      </w:r>
    </w:p>
    <w:p w14:paraId="7473BA6B">
      <w:pPr>
        <w:bidi w:val="0"/>
        <w:rPr>
          <w:rFonts w:hint="eastAsia"/>
          <w:color w:val="auto"/>
          <w:highlight w:val="none"/>
          <w:lang w:val="en-US" w:eastAsia="zh-CN"/>
        </w:rPr>
      </w:pPr>
      <w:r>
        <w:rPr>
          <w:rFonts w:hint="eastAsia"/>
          <w:color w:val="auto"/>
          <w:highlight w:val="none"/>
          <w:lang w:val="en-US" w:eastAsia="zh-CN"/>
        </w:rPr>
        <w:t>城镇新增就业指标年初设定目标是&gt;=2200人，年中绩效运行监控时完成值1716人，年终实际完成值是2200人，达到城镇就业率提高，有效促进就业。指标完成率是100%。偏差原因：无偏差。</w:t>
      </w:r>
    </w:p>
    <w:p w14:paraId="7D670D75">
      <w:pPr>
        <w:pStyle w:val="4"/>
        <w:numPr>
          <w:ilvl w:val="0"/>
          <w:numId w:val="2"/>
        </w:numPr>
        <w:bidi w:val="0"/>
        <w:ind w:left="-80" w:leftChars="0" w:firstLineChars="0"/>
        <w:rPr>
          <w:rFonts w:hint="eastAsia"/>
          <w:color w:val="auto"/>
          <w:highlight w:val="none"/>
          <w:lang w:val="en-US" w:eastAsia="zh-CN"/>
        </w:rPr>
      </w:pPr>
      <w:r>
        <w:rPr>
          <w:rFonts w:hint="eastAsia"/>
          <w:color w:val="auto"/>
          <w:highlight w:val="none"/>
          <w:lang w:val="en-US" w:eastAsia="zh-CN"/>
        </w:rPr>
        <w:t>各类职业技能培训指标完成情况分析</w:t>
      </w:r>
    </w:p>
    <w:p w14:paraId="5F255BDE">
      <w:pPr>
        <w:bidi w:val="0"/>
        <w:rPr>
          <w:rFonts w:hint="eastAsia"/>
          <w:color w:val="auto"/>
          <w:highlight w:val="none"/>
          <w:lang w:val="en-US" w:eastAsia="zh-CN"/>
        </w:rPr>
      </w:pPr>
      <w:r>
        <w:rPr>
          <w:rFonts w:hint="eastAsia"/>
          <w:color w:val="auto"/>
          <w:highlight w:val="none"/>
          <w:lang w:val="en-US" w:eastAsia="zh-CN"/>
        </w:rPr>
        <w:t>各类职业技能培训指标年初设定目标是&gt;=9600人，年中绩效运行监控时完成值5464人，年终实际完成值是9600人，达成有效提高就业人员职业素养和技能提升。指标完成率是100%。偏差原因：无偏差。</w:t>
      </w:r>
    </w:p>
    <w:p w14:paraId="649CB936">
      <w:pPr>
        <w:pStyle w:val="4"/>
        <w:numPr>
          <w:ilvl w:val="0"/>
          <w:numId w:val="2"/>
        </w:numPr>
        <w:bidi w:val="0"/>
        <w:ind w:left="-80" w:leftChars="0" w:firstLineChars="0"/>
        <w:rPr>
          <w:rFonts w:hint="eastAsia"/>
          <w:color w:val="auto"/>
          <w:highlight w:val="none"/>
          <w:lang w:val="en-US" w:eastAsia="zh-CN"/>
        </w:rPr>
      </w:pPr>
      <w:r>
        <w:rPr>
          <w:rFonts w:hint="eastAsia"/>
          <w:color w:val="auto"/>
          <w:highlight w:val="none"/>
          <w:lang w:val="en-US" w:eastAsia="zh-CN"/>
        </w:rPr>
        <w:t>青年见习人员数指标完成情况分析</w:t>
      </w:r>
    </w:p>
    <w:p w14:paraId="45B33026">
      <w:pPr>
        <w:bidi w:val="0"/>
        <w:rPr>
          <w:rFonts w:hint="eastAsia"/>
          <w:color w:val="auto"/>
          <w:highlight w:val="none"/>
          <w:lang w:val="en-US" w:eastAsia="zh-CN"/>
        </w:rPr>
      </w:pPr>
      <w:r>
        <w:rPr>
          <w:rFonts w:hint="eastAsia"/>
          <w:color w:val="auto"/>
          <w:highlight w:val="none"/>
          <w:lang w:val="en-US" w:eastAsia="zh-CN"/>
        </w:rPr>
        <w:t>青年见习人员数指标年初设定目标是&gt;=30人，年中绩效运行监控时完成值30人，年终实际完成值是30人，达成有效提高高校毕业生就业率。指标完成率是100%。偏差原因：无偏差。</w:t>
      </w:r>
    </w:p>
    <w:p w14:paraId="4101ADF5">
      <w:pPr>
        <w:pStyle w:val="4"/>
        <w:numPr>
          <w:ilvl w:val="0"/>
          <w:numId w:val="2"/>
        </w:numPr>
        <w:bidi w:val="0"/>
        <w:ind w:left="-80" w:leftChars="0" w:firstLineChars="0"/>
        <w:rPr>
          <w:rFonts w:hint="eastAsia"/>
          <w:color w:val="auto"/>
          <w:highlight w:val="none"/>
          <w:lang w:val="en-US" w:eastAsia="zh-CN"/>
        </w:rPr>
      </w:pPr>
      <w:r>
        <w:rPr>
          <w:rFonts w:hint="eastAsia"/>
          <w:color w:val="auto"/>
          <w:highlight w:val="none"/>
          <w:lang w:val="en-US" w:eastAsia="zh-CN"/>
        </w:rPr>
        <w:t>就业培训政策知晓率指标完成情况分析</w:t>
      </w:r>
    </w:p>
    <w:p w14:paraId="6C0F487A">
      <w:pPr>
        <w:bidi w:val="0"/>
        <w:rPr>
          <w:rFonts w:hint="eastAsia"/>
          <w:color w:val="auto"/>
          <w:highlight w:val="none"/>
          <w:lang w:val="en-US" w:eastAsia="zh-CN"/>
        </w:rPr>
      </w:pPr>
      <w:r>
        <w:rPr>
          <w:rFonts w:hint="eastAsia"/>
          <w:color w:val="auto"/>
          <w:highlight w:val="none"/>
          <w:lang w:val="en-US" w:eastAsia="zh-CN"/>
        </w:rPr>
        <w:t>就业培训政策知晓率指标年初设定目标是&gt;=90%，年中绩效运行监控时完成值56.92%，年终实际完成值是90%，达成有效宣传就业政策，促进就业。指标完成率是100%，偏差原因：无偏差。</w:t>
      </w:r>
    </w:p>
    <w:p w14:paraId="7700D19F">
      <w:pPr>
        <w:pStyle w:val="4"/>
        <w:numPr>
          <w:ilvl w:val="0"/>
          <w:numId w:val="2"/>
        </w:numPr>
        <w:bidi w:val="0"/>
        <w:ind w:left="-80" w:leftChars="0" w:firstLineChars="0"/>
        <w:rPr>
          <w:rFonts w:hint="eastAsia"/>
          <w:color w:val="auto"/>
          <w:highlight w:val="none"/>
          <w:lang w:val="en-US" w:eastAsia="zh-CN"/>
        </w:rPr>
      </w:pPr>
      <w:r>
        <w:rPr>
          <w:rFonts w:hint="eastAsia"/>
          <w:color w:val="auto"/>
          <w:highlight w:val="none"/>
          <w:lang w:val="en-US" w:eastAsia="zh-CN"/>
        </w:rPr>
        <w:t>有效提高就业率指标完成情况分析</w:t>
      </w:r>
    </w:p>
    <w:p w14:paraId="16392151">
      <w:pPr>
        <w:bidi w:val="0"/>
        <w:rPr>
          <w:rFonts w:hint="eastAsia"/>
          <w:color w:val="auto"/>
          <w:highlight w:val="none"/>
          <w:lang w:val="en-US" w:eastAsia="zh-CN"/>
        </w:rPr>
      </w:pPr>
      <w:r>
        <w:rPr>
          <w:rFonts w:hint="eastAsia"/>
          <w:color w:val="auto"/>
          <w:highlight w:val="none"/>
          <w:lang w:val="en-US" w:eastAsia="zh-CN"/>
        </w:rPr>
        <w:t>有效提高就业率指标年初设定目标是&gt;=90%，年中绩效运行监控时完成值100%，年终实际完成值是90%，达成全县就业率有效提高，政策知晓率大幅提升。指标完成率是100%。偏差原因：无偏差。</w:t>
      </w:r>
    </w:p>
    <w:p w14:paraId="1AC42857">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14:paraId="3FC3F142">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14:paraId="46CD56C7">
      <w:pPr>
        <w:keepNext w:val="0"/>
        <w:keepLines w:val="0"/>
        <w:pageBreakBefore w:val="0"/>
        <w:widowControl w:val="0"/>
        <w:kinsoku/>
        <w:wordWrap/>
        <w:overflowPunct/>
        <w:topLinePunct w:val="0"/>
        <w:autoSpaceDE/>
        <w:autoSpaceDN/>
        <w:bidi w:val="0"/>
        <w:adjustRightInd/>
        <w:snapToGrid/>
        <w:spacing w:after="157" w:afterLines="50" w:line="240" w:lineRule="auto"/>
        <w:ind w:firstLine="560" w:firstLineChars="200"/>
        <w:textAlignment w:val="auto"/>
        <w:rPr>
          <w:rFonts w:hint="eastAsia" w:cs="仿宋"/>
          <w:color w:val="auto"/>
          <w:sz w:val="28"/>
          <w:szCs w:val="28"/>
          <w:highlight w:val="none"/>
          <w:lang w:val="en-US" w:eastAsia="zh-CN"/>
        </w:rPr>
      </w:pPr>
      <w:bookmarkStart w:id="4" w:name="_Toc22800_WPSOffice_Level1"/>
      <w:r>
        <w:rPr>
          <w:rFonts w:hint="eastAsia" w:ascii="Calibri" w:hAnsi="Calibri" w:cs="Calibri"/>
          <w:color w:val="auto"/>
          <w:sz w:val="28"/>
          <w:szCs w:val="28"/>
          <w:highlight w:val="none"/>
          <w:lang w:val="en-US" w:eastAsia="zh-CN"/>
        </w:rPr>
        <w:t>（1）</w:t>
      </w:r>
      <w:r>
        <w:rPr>
          <w:rFonts w:hint="eastAsia" w:ascii="仿宋" w:hAnsi="仿宋" w:eastAsia="仿宋" w:cs="仿宋"/>
          <w:color w:val="auto"/>
          <w:sz w:val="28"/>
          <w:szCs w:val="28"/>
          <w:highlight w:val="none"/>
        </w:rPr>
        <w:t>完</w:t>
      </w:r>
      <w:r>
        <w:rPr>
          <w:rFonts w:hint="eastAsia" w:cs="仿宋"/>
          <w:color w:val="auto"/>
          <w:sz w:val="28"/>
          <w:szCs w:val="28"/>
          <w:highlight w:val="none"/>
          <w:lang w:val="en-US" w:eastAsia="zh-CN"/>
        </w:rPr>
        <w:t>成了根据社会各类型人才需要，面向企业职工、就业重点群体、建档立卡贫困户劳动力等城乡劳动者职业技能培训，通过该项目的实施加大中高级技术培训力度，提高培训针对性、时效性全面提升劳动者职业技能水平和就业创业能力。</w:t>
      </w:r>
    </w:p>
    <w:p w14:paraId="56F80353">
      <w:pPr>
        <w:keepNext w:val="0"/>
        <w:keepLines w:val="0"/>
        <w:pageBreakBefore w:val="0"/>
        <w:widowControl w:val="0"/>
        <w:kinsoku/>
        <w:wordWrap/>
        <w:overflowPunct/>
        <w:topLinePunct w:val="0"/>
        <w:autoSpaceDE/>
        <w:autoSpaceDN/>
        <w:bidi w:val="0"/>
        <w:adjustRightInd/>
        <w:snapToGrid/>
        <w:spacing w:after="157" w:afterLines="50" w:line="240" w:lineRule="auto"/>
        <w:ind w:firstLine="560" w:firstLineChars="200"/>
        <w:textAlignment w:val="auto"/>
        <w:rPr>
          <w:rFonts w:hint="default" w:ascii="Calibri" w:hAnsi="Calibri" w:eastAsia="仿宋" w:cs="Calibri"/>
          <w:b w:val="0"/>
          <w:bCs w:val="0"/>
          <w:color w:val="auto"/>
          <w:kern w:val="2"/>
          <w:sz w:val="28"/>
          <w:szCs w:val="28"/>
          <w:highlight w:val="none"/>
          <w:lang w:val="en-US" w:eastAsia="zh-CN" w:bidi="ar-SA"/>
        </w:rPr>
      </w:pPr>
      <w:r>
        <w:rPr>
          <w:rFonts w:hint="eastAsia" w:ascii="Calibri" w:hAnsi="Calibri" w:eastAsia="仿宋" w:cs="Calibri"/>
          <w:b w:val="0"/>
          <w:bCs w:val="0"/>
          <w:color w:val="auto"/>
          <w:kern w:val="2"/>
          <w:sz w:val="28"/>
          <w:szCs w:val="28"/>
          <w:highlight w:val="none"/>
          <w:lang w:val="en-US" w:eastAsia="zh-CN" w:bidi="ar-SA"/>
        </w:rPr>
        <w:t>（</w:t>
      </w:r>
      <w:r>
        <w:rPr>
          <w:rFonts w:hint="eastAsia" w:ascii="Calibri" w:hAnsi="Calibri" w:cs="Calibri"/>
          <w:b w:val="0"/>
          <w:bCs w:val="0"/>
          <w:color w:val="auto"/>
          <w:kern w:val="2"/>
          <w:sz w:val="28"/>
          <w:szCs w:val="28"/>
          <w:highlight w:val="none"/>
          <w:lang w:val="en-US" w:eastAsia="zh-CN" w:bidi="ar-SA"/>
        </w:rPr>
        <w:t>2</w:t>
      </w:r>
      <w:r>
        <w:rPr>
          <w:rFonts w:hint="eastAsia" w:ascii="Calibri" w:hAnsi="Calibri" w:eastAsia="仿宋" w:cs="Calibri"/>
          <w:b w:val="0"/>
          <w:bCs w:val="0"/>
          <w:color w:val="auto"/>
          <w:kern w:val="2"/>
          <w:sz w:val="28"/>
          <w:szCs w:val="28"/>
          <w:highlight w:val="none"/>
          <w:lang w:val="en-US" w:eastAsia="zh-CN" w:bidi="ar-SA"/>
        </w:rPr>
        <w:t>）</w:t>
      </w:r>
      <w:r>
        <w:rPr>
          <w:rFonts w:hint="eastAsia" w:ascii="Calibri" w:hAnsi="Calibri" w:cs="Calibri"/>
          <w:b w:val="0"/>
          <w:bCs w:val="0"/>
          <w:color w:val="auto"/>
          <w:kern w:val="2"/>
          <w:sz w:val="28"/>
          <w:szCs w:val="28"/>
          <w:highlight w:val="none"/>
          <w:lang w:val="en-US" w:eastAsia="zh-CN" w:bidi="ar-SA"/>
        </w:rPr>
        <w:t>2023年持续加大开展职业技能培训，提高培训针对性、时效性全面提升劳动者就业创业能力、缓解结构性就业矛盾，吸引更多劳动者技能就业技能成才，为全面建设社会主义现代化国家提供有力的人才和技能支撑；通过劳动技能培训，更好地衔接推进乡村振兴工作。</w:t>
      </w:r>
    </w:p>
    <w:p w14:paraId="2CAC52E6">
      <w:pPr>
        <w:pStyle w:val="5"/>
        <w:rPr>
          <w:rFonts w:hint="eastAsia" w:ascii="Calibri" w:hAnsi="Calibri" w:eastAsia="仿宋" w:cs="Calibri"/>
          <w:b w:val="0"/>
          <w:bCs w:val="0"/>
          <w:color w:val="auto"/>
          <w:kern w:val="2"/>
          <w:sz w:val="28"/>
          <w:szCs w:val="28"/>
          <w:highlight w:val="none"/>
          <w:lang w:val="en-US" w:eastAsia="zh-CN" w:bidi="ar-SA"/>
        </w:rPr>
      </w:pPr>
      <w:r>
        <w:rPr>
          <w:rFonts w:hint="eastAsia" w:ascii="Calibri" w:hAnsi="Calibri" w:eastAsia="仿宋" w:cs="Calibri"/>
          <w:b w:val="0"/>
          <w:bCs w:val="0"/>
          <w:color w:val="auto"/>
          <w:kern w:val="2"/>
          <w:sz w:val="28"/>
          <w:szCs w:val="28"/>
          <w:highlight w:val="none"/>
          <w:lang w:val="en-US" w:eastAsia="zh-CN" w:bidi="ar-SA"/>
        </w:rPr>
        <w:t>（</w:t>
      </w:r>
      <w:r>
        <w:rPr>
          <w:rFonts w:hint="eastAsia" w:ascii="Calibri" w:hAnsi="Calibri" w:cs="Calibri"/>
          <w:b w:val="0"/>
          <w:bCs w:val="0"/>
          <w:color w:val="auto"/>
          <w:kern w:val="2"/>
          <w:sz w:val="28"/>
          <w:szCs w:val="28"/>
          <w:highlight w:val="none"/>
          <w:lang w:val="en-US" w:eastAsia="zh-CN" w:bidi="ar-SA"/>
        </w:rPr>
        <w:t>3</w:t>
      </w:r>
      <w:r>
        <w:rPr>
          <w:rFonts w:hint="eastAsia" w:ascii="Calibri" w:hAnsi="Calibri" w:eastAsia="仿宋" w:cs="Calibri"/>
          <w:b w:val="0"/>
          <w:bCs w:val="0"/>
          <w:color w:val="auto"/>
          <w:kern w:val="2"/>
          <w:sz w:val="28"/>
          <w:szCs w:val="28"/>
          <w:highlight w:val="none"/>
          <w:lang w:val="en-US" w:eastAsia="zh-CN" w:bidi="ar-SA"/>
        </w:rPr>
        <w:t>）对我县16-24岁青年和2年内毕业的全日制大专以上高校毕业生为期3</w:t>
      </w:r>
      <w:r>
        <w:rPr>
          <w:rFonts w:hint="eastAsia" w:ascii="Calibri" w:hAnsi="Calibri" w:cs="Calibri"/>
          <w:b w:val="0"/>
          <w:bCs w:val="0"/>
          <w:color w:val="auto"/>
          <w:kern w:val="2"/>
          <w:sz w:val="28"/>
          <w:szCs w:val="28"/>
          <w:highlight w:val="none"/>
          <w:lang w:val="en-US" w:eastAsia="zh-CN" w:bidi="ar-SA"/>
        </w:rPr>
        <w:t>—</w:t>
      </w:r>
      <w:r>
        <w:rPr>
          <w:rFonts w:hint="eastAsia" w:ascii="Calibri" w:hAnsi="Calibri" w:eastAsia="仿宋" w:cs="Calibri"/>
          <w:b w:val="0"/>
          <w:bCs w:val="0"/>
          <w:color w:val="auto"/>
          <w:kern w:val="2"/>
          <w:sz w:val="28"/>
          <w:szCs w:val="28"/>
          <w:highlight w:val="none"/>
          <w:lang w:val="en-US" w:eastAsia="zh-CN" w:bidi="ar-SA"/>
        </w:rPr>
        <w:t>12个月的见习，促进青年及未就业高校毕业生稳定就业。完成202</w:t>
      </w:r>
      <w:r>
        <w:rPr>
          <w:rFonts w:hint="eastAsia" w:ascii="Calibri" w:hAnsi="Calibri" w:cs="Calibri"/>
          <w:b w:val="0"/>
          <w:bCs w:val="0"/>
          <w:color w:val="auto"/>
          <w:kern w:val="2"/>
          <w:sz w:val="28"/>
          <w:szCs w:val="28"/>
          <w:highlight w:val="none"/>
          <w:lang w:val="en-US" w:eastAsia="zh-CN" w:bidi="ar-SA"/>
        </w:rPr>
        <w:t>3</w:t>
      </w:r>
      <w:r>
        <w:rPr>
          <w:rFonts w:hint="eastAsia" w:ascii="Calibri" w:hAnsi="Calibri" w:eastAsia="仿宋" w:cs="Calibri"/>
          <w:b w:val="0"/>
          <w:bCs w:val="0"/>
          <w:color w:val="auto"/>
          <w:kern w:val="2"/>
          <w:sz w:val="28"/>
          <w:szCs w:val="28"/>
          <w:highlight w:val="none"/>
          <w:lang w:val="en-US" w:eastAsia="zh-CN" w:bidi="ar-SA"/>
        </w:rPr>
        <w:t>年</w:t>
      </w:r>
      <w:r>
        <w:rPr>
          <w:rFonts w:hint="eastAsia" w:ascii="Calibri" w:hAnsi="Calibri" w:cs="Calibri"/>
          <w:b w:val="0"/>
          <w:bCs w:val="0"/>
          <w:color w:val="auto"/>
          <w:kern w:val="2"/>
          <w:sz w:val="28"/>
          <w:szCs w:val="28"/>
          <w:highlight w:val="none"/>
          <w:lang w:val="en-US" w:eastAsia="zh-CN" w:bidi="ar-SA"/>
        </w:rPr>
        <w:t>30</w:t>
      </w:r>
      <w:r>
        <w:rPr>
          <w:rFonts w:hint="eastAsia" w:ascii="Calibri" w:hAnsi="Calibri" w:eastAsia="仿宋" w:cs="Calibri"/>
          <w:b w:val="0"/>
          <w:bCs w:val="0"/>
          <w:color w:val="auto"/>
          <w:kern w:val="2"/>
          <w:sz w:val="28"/>
          <w:szCs w:val="28"/>
          <w:highlight w:val="none"/>
          <w:lang w:val="en-US" w:eastAsia="zh-CN" w:bidi="ar-SA"/>
        </w:rPr>
        <w:t>名三支一扶人员工资，加强了“三支一扶”计划中央补助资金的使用和管理，提高资金使用效益。从而鼓励和引导高校毕业生到基层就业，推动基层经济社会发展、培养和储备后备人才、促进高校毕业生就业。</w:t>
      </w:r>
    </w:p>
    <w:p w14:paraId="439F5A87">
      <w:pPr>
        <w:pStyle w:val="3"/>
        <w:bidi w:val="0"/>
        <w:rPr>
          <w:rFonts w:hint="default" w:eastAsia="黑体"/>
          <w:color w:val="auto"/>
          <w:highlight w:val="none"/>
          <w:lang w:val="en-US" w:eastAsia="zh-CN"/>
        </w:rPr>
      </w:pPr>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14:paraId="706E7033">
      <w:pPr>
        <w:numPr>
          <w:ilvl w:val="0"/>
          <w:numId w:val="0"/>
        </w:numPr>
        <w:ind w:firstLine="560" w:firstLineChars="200"/>
        <w:rPr>
          <w:rFonts w:hint="eastAsia" w:ascii="Calibri" w:hAnsi="Calibri" w:eastAsia="仿宋" w:cs="Calibri"/>
          <w:b w:val="0"/>
          <w:bCs w:val="0"/>
          <w:color w:val="auto"/>
          <w:kern w:val="2"/>
          <w:sz w:val="28"/>
          <w:szCs w:val="28"/>
          <w:highlight w:val="none"/>
          <w:lang w:val="en-US" w:eastAsia="zh-CN" w:bidi="ar-SA"/>
        </w:rPr>
      </w:pPr>
      <w:bookmarkStart w:id="5" w:name="_Toc29546_WPSOffice_Level1"/>
      <w:r>
        <w:rPr>
          <w:rFonts w:hint="eastAsia" w:ascii="Calibri" w:hAnsi="Calibri" w:eastAsia="仿宋" w:cs="Calibri"/>
          <w:b w:val="0"/>
          <w:bCs w:val="0"/>
          <w:color w:val="auto"/>
          <w:kern w:val="2"/>
          <w:sz w:val="28"/>
          <w:szCs w:val="28"/>
          <w:highlight w:val="none"/>
          <w:lang w:val="en-US" w:eastAsia="zh-CN" w:bidi="ar-SA"/>
        </w:rPr>
        <w:t>1.公共就业服务力量薄弱。县乡村三级劳动保障工作队伍存在人员数量不足、政策水平和服务能力不强的短板，对辖区劳动力资源掌握不精准，政策宣传不到位，政策解读和理解把握不精准。</w:t>
      </w:r>
    </w:p>
    <w:p w14:paraId="664332A9">
      <w:pPr>
        <w:numPr>
          <w:ilvl w:val="0"/>
          <w:numId w:val="0"/>
        </w:numPr>
        <w:ind w:firstLine="560" w:firstLineChars="200"/>
        <w:rPr>
          <w:rFonts w:hint="eastAsia" w:ascii="Calibri" w:hAnsi="Calibri" w:eastAsia="仿宋" w:cs="Calibri"/>
          <w:b w:val="0"/>
          <w:bCs w:val="0"/>
          <w:color w:val="auto"/>
          <w:kern w:val="2"/>
          <w:sz w:val="28"/>
          <w:szCs w:val="28"/>
          <w:highlight w:val="none"/>
          <w:lang w:val="en-US" w:eastAsia="zh-CN" w:bidi="ar-SA"/>
        </w:rPr>
      </w:pPr>
      <w:r>
        <w:rPr>
          <w:rFonts w:hint="eastAsia" w:ascii="Calibri" w:hAnsi="Calibri" w:eastAsia="仿宋" w:cs="Calibri"/>
          <w:b w:val="0"/>
          <w:bCs w:val="0"/>
          <w:color w:val="auto"/>
          <w:kern w:val="2"/>
          <w:sz w:val="28"/>
          <w:szCs w:val="28"/>
          <w:highlight w:val="none"/>
          <w:lang w:val="en-US" w:eastAsia="zh-CN" w:bidi="ar-SA"/>
        </w:rPr>
        <w:t>2.技能培训工作不精准。针对农村富余劳动力开展的技能培训，缺少用工市场调查研究，没有形成“技能与市场同步”的有效衔接，缺乏“订单”“定向”式培训，导致培训后所学技能就业率不高。</w:t>
      </w:r>
    </w:p>
    <w:p w14:paraId="16170DC1">
      <w:pPr>
        <w:numPr>
          <w:ilvl w:val="0"/>
          <w:numId w:val="0"/>
        </w:numPr>
        <w:ind w:firstLine="560" w:firstLineChars="200"/>
        <w:rPr>
          <w:rFonts w:hint="eastAsia" w:ascii="Calibri" w:hAnsi="Calibri" w:eastAsia="仿宋" w:cs="Calibri"/>
          <w:b w:val="0"/>
          <w:bCs w:val="0"/>
          <w:color w:val="auto"/>
          <w:kern w:val="2"/>
          <w:sz w:val="28"/>
          <w:szCs w:val="28"/>
          <w:highlight w:val="none"/>
          <w:lang w:val="en-US" w:eastAsia="zh-CN" w:bidi="ar-SA"/>
        </w:rPr>
      </w:pPr>
      <w:r>
        <w:rPr>
          <w:rFonts w:hint="eastAsia" w:ascii="Calibri" w:hAnsi="Calibri" w:eastAsia="仿宋" w:cs="Calibri"/>
          <w:b w:val="0"/>
          <w:bCs w:val="0"/>
          <w:color w:val="auto"/>
          <w:kern w:val="2"/>
          <w:sz w:val="28"/>
          <w:szCs w:val="28"/>
          <w:highlight w:val="none"/>
          <w:lang w:val="en-US" w:eastAsia="zh-CN" w:bidi="ar-SA"/>
        </w:rPr>
        <w:t>3.就业观念有待转变。高校毕业生就业期望值总体偏高，优先选择进入体制内单位工作的意愿较强，毕业生群体整体表现出来就业意识不强，就业准备仓促，缺少个人的职业规划能力，创业意愿和能力不强。</w:t>
      </w:r>
    </w:p>
    <w:p w14:paraId="09FB21A0">
      <w:pPr>
        <w:pStyle w:val="3"/>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5"/>
    </w:p>
    <w:p w14:paraId="4047B854">
      <w:pPr>
        <w:numPr>
          <w:ilvl w:val="0"/>
          <w:numId w:val="0"/>
        </w:numPr>
        <w:ind w:firstLine="560" w:firstLineChars="200"/>
        <w:rPr>
          <w:rFonts w:hint="eastAsia" w:ascii="Calibri" w:hAnsi="Calibri" w:eastAsia="仿宋" w:cs="Calibri"/>
          <w:b w:val="0"/>
          <w:bCs w:val="0"/>
          <w:color w:val="auto"/>
          <w:kern w:val="2"/>
          <w:sz w:val="28"/>
          <w:szCs w:val="28"/>
          <w:highlight w:val="none"/>
          <w:lang w:val="en-US" w:eastAsia="zh-CN" w:bidi="ar-SA"/>
        </w:rPr>
      </w:pPr>
      <w:r>
        <w:rPr>
          <w:rFonts w:hint="eastAsia" w:ascii="Calibri" w:hAnsi="Calibri" w:eastAsia="仿宋" w:cs="Calibri"/>
          <w:b w:val="0"/>
          <w:bCs w:val="0"/>
          <w:color w:val="auto"/>
          <w:kern w:val="2"/>
          <w:sz w:val="28"/>
          <w:szCs w:val="28"/>
          <w:highlight w:val="none"/>
          <w:lang w:val="en-US" w:eastAsia="zh-CN" w:bidi="ar-SA"/>
        </w:rPr>
        <w:t>1.推进就业信息化建设，提升信息化办公水平，进一步完善就业资金使用标准，减少不必要的各类证明材料。严格按照就业资金的使用办法，扎实开展稳就业工作，落实新增就业，转移农村劳动力就业，实现劳务创收，开展技能培训，扎实开展就业扶贫工作，发挥创业孵化基地平台作用，完善创业服务体系，合理开发使用公益性</w:t>
      </w:r>
      <w:r>
        <w:rPr>
          <w:rFonts w:hint="eastAsia" w:ascii="Calibri" w:hAnsi="Calibri" w:cs="Calibri"/>
          <w:b w:val="0"/>
          <w:bCs w:val="0"/>
          <w:color w:val="auto"/>
          <w:kern w:val="2"/>
          <w:sz w:val="28"/>
          <w:szCs w:val="28"/>
          <w:highlight w:val="none"/>
          <w:lang w:val="en-US" w:eastAsia="zh-CN" w:bidi="ar-SA"/>
        </w:rPr>
        <w:t>岗位</w:t>
      </w:r>
      <w:r>
        <w:rPr>
          <w:rFonts w:hint="eastAsia" w:ascii="Calibri" w:hAnsi="Calibri" w:eastAsia="仿宋" w:cs="Calibri"/>
          <w:b w:val="0"/>
          <w:bCs w:val="0"/>
          <w:color w:val="auto"/>
          <w:kern w:val="2"/>
          <w:sz w:val="28"/>
          <w:szCs w:val="28"/>
          <w:highlight w:val="none"/>
          <w:lang w:val="en-US" w:eastAsia="zh-CN" w:bidi="ar-SA"/>
        </w:rPr>
        <w:t>。</w:t>
      </w:r>
    </w:p>
    <w:p w14:paraId="50386308">
      <w:pPr>
        <w:numPr>
          <w:ilvl w:val="0"/>
          <w:numId w:val="0"/>
        </w:numPr>
        <w:ind w:firstLine="560" w:firstLineChars="200"/>
        <w:rPr>
          <w:rFonts w:hint="eastAsia" w:ascii="Calibri" w:hAnsi="Calibri" w:eastAsia="仿宋" w:cs="Calibri"/>
          <w:b w:val="0"/>
          <w:bCs w:val="0"/>
          <w:color w:val="auto"/>
          <w:kern w:val="2"/>
          <w:sz w:val="28"/>
          <w:szCs w:val="28"/>
          <w:highlight w:val="none"/>
          <w:lang w:val="en-US" w:eastAsia="zh-CN" w:bidi="ar-SA"/>
        </w:rPr>
      </w:pPr>
      <w:r>
        <w:rPr>
          <w:rFonts w:hint="eastAsia" w:ascii="Calibri" w:hAnsi="Calibri" w:eastAsia="仿宋" w:cs="Calibri"/>
          <w:b w:val="0"/>
          <w:bCs w:val="0"/>
          <w:color w:val="auto"/>
          <w:kern w:val="2"/>
          <w:sz w:val="28"/>
          <w:szCs w:val="28"/>
          <w:highlight w:val="none"/>
          <w:lang w:val="en-US" w:eastAsia="zh-CN" w:bidi="ar-SA"/>
        </w:rPr>
        <w:t>2.开展职业技能培训助力就业。建立终身职业技能培训制度，全面提升劳动者就业创业能力；持续开展有组织转移就业基础技能培训，扩大劳动密集型企业新招用员工岗前技能培训规模，推进在岗职工技能提升培训，建设知识型、技能型、创新型劳动者大军；推进企业和职业院校实训基地建设。加强民办职业培训机构监督管理。</w:t>
      </w:r>
    </w:p>
    <w:p w14:paraId="167F767C">
      <w:pPr>
        <w:numPr>
          <w:ilvl w:val="0"/>
          <w:numId w:val="0"/>
        </w:numPr>
        <w:ind w:firstLine="560" w:firstLineChars="200"/>
        <w:rPr>
          <w:rFonts w:hint="eastAsia" w:ascii="Calibri" w:hAnsi="Calibri" w:eastAsia="仿宋" w:cs="Calibri"/>
          <w:b w:val="0"/>
          <w:bCs w:val="0"/>
          <w:color w:val="auto"/>
          <w:kern w:val="2"/>
          <w:sz w:val="28"/>
          <w:szCs w:val="28"/>
          <w:highlight w:val="none"/>
          <w:lang w:val="en-US" w:eastAsia="zh-CN" w:bidi="ar-SA"/>
        </w:rPr>
      </w:pPr>
      <w:r>
        <w:rPr>
          <w:rFonts w:hint="eastAsia" w:ascii="Calibri" w:hAnsi="Calibri" w:eastAsia="仿宋" w:cs="Calibri"/>
          <w:b w:val="0"/>
          <w:bCs w:val="0"/>
          <w:color w:val="auto"/>
          <w:kern w:val="2"/>
          <w:sz w:val="28"/>
          <w:szCs w:val="28"/>
          <w:highlight w:val="none"/>
          <w:lang w:val="en-US" w:eastAsia="zh-CN" w:bidi="ar-SA"/>
        </w:rPr>
        <w:t>3.统筹高校毕业生和就业困难人员就业。积极与企业、事业单位等对接，发布适合高校毕业生、就业困难人员就业的岗位信息，向高校毕业生、就业困难人员进行推荐；深入实施高校毕业生就业创业计划，落实创业政策，对未就业且有创业意愿的高校毕业生和就业困难人员实施创业帮扶。</w:t>
      </w:r>
    </w:p>
    <w:p w14:paraId="2C6931D1">
      <w:pPr>
        <w:pStyle w:val="3"/>
        <w:bidi w:val="0"/>
        <w:rPr>
          <w:rFonts w:hint="default"/>
          <w:color w:val="auto"/>
          <w:highlight w:val="none"/>
          <w:lang w:val="en-US" w:eastAsia="zh-CN"/>
        </w:rPr>
      </w:pPr>
      <w:r>
        <w:rPr>
          <w:rFonts w:hint="eastAsia"/>
          <w:color w:val="auto"/>
          <w:highlight w:val="none"/>
          <w:lang w:val="en-US" w:eastAsia="zh-CN"/>
        </w:rPr>
        <w:t>七、附件上传</w:t>
      </w:r>
    </w:p>
    <w:p w14:paraId="24F063F2">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E7438F">
    <w:pPr>
      <w:pStyle w:val="10"/>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38B98D38">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93D577"/>
    <w:multiLevelType w:val="singleLevel"/>
    <w:tmpl w:val="D093D577"/>
    <w:lvl w:ilvl="0" w:tentative="0">
      <w:start w:val="1"/>
      <w:numFmt w:val="chineseCounting"/>
      <w:suff w:val="nothing"/>
      <w:lvlText w:val="（%1）"/>
      <w:lvlJc w:val="left"/>
      <w:pPr>
        <w:ind w:left="0"/>
      </w:pPr>
      <w:rPr>
        <w:rFonts w:hint="eastAsia"/>
      </w:rPr>
    </w:lvl>
  </w:abstractNum>
  <w:abstractNum w:abstractNumId="1">
    <w:nsid w:val="7BB44981"/>
    <w:multiLevelType w:val="singleLevel"/>
    <w:tmpl w:val="7BB44981"/>
    <w:lvl w:ilvl="0" w:tentative="0">
      <w:start w:val="2"/>
      <w:numFmt w:val="chineseCounting"/>
      <w:suff w:val="nothing"/>
      <w:lvlText w:val="（%1）"/>
      <w:lvlJc w:val="left"/>
      <w:pPr>
        <w:ind w:left="-8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CC583F"/>
    <w:rsid w:val="02337D11"/>
    <w:rsid w:val="02C40969"/>
    <w:rsid w:val="04DB4953"/>
    <w:rsid w:val="04FF0482"/>
    <w:rsid w:val="05062887"/>
    <w:rsid w:val="05464D81"/>
    <w:rsid w:val="05B6063A"/>
    <w:rsid w:val="05F70F85"/>
    <w:rsid w:val="0607573C"/>
    <w:rsid w:val="06547701"/>
    <w:rsid w:val="072B19D6"/>
    <w:rsid w:val="07BE1BF9"/>
    <w:rsid w:val="084208C4"/>
    <w:rsid w:val="098A3C0A"/>
    <w:rsid w:val="09A24E4E"/>
    <w:rsid w:val="0A9A7091"/>
    <w:rsid w:val="0C6738B8"/>
    <w:rsid w:val="0E7D784C"/>
    <w:rsid w:val="0F916077"/>
    <w:rsid w:val="10300946"/>
    <w:rsid w:val="10D43E29"/>
    <w:rsid w:val="10FE60D7"/>
    <w:rsid w:val="1124658C"/>
    <w:rsid w:val="134F7771"/>
    <w:rsid w:val="13E513B9"/>
    <w:rsid w:val="158C5316"/>
    <w:rsid w:val="15B904C0"/>
    <w:rsid w:val="165C118C"/>
    <w:rsid w:val="172D035F"/>
    <w:rsid w:val="175D58E3"/>
    <w:rsid w:val="18061B60"/>
    <w:rsid w:val="190C3DF8"/>
    <w:rsid w:val="19AA4D08"/>
    <w:rsid w:val="19F83E30"/>
    <w:rsid w:val="1B2862B5"/>
    <w:rsid w:val="1B403139"/>
    <w:rsid w:val="1C6D319F"/>
    <w:rsid w:val="1D384A93"/>
    <w:rsid w:val="1D4D74D6"/>
    <w:rsid w:val="1DBC6393"/>
    <w:rsid w:val="1DE32CFD"/>
    <w:rsid w:val="1E466579"/>
    <w:rsid w:val="1F1A602A"/>
    <w:rsid w:val="1F2854B6"/>
    <w:rsid w:val="217D20CE"/>
    <w:rsid w:val="21C67E02"/>
    <w:rsid w:val="21C768CD"/>
    <w:rsid w:val="22E14253"/>
    <w:rsid w:val="23931BB2"/>
    <w:rsid w:val="23F209A3"/>
    <w:rsid w:val="2403516E"/>
    <w:rsid w:val="24E71FCC"/>
    <w:rsid w:val="256A2A9E"/>
    <w:rsid w:val="27F7226E"/>
    <w:rsid w:val="2805537E"/>
    <w:rsid w:val="289437EE"/>
    <w:rsid w:val="297873DB"/>
    <w:rsid w:val="29F35E61"/>
    <w:rsid w:val="2A285817"/>
    <w:rsid w:val="2B3D4067"/>
    <w:rsid w:val="2B6F150A"/>
    <w:rsid w:val="2BB557CB"/>
    <w:rsid w:val="2BC51751"/>
    <w:rsid w:val="2D166684"/>
    <w:rsid w:val="2EBF757D"/>
    <w:rsid w:val="2EE30FF6"/>
    <w:rsid w:val="313A1C72"/>
    <w:rsid w:val="31927D00"/>
    <w:rsid w:val="31AE39CE"/>
    <w:rsid w:val="31B83F5F"/>
    <w:rsid w:val="328E2AB6"/>
    <w:rsid w:val="329B12EA"/>
    <w:rsid w:val="32FB1A54"/>
    <w:rsid w:val="331A3077"/>
    <w:rsid w:val="33291F9F"/>
    <w:rsid w:val="33A83F87"/>
    <w:rsid w:val="340D2D0F"/>
    <w:rsid w:val="348F1A9E"/>
    <w:rsid w:val="355C2B3F"/>
    <w:rsid w:val="356B4AF0"/>
    <w:rsid w:val="35F12468"/>
    <w:rsid w:val="36851B5C"/>
    <w:rsid w:val="37661A13"/>
    <w:rsid w:val="379871D0"/>
    <w:rsid w:val="37BA58BB"/>
    <w:rsid w:val="37D360CA"/>
    <w:rsid w:val="383F23E4"/>
    <w:rsid w:val="38CB5066"/>
    <w:rsid w:val="38E054C9"/>
    <w:rsid w:val="3A565DE9"/>
    <w:rsid w:val="3AC36A27"/>
    <w:rsid w:val="3B4A3407"/>
    <w:rsid w:val="3F301058"/>
    <w:rsid w:val="40E043AC"/>
    <w:rsid w:val="415F3050"/>
    <w:rsid w:val="417A34F9"/>
    <w:rsid w:val="418810F4"/>
    <w:rsid w:val="41A37673"/>
    <w:rsid w:val="42503F5E"/>
    <w:rsid w:val="42C30950"/>
    <w:rsid w:val="44F7281D"/>
    <w:rsid w:val="459B4F7E"/>
    <w:rsid w:val="45A65C7F"/>
    <w:rsid w:val="45F13359"/>
    <w:rsid w:val="468C2A4A"/>
    <w:rsid w:val="46AD2493"/>
    <w:rsid w:val="46EC7F14"/>
    <w:rsid w:val="47CA7D9C"/>
    <w:rsid w:val="47DB3D58"/>
    <w:rsid w:val="480D0379"/>
    <w:rsid w:val="48194880"/>
    <w:rsid w:val="48AF4C7F"/>
    <w:rsid w:val="48D518EF"/>
    <w:rsid w:val="4A5B46DD"/>
    <w:rsid w:val="4A6F6A56"/>
    <w:rsid w:val="4A81677A"/>
    <w:rsid w:val="4B3B5348"/>
    <w:rsid w:val="4B8E2130"/>
    <w:rsid w:val="4D916B35"/>
    <w:rsid w:val="4DA177B2"/>
    <w:rsid w:val="4DA370C6"/>
    <w:rsid w:val="4DF36D4F"/>
    <w:rsid w:val="501B7C76"/>
    <w:rsid w:val="504D5CCF"/>
    <w:rsid w:val="511A2CA6"/>
    <w:rsid w:val="533A7469"/>
    <w:rsid w:val="53526129"/>
    <w:rsid w:val="538B4CD8"/>
    <w:rsid w:val="53A21BCD"/>
    <w:rsid w:val="54394F3D"/>
    <w:rsid w:val="565F61A9"/>
    <w:rsid w:val="56AD4B11"/>
    <w:rsid w:val="56E02CC9"/>
    <w:rsid w:val="57232FC4"/>
    <w:rsid w:val="572D2326"/>
    <w:rsid w:val="57365691"/>
    <w:rsid w:val="59EE1E48"/>
    <w:rsid w:val="5A490F5C"/>
    <w:rsid w:val="5B805E16"/>
    <w:rsid w:val="5BD21464"/>
    <w:rsid w:val="5BDE2B83"/>
    <w:rsid w:val="5C777282"/>
    <w:rsid w:val="61635F72"/>
    <w:rsid w:val="618606C5"/>
    <w:rsid w:val="6224402D"/>
    <w:rsid w:val="6384067A"/>
    <w:rsid w:val="638D125E"/>
    <w:rsid w:val="6396333E"/>
    <w:rsid w:val="63E114D3"/>
    <w:rsid w:val="663C1708"/>
    <w:rsid w:val="66AC3F6F"/>
    <w:rsid w:val="6A57750F"/>
    <w:rsid w:val="6AD46D46"/>
    <w:rsid w:val="6B07083C"/>
    <w:rsid w:val="6B623CC4"/>
    <w:rsid w:val="6B6C65E0"/>
    <w:rsid w:val="6C2B67AC"/>
    <w:rsid w:val="6CB31465"/>
    <w:rsid w:val="6DE07909"/>
    <w:rsid w:val="6E58438A"/>
    <w:rsid w:val="6E7066F8"/>
    <w:rsid w:val="6E9D5508"/>
    <w:rsid w:val="6F724566"/>
    <w:rsid w:val="6F871359"/>
    <w:rsid w:val="711B7F18"/>
    <w:rsid w:val="71EB22B3"/>
    <w:rsid w:val="72010FA6"/>
    <w:rsid w:val="733F48EB"/>
    <w:rsid w:val="74212849"/>
    <w:rsid w:val="744C1D4E"/>
    <w:rsid w:val="748A4F72"/>
    <w:rsid w:val="74961819"/>
    <w:rsid w:val="750202C6"/>
    <w:rsid w:val="75664078"/>
    <w:rsid w:val="761E4132"/>
    <w:rsid w:val="78061A79"/>
    <w:rsid w:val="782E61F9"/>
    <w:rsid w:val="79181486"/>
    <w:rsid w:val="7A132954"/>
    <w:rsid w:val="7AFE508C"/>
    <w:rsid w:val="7B2561EC"/>
    <w:rsid w:val="7BC003CA"/>
    <w:rsid w:val="7CBF4BB4"/>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5">
    <w:name w:val="heading 3"/>
    <w:basedOn w:val="1"/>
    <w:next w:val="1"/>
    <w:unhideWhenUsed/>
    <w:qFormat/>
    <w:uiPriority w:val="9"/>
    <w:pPr>
      <w:keepNext/>
      <w:keepLines/>
      <w:spacing w:before="140" w:line="360" w:lineRule="auto"/>
      <w:outlineLvl w:val="2"/>
    </w:pPr>
    <w:rPr>
      <w:b/>
      <w:bCs/>
      <w:sz w:val="30"/>
      <w:szCs w:val="32"/>
    </w:rPr>
  </w:style>
  <w:style w:type="character" w:default="1" w:styleId="19">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2">
    <w:name w:val="table of authorities"/>
    <w:basedOn w:val="1"/>
    <w:next w:val="1"/>
    <w:qFormat/>
    <w:uiPriority w:val="99"/>
    <w:pPr>
      <w:ind w:firstLine="640" w:firstLineChars="200"/>
    </w:pPr>
  </w:style>
  <w:style w:type="paragraph" w:styleId="6">
    <w:name w:val="Normal Indent"/>
    <w:basedOn w:val="1"/>
    <w:next w:val="7"/>
    <w:qFormat/>
    <w:uiPriority w:val="0"/>
    <w:pPr>
      <w:ind w:firstLine="420"/>
    </w:pPr>
    <w:rPr>
      <w:sz w:val="21"/>
    </w:rPr>
  </w:style>
  <w:style w:type="paragraph" w:styleId="7">
    <w:name w:val="toc 4"/>
    <w:basedOn w:val="1"/>
    <w:next w:val="1"/>
    <w:qFormat/>
    <w:uiPriority w:val="0"/>
    <w:pPr>
      <w:ind w:left="1260" w:leftChars="600"/>
    </w:pPr>
  </w:style>
  <w:style w:type="paragraph" w:styleId="8">
    <w:name w:val="annotation text"/>
    <w:basedOn w:val="1"/>
    <w:unhideWhenUsed/>
    <w:qFormat/>
    <w:uiPriority w:val="99"/>
    <w:pPr>
      <w:jc w:val="left"/>
    </w:pPr>
  </w:style>
  <w:style w:type="paragraph" w:styleId="9">
    <w:name w:val="Body Text"/>
    <w:basedOn w:val="1"/>
    <w:qFormat/>
    <w:uiPriority w:val="0"/>
    <w:pPr>
      <w:spacing w:before="240" w:after="240" w:line="360" w:lineRule="auto"/>
      <w:jc w:val="center"/>
    </w:pPr>
    <w:rPr>
      <w:b/>
      <w:sz w:val="44"/>
    </w:rPr>
  </w:style>
  <w:style w:type="paragraph" w:styleId="10">
    <w:name w:val="footer"/>
    <w:basedOn w:val="1"/>
    <w:link w:val="23"/>
    <w:unhideWhenUsed/>
    <w:qFormat/>
    <w:uiPriority w:val="99"/>
    <w:pPr>
      <w:tabs>
        <w:tab w:val="center" w:pos="4153"/>
        <w:tab w:val="right" w:pos="8306"/>
      </w:tabs>
      <w:snapToGrid w:val="0"/>
      <w:jc w:val="left"/>
    </w:pPr>
    <w:rPr>
      <w:sz w:val="18"/>
      <w:szCs w:val="18"/>
    </w:rPr>
  </w:style>
  <w:style w:type="paragraph" w:styleId="11">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footnote text"/>
    <w:basedOn w:val="1"/>
    <w:next w:val="13"/>
    <w:qFormat/>
    <w:uiPriority w:val="0"/>
    <w:pPr>
      <w:snapToGrid w:val="0"/>
      <w:jc w:val="left"/>
    </w:pPr>
    <w:rPr>
      <w:rFonts w:hint="eastAsia"/>
      <w:sz w:val="18"/>
    </w:rPr>
  </w:style>
  <w:style w:type="paragraph" w:customStyle="1" w:styleId="13">
    <w:name w:val="正文文本首行缩进 21"/>
    <w:basedOn w:val="14"/>
    <w:qFormat/>
    <w:uiPriority w:val="0"/>
    <w:pPr>
      <w:ind w:firstLine="420" w:firstLineChars="200"/>
    </w:pPr>
  </w:style>
  <w:style w:type="paragraph" w:customStyle="1" w:styleId="14">
    <w:name w:val="正文文本缩进1"/>
    <w:basedOn w:val="1"/>
    <w:next w:val="15"/>
    <w:qFormat/>
    <w:uiPriority w:val="0"/>
    <w:pPr>
      <w:spacing w:line="574" w:lineRule="exact"/>
      <w:ind w:left="400" w:hanging="400" w:hangingChars="400"/>
    </w:pPr>
    <w:rPr>
      <w:rFonts w:eastAsia="仿宋_GB2312"/>
      <w:sz w:val="32"/>
      <w:szCs w:val="32"/>
    </w:rPr>
  </w:style>
  <w:style w:type="paragraph" w:customStyle="1" w:styleId="15">
    <w:name w:val="正文缩进1"/>
    <w:basedOn w:val="1"/>
    <w:qFormat/>
    <w:uiPriority w:val="0"/>
    <w:pPr>
      <w:ind w:firstLine="420"/>
    </w:pPr>
    <w:rPr>
      <w:sz w:val="32"/>
    </w:rPr>
  </w:style>
  <w:style w:type="paragraph" w:styleId="16">
    <w:name w:val="Normal (Web)"/>
    <w:basedOn w:val="1"/>
    <w:qFormat/>
    <w:uiPriority w:val="99"/>
    <w:pPr>
      <w:spacing w:before="100" w:beforeAutospacing="1" w:after="100" w:afterAutospacing="1"/>
      <w:jc w:val="left"/>
    </w:pPr>
    <w:rPr>
      <w:sz w:val="24"/>
      <w:lang w:bidi="ar"/>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uiPriority w:val="0"/>
    <w:rPr>
      <w:b/>
      <w:bCs/>
    </w:rPr>
  </w:style>
  <w:style w:type="character" w:styleId="21">
    <w:name w:val="Hyperlink"/>
    <w:basedOn w:val="19"/>
    <w:qFormat/>
    <w:uiPriority w:val="0"/>
    <w:rPr>
      <w:color w:val="5B677D"/>
      <w:u w:val="none"/>
    </w:rPr>
  </w:style>
  <w:style w:type="paragraph" w:customStyle="1" w:styleId="22">
    <w:name w:val="List Paragraph"/>
    <w:basedOn w:val="1"/>
    <w:unhideWhenUsed/>
    <w:qFormat/>
    <w:uiPriority w:val="99"/>
    <w:pPr>
      <w:ind w:firstLine="420" w:firstLineChars="200"/>
    </w:pPr>
  </w:style>
  <w:style w:type="character" w:customStyle="1" w:styleId="23">
    <w:name w:val="页脚 字符"/>
    <w:basedOn w:val="19"/>
    <w:link w:val="10"/>
    <w:qFormat/>
    <w:uiPriority w:val="99"/>
    <w:rPr>
      <w:sz w:val="18"/>
      <w:szCs w:val="18"/>
    </w:rPr>
  </w:style>
  <w:style w:type="character" w:customStyle="1" w:styleId="24">
    <w:name w:val="页眉 字符"/>
    <w:basedOn w:val="19"/>
    <w:link w:val="11"/>
    <w:qFormat/>
    <w:uiPriority w:val="99"/>
    <w:rPr>
      <w:sz w:val="18"/>
      <w:szCs w:val="18"/>
    </w:rPr>
  </w:style>
  <w:style w:type="paragraph" w:customStyle="1" w:styleId="25">
    <w:name w:val="WPSOffice手动目录 1"/>
    <w:qFormat/>
    <w:uiPriority w:val="0"/>
    <w:pPr>
      <w:ind w:leftChars="0"/>
    </w:pPr>
    <w:rPr>
      <w:rFonts w:asciiTheme="minorHAnsi" w:hAnsiTheme="minorHAnsi" w:eastAsiaTheme="minorEastAsia" w:cstheme="minorBidi"/>
      <w:sz w:val="20"/>
      <w:szCs w:val="20"/>
    </w:rPr>
  </w:style>
  <w:style w:type="paragraph" w:customStyle="1" w:styleId="26">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27">
    <w:name w:val="正文A"/>
    <w:basedOn w:val="1"/>
    <w:qFormat/>
    <w:uiPriority w:val="4"/>
    <w:pPr>
      <w:widowControl/>
      <w:spacing w:line="580" w:lineRule="exact"/>
      <w:ind w:firstLine="640"/>
      <w:jc w:val="left"/>
    </w:pPr>
    <w:rPr>
      <w:rFonts w:ascii="仿宋_GB2312" w:hAnsi="仿宋_GB2312" w:eastAsia="仿宋_GB2312" w:cs="宋体"/>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10</Pages>
  <Words>5231</Words>
  <Characters>5564</Characters>
  <Lines>7</Lines>
  <Paragraphs>2</Paragraphs>
  <TotalTime>9</TotalTime>
  <ScaleCrop>false</ScaleCrop>
  <LinksUpToDate>false</LinksUpToDate>
  <CharactersWithSpaces>5565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2024-11-21T04:02:37Z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FA48308C584B4C498E9734F137FE4F69</vt:lpwstr>
  </property>
</Properties>
</file>