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C02A382">
      <w:pPr>
        <w:keepNext w:val="0"/>
        <w:keepLines w:val="0"/>
        <w:pageBreakBefore w:val="0"/>
        <w:widowControl w:val="0"/>
        <w:kinsoku/>
        <w:wordWrap/>
        <w:overflowPunct/>
        <w:topLinePunct w:val="0"/>
        <w:autoSpaceDE/>
        <w:autoSpaceDN/>
        <w:bidi w:val="0"/>
        <w:adjustRightInd w:val="0"/>
        <w:snapToGrid w:val="0"/>
        <w:spacing w:before="313" w:beforeLines="100" w:line="480" w:lineRule="auto"/>
        <w:ind w:left="0" w:leftChars="0" w:firstLine="0" w:firstLineChars="0"/>
        <w:jc w:val="center"/>
        <w:textAlignment w:val="auto"/>
        <w:rPr>
          <w:rFonts w:hint="eastAsia" w:ascii="黑体" w:hAnsi="黑体" w:eastAsia="黑体" w:cs="黑体"/>
          <w:color w:val="auto"/>
          <w:sz w:val="44"/>
          <w:szCs w:val="44"/>
          <w:highlight w:val="none"/>
          <w:lang w:val="en-US" w:eastAsia="zh-CN"/>
        </w:rPr>
      </w:pPr>
      <w:bookmarkStart w:id="0" w:name="_Toc23945_WPSOffice_Level1"/>
      <w:r>
        <w:rPr>
          <w:rFonts w:hint="eastAsia" w:ascii="黑体" w:hAnsi="黑体" w:eastAsia="黑体" w:cs="黑体"/>
          <w:color w:val="auto"/>
          <w:sz w:val="44"/>
          <w:szCs w:val="44"/>
          <w:highlight w:val="none"/>
          <w:lang w:val="en-US" w:eastAsia="zh-CN"/>
        </w:rPr>
        <w:t>部门单位整体支出绩效自评报告</w:t>
      </w:r>
    </w:p>
    <w:p w14:paraId="5308874E">
      <w:pPr>
        <w:pStyle w:val="3"/>
        <w:bidi w:val="0"/>
        <w:rPr>
          <w:rFonts w:hint="eastAsia"/>
          <w:color w:val="auto"/>
          <w:highlight w:val="none"/>
        </w:rPr>
      </w:pPr>
      <w:r>
        <w:rPr>
          <w:rFonts w:hint="eastAsia"/>
          <w:color w:val="auto"/>
          <w:highlight w:val="none"/>
          <w:lang w:val="en-US" w:eastAsia="zh-CN"/>
        </w:rPr>
        <w:t>一、</w:t>
      </w:r>
      <w:r>
        <w:rPr>
          <w:rFonts w:hint="eastAsia"/>
          <w:color w:val="auto"/>
          <w:highlight w:val="none"/>
        </w:rPr>
        <w:t>基本概况</w:t>
      </w:r>
      <w:bookmarkEnd w:id="0"/>
    </w:p>
    <w:p w14:paraId="19BBCEB8">
      <w:pPr>
        <w:pStyle w:val="4"/>
        <w:bidi w:val="0"/>
        <w:rPr>
          <w:rFonts w:hint="eastAsia"/>
          <w:color w:val="auto"/>
          <w:highlight w:val="none"/>
          <w:lang w:val="en-US" w:eastAsia="zh-CN"/>
        </w:rPr>
      </w:pPr>
      <w:r>
        <w:rPr>
          <w:rFonts w:hint="eastAsia"/>
          <w:color w:val="auto"/>
          <w:highlight w:val="none"/>
        </w:rPr>
        <w:t>（一）</w:t>
      </w:r>
      <w:r>
        <w:rPr>
          <w:rFonts w:hint="eastAsia"/>
          <w:color w:val="auto"/>
          <w:highlight w:val="none"/>
          <w:lang w:val="en-US" w:eastAsia="zh-CN"/>
        </w:rPr>
        <w:t>部门</w:t>
      </w:r>
      <w:r>
        <w:rPr>
          <w:rFonts w:hint="eastAsia"/>
          <w:color w:val="auto"/>
          <w:highlight w:val="none"/>
        </w:rPr>
        <w:t>单位基本情况</w:t>
      </w:r>
    </w:p>
    <w:p w14:paraId="1D27DDC9">
      <w:pPr>
        <w:pStyle w:val="5"/>
        <w:bidi w:val="0"/>
        <w:rPr>
          <w:rFonts w:hint="eastAsia"/>
          <w:color w:val="auto"/>
          <w:highlight w:val="none"/>
          <w:lang w:val="en-US" w:eastAsia="zh-CN"/>
        </w:rPr>
      </w:pPr>
      <w:r>
        <w:rPr>
          <w:rFonts w:hint="eastAsia"/>
          <w:color w:val="auto"/>
          <w:highlight w:val="none"/>
          <w:lang w:val="en-US" w:eastAsia="zh-CN"/>
        </w:rPr>
        <w:t>1.部门主要职能</w:t>
      </w:r>
    </w:p>
    <w:p w14:paraId="06E15079">
      <w:pPr>
        <w:ind w:firstLine="560"/>
        <w:rPr>
          <w:rFonts w:hint="default"/>
          <w:color w:val="auto"/>
          <w:highlight w:val="none"/>
          <w:lang w:val="en-US" w:eastAsia="zh-CN"/>
        </w:rPr>
      </w:pPr>
      <w:r>
        <w:rPr>
          <w:rFonts w:hint="eastAsia"/>
          <w:color w:val="auto"/>
          <w:highlight w:val="none"/>
          <w:lang w:val="en-US" w:eastAsia="zh-CN"/>
        </w:rPr>
        <w:t>负责对全县财政收支和法律法规规定属于审计监督范围的财务收支的真实、合法和效益进行审计监督，对公共资金、国有资产、国有资源和领导干部履行经济责任情况实行审计全覆盖，对领导干部实行自然资源资产离任审计，对国家有关重大政策措施贯彻落实情况进行跟踪审计，对审计、专项审计调查和核查社会审计机构相关审计报告的结果承担责任，并负有督促被审计单位整改的责任。</w:t>
      </w:r>
    </w:p>
    <w:p w14:paraId="37D303A1">
      <w:pPr>
        <w:pStyle w:val="5"/>
        <w:bidi w:val="0"/>
        <w:rPr>
          <w:rFonts w:hint="eastAsia"/>
          <w:color w:val="auto"/>
          <w:highlight w:val="none"/>
          <w:lang w:val="en-US" w:eastAsia="zh-CN"/>
        </w:rPr>
      </w:pPr>
      <w:r>
        <w:rPr>
          <w:rFonts w:hint="eastAsia"/>
          <w:color w:val="auto"/>
          <w:highlight w:val="none"/>
          <w:lang w:val="en-US" w:eastAsia="zh-CN"/>
        </w:rPr>
        <w:t>2.部门机构设置及人员构成</w:t>
      </w:r>
    </w:p>
    <w:p w14:paraId="15BC02E7">
      <w:pPr>
        <w:pStyle w:val="5"/>
        <w:ind w:firstLine="562"/>
        <w:rPr>
          <w:rFonts w:hint="eastAsia" w:ascii="仿宋_GB2312" w:hAnsi="仿宋_GB2312" w:eastAsia="仿宋" w:cs="仿宋_GB2312"/>
          <w:b w:val="0"/>
          <w:bCs w:val="0"/>
          <w:color w:val="auto"/>
          <w:kern w:val="2"/>
          <w:sz w:val="28"/>
          <w:szCs w:val="24"/>
          <w:highlight w:val="none"/>
          <w:lang w:val="en-US" w:eastAsia="zh-CN" w:bidi="ar-SA"/>
        </w:rPr>
      </w:pPr>
      <w:r>
        <w:rPr>
          <w:rFonts w:hint="eastAsia" w:ascii="仿宋_GB2312" w:hAnsi="仿宋_GB2312" w:eastAsia="仿宋" w:cs="仿宋_GB2312"/>
          <w:b w:val="0"/>
          <w:bCs w:val="0"/>
          <w:color w:val="auto"/>
          <w:kern w:val="2"/>
          <w:sz w:val="28"/>
          <w:szCs w:val="24"/>
          <w:highlight w:val="none"/>
          <w:lang w:val="en-US" w:eastAsia="zh-CN" w:bidi="ar-SA"/>
        </w:rPr>
        <w:t>根据上述职责，和静县审计局单位无下属预算单位，下设4个处室，分别是：县党委审计委员会办公室、法制股（综合办公室）、财政金融与企业审计股、基建投资审计股。和静县审计局人员编制数共17人，其中：行政编制10人，事业编制7人。年初预算实有在职人员12人，退休人员11人。年末实有在职人数14人，退休人员11人。</w:t>
      </w:r>
    </w:p>
    <w:p w14:paraId="52055B97">
      <w:pPr>
        <w:pStyle w:val="4"/>
        <w:bidi w:val="0"/>
        <w:outlineLvl w:val="1"/>
        <w:rPr>
          <w:rFonts w:hint="eastAsia"/>
          <w:color w:val="auto"/>
          <w:highlight w:val="none"/>
          <w:lang w:val="en-US" w:eastAsia="zh-CN"/>
        </w:rPr>
      </w:pPr>
      <w:r>
        <w:rPr>
          <w:rFonts w:hint="eastAsia"/>
          <w:color w:val="auto"/>
          <w:highlight w:val="none"/>
          <w:lang w:val="en-US" w:eastAsia="zh-CN"/>
        </w:rPr>
        <w:t>（二）部门单位年度重点工作</w:t>
      </w:r>
    </w:p>
    <w:p w14:paraId="344A07CC">
      <w:pPr>
        <w:pStyle w:val="16"/>
        <w:keepNext w:val="0"/>
        <w:keepLines w:val="0"/>
        <w:pageBreakBefore w:val="0"/>
        <w:widowControl/>
        <w:kinsoku/>
        <w:wordWrap/>
        <w:overflowPunct/>
        <w:topLinePunct w:val="0"/>
        <w:autoSpaceDE/>
        <w:autoSpaceDN/>
        <w:bidi w:val="0"/>
        <w:adjustRightInd/>
        <w:snapToGrid/>
        <w:spacing w:before="0" w:beforeAutospacing="0" w:after="0" w:afterAutospacing="0" w:line="480" w:lineRule="atLeast"/>
        <w:ind w:firstLine="560" w:firstLineChars="200"/>
        <w:jc w:val="both"/>
        <w:textAlignment w:val="auto"/>
        <w:rPr>
          <w:rFonts w:hint="eastAsia" w:ascii="仿宋_GB2312" w:hAnsi="仿宋_GB2312" w:eastAsia="仿宋_GB2312" w:cs="Times New Roman"/>
          <w:color w:val="auto"/>
          <w:kern w:val="2"/>
          <w:sz w:val="28"/>
          <w:szCs w:val="28"/>
          <w:highlight w:val="none"/>
          <w:lang w:val="en-US" w:eastAsia="zh-CN" w:bidi="ar-SA"/>
        </w:rPr>
      </w:pPr>
      <w:r>
        <w:rPr>
          <w:rFonts w:hint="eastAsia" w:eastAsia="仿宋_GB2312" w:cs="Times New Roman"/>
          <w:color w:val="auto"/>
          <w:kern w:val="2"/>
          <w:sz w:val="28"/>
          <w:szCs w:val="28"/>
          <w:highlight w:val="none"/>
          <w:lang w:val="en-US" w:eastAsia="zh-CN" w:bidi="ar-SA"/>
        </w:rPr>
        <w:t>1.</w:t>
      </w:r>
      <w:r>
        <w:rPr>
          <w:rFonts w:hint="eastAsia" w:ascii="仿宋_GB2312" w:hAnsi="仿宋_GB2312" w:eastAsia="仿宋_GB2312" w:cs="Times New Roman"/>
          <w:color w:val="auto"/>
          <w:kern w:val="2"/>
          <w:sz w:val="28"/>
          <w:szCs w:val="28"/>
          <w:highlight w:val="none"/>
          <w:lang w:val="en-US" w:eastAsia="zh-CN" w:bidi="ar-SA"/>
        </w:rPr>
        <w:t>202</w:t>
      </w:r>
      <w:r>
        <w:rPr>
          <w:rFonts w:hint="eastAsia" w:eastAsia="仿宋_GB2312" w:cs="Times New Roman"/>
          <w:color w:val="auto"/>
          <w:kern w:val="2"/>
          <w:sz w:val="28"/>
          <w:szCs w:val="28"/>
          <w:highlight w:val="none"/>
          <w:lang w:val="en-US" w:eastAsia="zh-CN" w:bidi="ar-SA"/>
        </w:rPr>
        <w:t>3</w:t>
      </w:r>
      <w:r>
        <w:rPr>
          <w:rFonts w:hint="eastAsia" w:ascii="仿宋_GB2312" w:hAnsi="仿宋_GB2312" w:eastAsia="仿宋_GB2312" w:cs="Times New Roman"/>
          <w:color w:val="auto"/>
          <w:kern w:val="2"/>
          <w:sz w:val="28"/>
          <w:szCs w:val="28"/>
          <w:highlight w:val="none"/>
          <w:lang w:val="en-US" w:eastAsia="zh-CN" w:bidi="ar-SA"/>
        </w:rPr>
        <w:t>年，我单位深入学习贯彻党的</w:t>
      </w:r>
      <w:r>
        <w:rPr>
          <w:rFonts w:hint="eastAsia" w:eastAsia="仿宋_GB2312" w:cs="Times New Roman"/>
          <w:color w:val="auto"/>
          <w:kern w:val="2"/>
          <w:sz w:val="28"/>
          <w:szCs w:val="28"/>
          <w:highlight w:val="none"/>
          <w:lang w:val="en-US" w:eastAsia="zh-CN" w:bidi="ar-SA"/>
        </w:rPr>
        <w:t>二十大</w:t>
      </w:r>
      <w:r>
        <w:rPr>
          <w:rFonts w:hint="eastAsia" w:ascii="仿宋_GB2312" w:hAnsi="仿宋_GB2312" w:eastAsia="仿宋_GB2312" w:cs="Times New Roman"/>
          <w:color w:val="auto"/>
          <w:kern w:val="2"/>
          <w:sz w:val="28"/>
          <w:szCs w:val="28"/>
          <w:highlight w:val="none"/>
          <w:lang w:val="en-US" w:eastAsia="zh-CN" w:bidi="ar-SA"/>
        </w:rPr>
        <w:t>精神</w:t>
      </w:r>
      <w:r>
        <w:rPr>
          <w:rFonts w:hint="eastAsia" w:ascii="仿宋_GB2312" w:hAnsi="仿宋_GB2312" w:cs="Times New Roman"/>
          <w:color w:val="auto"/>
          <w:kern w:val="2"/>
          <w:sz w:val="28"/>
          <w:szCs w:val="28"/>
          <w:highlight w:val="none"/>
          <w:lang w:val="en-US" w:eastAsia="zh-CN" w:bidi="ar-SA"/>
        </w:rPr>
        <w:t>、</w:t>
      </w:r>
      <w:r>
        <w:rPr>
          <w:rFonts w:hint="eastAsia" w:cs="Times New Roman"/>
          <w:color w:val="auto"/>
          <w:kern w:val="2"/>
          <w:sz w:val="28"/>
          <w:szCs w:val="28"/>
          <w:highlight w:val="none"/>
          <w:lang w:val="en-US" w:eastAsia="zh-CN" w:bidi="ar-SA"/>
        </w:rPr>
        <w:t>习近平总书记关于“三农”工作重要论述 努力开创农业农村审计工作新局面</w:t>
      </w:r>
      <w:r>
        <w:rPr>
          <w:rFonts w:hint="eastAsia" w:ascii="仿宋_GB2312" w:hAnsi="仿宋_GB2312" w:cs="Times New Roman"/>
          <w:color w:val="auto"/>
          <w:kern w:val="2"/>
          <w:sz w:val="28"/>
          <w:szCs w:val="28"/>
          <w:highlight w:val="none"/>
          <w:lang w:val="en-US" w:eastAsia="zh-CN" w:bidi="ar-SA"/>
        </w:rPr>
        <w:t>等</w:t>
      </w:r>
      <w:r>
        <w:rPr>
          <w:rFonts w:hint="eastAsia" w:cs="Times New Roman"/>
          <w:color w:val="auto"/>
          <w:kern w:val="2"/>
          <w:sz w:val="28"/>
          <w:szCs w:val="28"/>
          <w:highlight w:val="none"/>
          <w:lang w:val="en-US" w:eastAsia="zh-CN" w:bidi="ar-SA"/>
        </w:rPr>
        <w:t>习近平总书记重要讲话精神</w:t>
      </w:r>
      <w:r>
        <w:rPr>
          <w:rFonts w:hint="eastAsia" w:ascii="仿宋_GB2312" w:hAnsi="仿宋_GB2312" w:eastAsia="仿宋_GB2312" w:cs="Times New Roman"/>
          <w:color w:val="auto"/>
          <w:kern w:val="2"/>
          <w:sz w:val="28"/>
          <w:szCs w:val="28"/>
          <w:highlight w:val="none"/>
          <w:lang w:val="en-US" w:eastAsia="zh-CN" w:bidi="ar-SA"/>
        </w:rPr>
        <w:t>，坚持以习近平新时代中国特色社会主义思想为指引，着力解决突出问题，深入推进干部能力建设。具体如下：</w:t>
      </w:r>
    </w:p>
    <w:p w14:paraId="21580CAF">
      <w:pPr>
        <w:pStyle w:val="16"/>
        <w:keepNext w:val="0"/>
        <w:keepLines w:val="0"/>
        <w:pageBreakBefore w:val="0"/>
        <w:widowControl/>
        <w:kinsoku/>
        <w:wordWrap/>
        <w:overflowPunct/>
        <w:topLinePunct w:val="0"/>
        <w:autoSpaceDE/>
        <w:autoSpaceDN/>
        <w:bidi w:val="0"/>
        <w:adjustRightInd/>
        <w:snapToGrid/>
        <w:spacing w:before="0" w:beforeAutospacing="0" w:after="0" w:afterAutospacing="0" w:line="480" w:lineRule="atLeast"/>
        <w:ind w:firstLine="560" w:firstLineChars="200"/>
        <w:jc w:val="both"/>
        <w:textAlignment w:val="auto"/>
        <w:rPr>
          <w:rFonts w:hint="default" w:ascii="仿宋_GB2312" w:hAnsi="仿宋_GB2312" w:eastAsia="仿宋_GB2312" w:cs="Times New Roman"/>
          <w:color w:val="auto"/>
          <w:kern w:val="2"/>
          <w:sz w:val="28"/>
          <w:szCs w:val="28"/>
          <w:highlight w:val="none"/>
          <w:lang w:val="en-US" w:eastAsia="zh-CN" w:bidi="ar-SA"/>
        </w:rPr>
      </w:pPr>
      <w:r>
        <w:rPr>
          <w:rFonts w:hint="eastAsia" w:ascii="仿宋_GB2312" w:hAnsi="仿宋_GB2312" w:eastAsia="仿宋_GB2312" w:cs="Times New Roman"/>
          <w:color w:val="auto"/>
          <w:kern w:val="2"/>
          <w:sz w:val="28"/>
          <w:szCs w:val="28"/>
          <w:highlight w:val="none"/>
          <w:lang w:val="en-US" w:eastAsia="zh-CN" w:bidi="ar-SA"/>
        </w:rPr>
        <w:t>（1）</w:t>
      </w:r>
      <w:r>
        <w:rPr>
          <w:rFonts w:hint="default" w:ascii="仿宋_GB2312" w:hAnsi="仿宋_GB2312" w:eastAsia="仿宋_GB2312" w:cs="Times New Roman"/>
          <w:color w:val="auto"/>
          <w:kern w:val="2"/>
          <w:sz w:val="28"/>
          <w:szCs w:val="28"/>
          <w:highlight w:val="none"/>
          <w:lang w:val="en-US" w:eastAsia="zh-CN" w:bidi="ar-SA"/>
        </w:rPr>
        <w:t>贯彻加强党对审计工作的总要求。深入学习贯彻习近平总书记关于审计工作的重要讲话和指示批示精神，提高政治站位，把准政治方向，坚决落实党对审计工作的集中统一领导，构建集中统一、全面覆盖、权威高效的审计监督体系，把党中央对审计工作的各项决策部署落实到审计工作的各方面和全过程。强化对重大工作的统筹协调和督促落实，进一步完善审计管理体制和审计工作运行机制、审计制度规范体系。</w:t>
      </w:r>
    </w:p>
    <w:p w14:paraId="6B30D16A">
      <w:pPr>
        <w:pStyle w:val="16"/>
        <w:keepNext w:val="0"/>
        <w:keepLines w:val="0"/>
        <w:pageBreakBefore w:val="0"/>
        <w:widowControl/>
        <w:kinsoku/>
        <w:wordWrap/>
        <w:overflowPunct/>
        <w:topLinePunct w:val="0"/>
        <w:autoSpaceDE/>
        <w:autoSpaceDN/>
        <w:bidi w:val="0"/>
        <w:adjustRightInd/>
        <w:snapToGrid/>
        <w:spacing w:before="0" w:beforeAutospacing="0" w:after="0" w:afterAutospacing="0" w:line="480" w:lineRule="atLeast"/>
        <w:ind w:firstLine="560" w:firstLineChars="200"/>
        <w:jc w:val="both"/>
        <w:textAlignment w:val="auto"/>
        <w:rPr>
          <w:rFonts w:hint="default" w:ascii="仿宋_GB2312" w:hAnsi="仿宋_GB2312" w:eastAsia="仿宋_GB2312" w:cs="Times New Roman"/>
          <w:color w:val="auto"/>
          <w:kern w:val="2"/>
          <w:sz w:val="28"/>
          <w:szCs w:val="28"/>
          <w:highlight w:val="none"/>
          <w:lang w:val="en-US" w:eastAsia="zh-CN" w:bidi="ar-SA"/>
        </w:rPr>
      </w:pPr>
      <w:r>
        <w:rPr>
          <w:rFonts w:hint="eastAsia" w:ascii="仿宋_GB2312" w:hAnsi="仿宋_GB2312" w:eastAsia="仿宋_GB2312" w:cs="Times New Roman"/>
          <w:color w:val="auto"/>
          <w:kern w:val="2"/>
          <w:sz w:val="28"/>
          <w:szCs w:val="28"/>
          <w:highlight w:val="none"/>
          <w:lang w:val="en-US" w:eastAsia="zh-CN" w:bidi="ar-SA"/>
        </w:rPr>
        <w:t>（2）</w:t>
      </w:r>
      <w:r>
        <w:rPr>
          <w:rFonts w:hint="default" w:ascii="仿宋_GB2312" w:hAnsi="仿宋_GB2312" w:eastAsia="仿宋_GB2312" w:cs="Times New Roman"/>
          <w:color w:val="auto"/>
          <w:kern w:val="2"/>
          <w:sz w:val="28"/>
          <w:szCs w:val="28"/>
          <w:highlight w:val="none"/>
          <w:lang w:val="en-US" w:eastAsia="zh-CN" w:bidi="ar-SA"/>
        </w:rPr>
        <w:t>落实局党组全面从严治党要求。要增强“四个意识”，坚定“四个自信”，做到“两个维护”，以党的政治建设为统领，扎实推进党组织的思想建设、组织建设、作风建设、纪律建设，以“党建强审”为有力抓手，重点在“讲政治、抓基层、严纪律、强队伍”四个方面下功夫抓落实，不断推动审计局党组全面从严治党向纵深发展，打造具有审计特色的党建工作品牌。</w:t>
      </w:r>
    </w:p>
    <w:p w14:paraId="69DD27DE">
      <w:pPr>
        <w:pStyle w:val="16"/>
        <w:keepNext w:val="0"/>
        <w:keepLines w:val="0"/>
        <w:pageBreakBefore w:val="0"/>
        <w:widowControl/>
        <w:kinsoku/>
        <w:wordWrap/>
        <w:overflowPunct/>
        <w:topLinePunct w:val="0"/>
        <w:autoSpaceDE/>
        <w:autoSpaceDN/>
        <w:bidi w:val="0"/>
        <w:adjustRightInd/>
        <w:snapToGrid/>
        <w:spacing w:before="0" w:beforeAutospacing="0" w:after="0" w:afterAutospacing="0" w:line="480" w:lineRule="atLeast"/>
        <w:ind w:firstLine="560" w:firstLineChars="200"/>
        <w:jc w:val="both"/>
        <w:textAlignment w:val="auto"/>
        <w:rPr>
          <w:rFonts w:hint="default" w:ascii="仿宋_GB2312" w:hAnsi="仿宋_GB2312" w:eastAsia="仿宋_GB2312" w:cs="Times New Roman"/>
          <w:color w:val="auto"/>
          <w:kern w:val="2"/>
          <w:sz w:val="28"/>
          <w:szCs w:val="28"/>
          <w:highlight w:val="none"/>
          <w:lang w:val="en-US" w:eastAsia="zh-CN" w:bidi="ar-SA"/>
        </w:rPr>
      </w:pPr>
      <w:r>
        <w:rPr>
          <w:rFonts w:hint="eastAsia" w:ascii="仿宋_GB2312" w:hAnsi="仿宋_GB2312" w:eastAsia="仿宋_GB2312" w:cs="Times New Roman"/>
          <w:color w:val="auto"/>
          <w:kern w:val="2"/>
          <w:sz w:val="28"/>
          <w:szCs w:val="28"/>
          <w:highlight w:val="none"/>
          <w:lang w:val="en-US" w:eastAsia="zh-CN" w:bidi="ar-SA"/>
        </w:rPr>
        <w:t>（3）</w:t>
      </w:r>
      <w:r>
        <w:rPr>
          <w:rFonts w:hint="default" w:ascii="仿宋_GB2312" w:hAnsi="仿宋_GB2312" w:eastAsia="仿宋_GB2312" w:cs="Times New Roman"/>
          <w:color w:val="auto"/>
          <w:kern w:val="2"/>
          <w:sz w:val="28"/>
          <w:szCs w:val="28"/>
          <w:highlight w:val="none"/>
          <w:lang w:val="en-US" w:eastAsia="zh-CN" w:bidi="ar-SA"/>
        </w:rPr>
        <w:t>充分发挥审计监督防风险促发展的作用。在经济社会发展中发挥防风险、促发展作用，通过审计监督，将风险隐患</w:t>
      </w:r>
      <w:r>
        <w:rPr>
          <w:rFonts w:hint="eastAsia" w:eastAsia="仿宋_GB2312" w:cs="Times New Roman"/>
          <w:color w:val="auto"/>
          <w:kern w:val="2"/>
          <w:sz w:val="28"/>
          <w:szCs w:val="28"/>
          <w:highlight w:val="none"/>
          <w:lang w:val="en-US" w:eastAsia="zh-CN" w:bidi="ar-SA"/>
        </w:rPr>
        <w:t>防患于未然</w:t>
      </w:r>
      <w:r>
        <w:rPr>
          <w:rFonts w:hint="default" w:ascii="仿宋_GB2312" w:hAnsi="仿宋_GB2312" w:eastAsia="仿宋_GB2312" w:cs="Times New Roman"/>
          <w:color w:val="auto"/>
          <w:kern w:val="2"/>
          <w:sz w:val="28"/>
          <w:szCs w:val="28"/>
          <w:highlight w:val="none"/>
          <w:lang w:val="en-US" w:eastAsia="zh-CN" w:bidi="ar-SA"/>
        </w:rPr>
        <w:t>。系统梳理经济运行的风险隐患，建立风险导向的审计制度机制，推动完善制度和深化改革。注重完善建立审计预警机制，从根本上防范风险、解决问题。</w:t>
      </w:r>
    </w:p>
    <w:p w14:paraId="2C4DEBE2">
      <w:pPr>
        <w:pStyle w:val="4"/>
        <w:bidi w:val="0"/>
        <w:rPr>
          <w:rFonts w:hint="default"/>
          <w:color w:val="auto"/>
          <w:highlight w:val="none"/>
          <w:lang w:val="en-US" w:eastAsia="zh-CN"/>
        </w:rPr>
      </w:pPr>
      <w:r>
        <w:rPr>
          <w:rFonts w:hint="eastAsia"/>
          <w:color w:val="auto"/>
          <w:highlight w:val="none"/>
          <w:lang w:val="en-US" w:eastAsia="zh-CN"/>
        </w:rPr>
        <w:t>（三）部门单位整体预算规模及安排情况</w:t>
      </w:r>
    </w:p>
    <w:p w14:paraId="376EA73C">
      <w:pPr>
        <w:bidi w:val="0"/>
        <w:rPr>
          <w:rFonts w:hint="eastAsia" w:ascii="仿宋_GB2312" w:hAnsi="仿宋_GB2312" w:eastAsia="仿宋" w:cs="仿宋_GB2312"/>
          <w:b/>
          <w:bCs/>
          <w:color w:val="auto"/>
          <w:kern w:val="2"/>
          <w:sz w:val="30"/>
          <w:szCs w:val="32"/>
          <w:highlight w:val="none"/>
          <w:lang w:val="en-US" w:eastAsia="zh-CN" w:bidi="ar-SA"/>
        </w:rPr>
      </w:pPr>
      <w:r>
        <w:rPr>
          <w:rFonts w:hint="eastAsia" w:ascii="仿宋_GB2312" w:hAnsi="仿宋_GB2312" w:eastAsia="仿宋" w:cs="仿宋_GB2312"/>
          <w:b/>
          <w:bCs/>
          <w:color w:val="auto"/>
          <w:kern w:val="2"/>
          <w:sz w:val="30"/>
          <w:szCs w:val="32"/>
          <w:highlight w:val="none"/>
          <w:lang w:val="en-US" w:eastAsia="zh-CN" w:bidi="ar-SA"/>
        </w:rPr>
        <w:t>1.预算执行情况</w:t>
      </w:r>
    </w:p>
    <w:p w14:paraId="1AABA95D">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（1）年初预算执行情况</w:t>
      </w:r>
    </w:p>
    <w:p w14:paraId="6DB9A6CB">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我单位年初预算数为257.12万元，实际预算执行数257.12万元，预算执行率为100%。</w:t>
      </w:r>
    </w:p>
    <w:p w14:paraId="6F373F23">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（2）全年预算执行情况</w:t>
      </w:r>
    </w:p>
    <w:p w14:paraId="03BE518C">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全年预算数为294.51万元，全年实际支出资金294.51万元，预算执行率为100%。</w:t>
      </w:r>
    </w:p>
    <w:p w14:paraId="64C1B983">
      <w:pPr>
        <w:pStyle w:val="5"/>
        <w:bidi w:val="0"/>
        <w:rPr>
          <w:rFonts w:hint="eastAsia"/>
          <w:color w:val="auto"/>
          <w:highlight w:val="none"/>
          <w:lang w:val="en-US" w:eastAsia="zh-CN"/>
        </w:rPr>
      </w:pPr>
      <w:r>
        <w:rPr>
          <w:rFonts w:hint="eastAsia"/>
          <w:color w:val="auto"/>
          <w:highlight w:val="none"/>
          <w:lang w:val="en-US" w:eastAsia="zh-CN"/>
        </w:rPr>
        <w:t>2.预算调整（追加减）情况</w:t>
      </w:r>
    </w:p>
    <w:p w14:paraId="07D5EDFE">
      <w:pPr>
        <w:bidi w:val="0"/>
        <w:rPr>
          <w:rFonts w:hint="eastAsia" w:ascii="Times New Roman" w:hAnsi="Times New Roman" w:cs="Times New Roman"/>
          <w:bCs/>
          <w:color w:val="auto"/>
          <w:highlight w:val="none"/>
          <w:lang w:eastAsia="zh-CN"/>
        </w:rPr>
      </w:pPr>
      <w:r>
        <w:rPr>
          <w:rFonts w:hint="eastAsia" w:ascii="Times New Roman" w:hAnsi="Times New Roman" w:cs="Times New Roman"/>
          <w:bCs/>
          <w:color w:val="auto"/>
          <w:highlight w:val="none"/>
          <w:lang w:eastAsia="zh-CN"/>
        </w:rPr>
        <w:t>我单位年初批复预算数</w:t>
      </w:r>
      <w:r>
        <w:rPr>
          <w:rFonts w:hint="eastAsia" w:ascii="Times New Roman" w:hAnsi="Times New Roman" w:cs="Times New Roman"/>
          <w:bCs/>
          <w:color w:val="auto"/>
          <w:highlight w:val="none"/>
          <w:lang w:val="en-US" w:eastAsia="zh-CN"/>
        </w:rPr>
        <w:t>257.12</w:t>
      </w:r>
      <w:r>
        <w:rPr>
          <w:rFonts w:hint="eastAsia" w:ascii="Times New Roman" w:hAnsi="Times New Roman" w:cs="Times New Roman"/>
          <w:bCs/>
          <w:color w:val="auto"/>
          <w:highlight w:val="none"/>
          <w:lang w:eastAsia="zh-CN"/>
        </w:rPr>
        <w:t>万元，年中调整数</w:t>
      </w:r>
      <w:r>
        <w:rPr>
          <w:rFonts w:hint="eastAsia" w:ascii="Times New Roman" w:hAnsi="Times New Roman" w:cs="Times New Roman"/>
          <w:bCs/>
          <w:color w:val="auto"/>
          <w:highlight w:val="none"/>
          <w:lang w:val="en-US" w:eastAsia="zh-CN"/>
        </w:rPr>
        <w:t>37.39</w:t>
      </w:r>
      <w:r>
        <w:rPr>
          <w:rFonts w:hint="eastAsia" w:ascii="Times New Roman" w:hAnsi="Times New Roman" w:cs="Times New Roman"/>
          <w:bCs/>
          <w:color w:val="auto"/>
          <w:highlight w:val="none"/>
          <w:lang w:eastAsia="zh-CN"/>
        </w:rPr>
        <w:t>万元，调整后全年预算数</w:t>
      </w:r>
      <w:r>
        <w:rPr>
          <w:rFonts w:hint="eastAsia" w:ascii="Times New Roman" w:hAnsi="Times New Roman" w:cs="Times New Roman"/>
          <w:bCs/>
          <w:color w:val="auto"/>
          <w:highlight w:val="none"/>
          <w:lang w:val="en-US" w:eastAsia="zh-CN"/>
        </w:rPr>
        <w:t>294.51</w:t>
      </w:r>
      <w:r>
        <w:rPr>
          <w:rFonts w:hint="eastAsia" w:ascii="Times New Roman" w:hAnsi="Times New Roman" w:cs="Times New Roman"/>
          <w:bCs/>
          <w:color w:val="auto"/>
          <w:highlight w:val="none"/>
          <w:lang w:eastAsia="zh-CN"/>
        </w:rPr>
        <w:t>万元，预算调整率</w:t>
      </w:r>
      <w:r>
        <w:rPr>
          <w:rFonts w:hint="eastAsia" w:ascii="Times New Roman" w:hAnsi="Times New Roman" w:cs="Times New Roman"/>
          <w:bCs/>
          <w:color w:val="auto"/>
          <w:highlight w:val="none"/>
          <w:lang w:val="en-US" w:eastAsia="zh-CN"/>
        </w:rPr>
        <w:t>14.54</w:t>
      </w:r>
      <w:r>
        <w:rPr>
          <w:rFonts w:hint="eastAsia" w:ascii="Times New Roman" w:hAnsi="Times New Roman" w:cs="Times New Roman"/>
          <w:bCs/>
          <w:color w:val="auto"/>
          <w:highlight w:val="none"/>
          <w:lang w:eastAsia="zh-CN"/>
        </w:rPr>
        <w:t>%。（预算调整率=调整数/年初预算数*100%=</w:t>
      </w:r>
      <w:r>
        <w:rPr>
          <w:rFonts w:hint="eastAsia" w:ascii="Times New Roman" w:hAnsi="Times New Roman" w:cs="Times New Roman"/>
          <w:bCs/>
          <w:color w:val="auto"/>
          <w:highlight w:val="none"/>
          <w:lang w:val="en-US" w:eastAsia="zh-CN"/>
        </w:rPr>
        <w:t>14.54</w:t>
      </w:r>
      <w:r>
        <w:rPr>
          <w:rFonts w:hint="eastAsia" w:ascii="Times New Roman" w:hAnsi="Times New Roman" w:cs="Times New Roman"/>
          <w:bCs/>
          <w:color w:val="auto"/>
          <w:highlight w:val="none"/>
          <w:lang w:eastAsia="zh-CN"/>
        </w:rPr>
        <w:t>%）。</w:t>
      </w:r>
    </w:p>
    <w:p w14:paraId="7929AC07">
      <w:pPr>
        <w:pStyle w:val="5"/>
        <w:rPr>
          <w:rFonts w:hint="default"/>
          <w:color w:val="auto"/>
          <w:highlight w:val="none"/>
          <w:lang w:val="en-US" w:eastAsia="zh-CN"/>
        </w:rPr>
      </w:pPr>
      <w:r>
        <w:rPr>
          <w:rFonts w:hint="default"/>
          <w:color w:val="auto"/>
          <w:highlight w:val="none"/>
          <w:lang w:val="en-US" w:eastAsia="zh-CN"/>
        </w:rPr>
        <w:t>3.资金使用主要内容、涉及的范围</w:t>
      </w:r>
    </w:p>
    <w:p w14:paraId="642CA795">
      <w:pPr>
        <w:bidi w:val="0"/>
        <w:rPr>
          <w:rFonts w:hint="default"/>
          <w:color w:val="auto"/>
          <w:highlight w:val="none"/>
          <w:lang w:val="en-US" w:eastAsia="zh-CN"/>
        </w:rPr>
      </w:pPr>
      <w:r>
        <w:rPr>
          <w:rFonts w:hint="default"/>
          <w:color w:val="auto"/>
          <w:highlight w:val="none"/>
          <w:lang w:val="en-US" w:eastAsia="zh-CN"/>
        </w:rPr>
        <w:t>我单位2023年度部门整体支出为</w:t>
      </w:r>
      <w:r>
        <w:rPr>
          <w:rFonts w:hint="eastAsia"/>
          <w:color w:val="auto"/>
          <w:highlight w:val="none"/>
          <w:lang w:val="en-US" w:eastAsia="zh-CN"/>
        </w:rPr>
        <w:t>294.51</w:t>
      </w:r>
      <w:r>
        <w:rPr>
          <w:rFonts w:hint="default"/>
          <w:color w:val="auto"/>
          <w:highlight w:val="none"/>
          <w:lang w:val="en-US" w:eastAsia="zh-CN"/>
        </w:rPr>
        <w:t>万元，其中：</w:t>
      </w:r>
    </w:p>
    <w:p w14:paraId="5C4BD3E5">
      <w:pPr>
        <w:bidi w:val="0"/>
        <w:rPr>
          <w:rFonts w:hint="default"/>
          <w:color w:val="auto"/>
          <w:highlight w:val="none"/>
          <w:lang w:val="en-US" w:eastAsia="zh-CN"/>
        </w:rPr>
      </w:pPr>
      <w:r>
        <w:rPr>
          <w:rFonts w:hint="default"/>
          <w:color w:val="auto"/>
          <w:highlight w:val="none"/>
          <w:lang w:val="en-US" w:eastAsia="zh-CN"/>
        </w:rPr>
        <w:t>基本支出</w:t>
      </w:r>
      <w:r>
        <w:rPr>
          <w:rFonts w:hint="eastAsia"/>
          <w:color w:val="auto"/>
          <w:highlight w:val="none"/>
          <w:lang w:val="en-US" w:eastAsia="zh-CN"/>
        </w:rPr>
        <w:t>285.31</w:t>
      </w:r>
      <w:r>
        <w:rPr>
          <w:rFonts w:hint="default"/>
          <w:color w:val="auto"/>
          <w:highlight w:val="none"/>
          <w:lang w:val="en-US" w:eastAsia="zh-CN"/>
        </w:rPr>
        <w:t>万元，资金的使用方向为我单位机关人员经费支出</w:t>
      </w:r>
      <w:r>
        <w:rPr>
          <w:rFonts w:hint="eastAsia"/>
          <w:color w:val="auto"/>
          <w:highlight w:val="none"/>
          <w:lang w:val="en-US" w:eastAsia="zh-CN"/>
        </w:rPr>
        <w:t>275.03</w:t>
      </w:r>
      <w:r>
        <w:rPr>
          <w:rFonts w:hint="default"/>
          <w:color w:val="auto"/>
          <w:highlight w:val="none"/>
          <w:lang w:val="en-US" w:eastAsia="zh-CN"/>
        </w:rPr>
        <w:t>万元</w:t>
      </w:r>
      <w:r>
        <w:rPr>
          <w:rFonts w:hint="eastAsia"/>
          <w:color w:val="auto"/>
          <w:highlight w:val="none"/>
          <w:lang w:val="en-US" w:eastAsia="zh-CN"/>
        </w:rPr>
        <w:t>，</w:t>
      </w:r>
      <w:r>
        <w:rPr>
          <w:rFonts w:hint="default"/>
          <w:color w:val="auto"/>
          <w:highlight w:val="none"/>
          <w:lang w:val="en-US" w:eastAsia="zh-CN"/>
        </w:rPr>
        <w:t>日常公用经费支出</w:t>
      </w:r>
      <w:r>
        <w:rPr>
          <w:rFonts w:hint="eastAsia"/>
          <w:color w:val="auto"/>
          <w:highlight w:val="none"/>
          <w:lang w:val="en-US" w:eastAsia="zh-CN"/>
        </w:rPr>
        <w:t>10.28</w:t>
      </w:r>
      <w:r>
        <w:rPr>
          <w:rFonts w:hint="default"/>
          <w:color w:val="auto"/>
          <w:highlight w:val="none"/>
          <w:lang w:val="en-US" w:eastAsia="zh-CN"/>
        </w:rPr>
        <w:t>万元</w:t>
      </w:r>
      <w:r>
        <w:rPr>
          <w:rFonts w:hint="eastAsia"/>
          <w:color w:val="auto"/>
          <w:highlight w:val="none"/>
          <w:lang w:val="en-US" w:eastAsia="zh-CN"/>
        </w:rPr>
        <w:t>，主要用于保障人员工资及人员医保、社保、住房公积金等缴费，单位办公用品购买及车辆燃油费及维修等方面支出。</w:t>
      </w:r>
    </w:p>
    <w:p w14:paraId="16DBD0E4">
      <w:pPr>
        <w:bidi w:val="0"/>
        <w:rPr>
          <w:rFonts w:hint="default"/>
          <w:color w:val="auto"/>
          <w:highlight w:val="none"/>
          <w:lang w:val="en-US" w:eastAsia="zh-CN"/>
        </w:rPr>
      </w:pPr>
      <w:r>
        <w:rPr>
          <w:rFonts w:hint="default"/>
          <w:color w:val="auto"/>
          <w:highlight w:val="none"/>
          <w:lang w:val="en-US" w:eastAsia="zh-CN"/>
        </w:rPr>
        <w:t>项目支出共</w:t>
      </w:r>
      <w:r>
        <w:rPr>
          <w:rFonts w:hint="eastAsia"/>
          <w:color w:val="auto"/>
          <w:highlight w:val="none"/>
          <w:lang w:val="en-US" w:eastAsia="zh-CN"/>
        </w:rPr>
        <w:t>9.20</w:t>
      </w:r>
      <w:r>
        <w:rPr>
          <w:rFonts w:hint="default"/>
          <w:color w:val="auto"/>
          <w:highlight w:val="none"/>
          <w:lang w:val="en-US" w:eastAsia="zh-CN"/>
        </w:rPr>
        <w:t>万元，主要用于2022年自治州巩固拓展脱贫攻坚成果同乡村振兴有效衔接跟踪审计授权审计项目</w:t>
      </w:r>
      <w:r>
        <w:rPr>
          <w:rFonts w:hint="eastAsia"/>
          <w:color w:val="auto"/>
          <w:highlight w:val="none"/>
          <w:lang w:val="en-US" w:eastAsia="zh-CN"/>
        </w:rPr>
        <w:t>和经济责任审计</w:t>
      </w:r>
      <w:r>
        <w:rPr>
          <w:rFonts w:hint="default"/>
          <w:color w:val="auto"/>
          <w:highlight w:val="none"/>
          <w:lang w:val="en-US" w:eastAsia="zh-CN"/>
        </w:rPr>
        <w:t>项目支出</w:t>
      </w:r>
      <w:r>
        <w:rPr>
          <w:rFonts w:hint="eastAsia"/>
          <w:color w:val="auto"/>
          <w:highlight w:val="none"/>
          <w:lang w:val="en-US" w:eastAsia="zh-CN"/>
        </w:rPr>
        <w:t>和经济责任审计项目</w:t>
      </w:r>
      <w:r>
        <w:rPr>
          <w:rFonts w:hint="default"/>
          <w:color w:val="auto"/>
          <w:highlight w:val="none"/>
          <w:lang w:val="en-US" w:eastAsia="zh-CN"/>
        </w:rPr>
        <w:t>。</w:t>
      </w:r>
    </w:p>
    <w:p w14:paraId="0F959107">
      <w:pPr>
        <w:pStyle w:val="3"/>
        <w:bidi w:val="0"/>
        <w:rPr>
          <w:rFonts w:hint="eastAsia"/>
          <w:color w:val="auto"/>
          <w:highlight w:val="none"/>
        </w:rPr>
      </w:pPr>
      <w:bookmarkStart w:id="1" w:name="_Toc32535_WPSOffice_Level1"/>
      <w:r>
        <w:rPr>
          <w:rFonts w:hint="eastAsia"/>
          <w:color w:val="auto"/>
          <w:highlight w:val="none"/>
          <w:lang w:val="en-US" w:eastAsia="zh-CN"/>
        </w:rPr>
        <w:t>二、</w:t>
      </w:r>
      <w:r>
        <w:rPr>
          <w:rFonts w:hint="eastAsia"/>
          <w:color w:val="auto"/>
          <w:highlight w:val="none"/>
        </w:rPr>
        <w:t>部门单位整体支出管理及使用情况</w:t>
      </w:r>
      <w:bookmarkEnd w:id="1"/>
    </w:p>
    <w:p w14:paraId="6F67217D">
      <w:pPr>
        <w:pStyle w:val="4"/>
        <w:bidi w:val="0"/>
        <w:rPr>
          <w:rFonts w:hint="eastAsia"/>
          <w:color w:val="auto"/>
          <w:highlight w:val="none"/>
          <w:lang w:val="en-US" w:eastAsia="zh-CN"/>
        </w:rPr>
      </w:pPr>
      <w:r>
        <w:rPr>
          <w:rFonts w:hint="eastAsia"/>
          <w:color w:val="auto"/>
          <w:highlight w:val="none"/>
          <w:lang w:val="en-US" w:eastAsia="zh-CN"/>
        </w:rPr>
        <w:t>（一）基本支出和使用情况</w:t>
      </w:r>
    </w:p>
    <w:p w14:paraId="6DCAB6B9">
      <w:pPr>
        <w:bidi w:val="0"/>
        <w:rPr>
          <w:rFonts w:hint="eastAsia"/>
          <w:color w:val="auto"/>
          <w:highlight w:val="none"/>
          <w:lang w:val="en-US" w:eastAsia="zh-CN"/>
        </w:rPr>
      </w:pPr>
      <w:r>
        <w:rPr>
          <w:rFonts w:hint="eastAsia"/>
          <w:color w:val="auto"/>
          <w:highlight w:val="none"/>
          <w:lang w:val="en-US" w:eastAsia="zh-CN"/>
        </w:rPr>
        <w:t>基本支出预算是指为保障部门正常运转、完成日常工作任务而制定的本单位人员薪酬福利支出计划和日常办公经费支出计划，可分为人员经费支出和公用经费支出。2023年我单位基本支出全年预算总额285.31万元，全年实际支出285.31万元，资金执行率100%。基本支出严格按照财务管理制度执行，其中：</w:t>
      </w:r>
    </w:p>
    <w:p w14:paraId="2B43DD76">
      <w:pPr>
        <w:bidi w:val="0"/>
        <w:rPr>
          <w:rFonts w:hint="eastAsia"/>
          <w:color w:val="auto"/>
          <w:highlight w:val="none"/>
          <w:lang w:val="en-US" w:eastAsia="zh-CN"/>
        </w:rPr>
      </w:pPr>
      <w:r>
        <w:rPr>
          <w:rFonts w:hint="eastAsia"/>
          <w:color w:val="auto"/>
          <w:highlight w:val="none"/>
          <w:lang w:val="en-US" w:eastAsia="zh-CN"/>
        </w:rPr>
        <w:t>人员经费支出275.03万元，主要包括：基本工资、津贴补贴、奖金、绩效工资、机关事业单位基本养老保险缴费、职业年金缴费、职工基本医疗保险缴费、公务员医疗补助缴费、其他社会保障缴费、住房公积金、其他工资福利支出、离休费、生活补助、医疗费补助、其他对个人和家庭的补助支出等。</w:t>
      </w:r>
    </w:p>
    <w:p w14:paraId="1092F733">
      <w:pPr>
        <w:bidi w:val="0"/>
        <w:rPr>
          <w:rFonts w:hint="eastAsia"/>
          <w:color w:val="auto"/>
          <w:highlight w:val="none"/>
          <w:lang w:val="en-US" w:eastAsia="zh-CN"/>
        </w:rPr>
      </w:pPr>
      <w:r>
        <w:rPr>
          <w:rFonts w:hint="eastAsia"/>
          <w:color w:val="auto"/>
          <w:highlight w:val="none"/>
          <w:lang w:val="en-US" w:eastAsia="zh-CN"/>
        </w:rPr>
        <w:t>公用经费支出10.28万元，主要包括：办公费、印刷费、水费、电费、邮电费、取暖费、物业管理费、差旅费、培训费、公务接待费、工会经费、福利费、公务用车运行维护费、其他交通费用、其他商品和服务支出。</w:t>
      </w:r>
    </w:p>
    <w:p w14:paraId="32660451">
      <w:pPr>
        <w:pStyle w:val="4"/>
        <w:bidi w:val="0"/>
        <w:rPr>
          <w:rFonts w:hint="eastAsia"/>
          <w:color w:val="auto"/>
          <w:highlight w:val="none"/>
          <w:lang w:val="en-US" w:eastAsia="zh-CN"/>
        </w:rPr>
      </w:pPr>
      <w:r>
        <w:rPr>
          <w:rFonts w:hint="eastAsia"/>
          <w:color w:val="auto"/>
          <w:highlight w:val="none"/>
          <w:lang w:val="en-US" w:eastAsia="zh-CN"/>
        </w:rPr>
        <w:t>（二）政策、项目支出和使用情况</w:t>
      </w:r>
    </w:p>
    <w:p w14:paraId="7A1D007F">
      <w:pPr>
        <w:pStyle w:val="5"/>
        <w:bidi w:val="0"/>
        <w:rPr>
          <w:rFonts w:hint="eastAsia"/>
          <w:color w:val="auto"/>
          <w:highlight w:val="none"/>
          <w:lang w:val="en-US" w:eastAsia="zh-CN"/>
        </w:rPr>
      </w:pPr>
      <w:r>
        <w:rPr>
          <w:rFonts w:hint="eastAsia"/>
          <w:color w:val="auto"/>
          <w:highlight w:val="none"/>
          <w:lang w:val="en-US" w:eastAsia="zh-CN"/>
        </w:rPr>
        <w:t>1.政策、项目支出的投入情况分析</w:t>
      </w:r>
    </w:p>
    <w:p w14:paraId="4E4A77B9">
      <w:pPr>
        <w:bidi w:val="0"/>
        <w:rPr>
          <w:rFonts w:hint="eastAsia"/>
          <w:color w:val="auto"/>
          <w:highlight w:val="none"/>
          <w:lang w:eastAsia="zh-CN"/>
        </w:rPr>
      </w:pPr>
      <w:r>
        <w:rPr>
          <w:rFonts w:hint="eastAsia"/>
          <w:color w:val="auto"/>
          <w:highlight w:val="none"/>
          <w:lang w:val="en-US" w:eastAsia="zh-CN"/>
        </w:rPr>
        <w:t>我单位</w:t>
      </w:r>
      <w:r>
        <w:rPr>
          <w:rFonts w:hint="eastAsia"/>
          <w:color w:val="auto"/>
          <w:highlight w:val="none"/>
          <w:lang w:eastAsia="zh-CN"/>
        </w:rPr>
        <w:t>202</w:t>
      </w:r>
      <w:r>
        <w:rPr>
          <w:rFonts w:hint="eastAsia"/>
          <w:color w:val="auto"/>
          <w:highlight w:val="none"/>
          <w:lang w:val="en-US" w:eastAsia="zh-CN"/>
        </w:rPr>
        <w:t>3</w:t>
      </w:r>
      <w:r>
        <w:rPr>
          <w:rFonts w:hint="eastAsia"/>
          <w:color w:val="auto"/>
          <w:highlight w:val="none"/>
        </w:rPr>
        <w:t>年</w:t>
      </w:r>
      <w:r>
        <w:rPr>
          <w:rFonts w:hint="eastAsia"/>
          <w:color w:val="auto"/>
          <w:highlight w:val="none"/>
          <w:lang w:val="en-US" w:eastAsia="zh-CN"/>
        </w:rPr>
        <w:t>度共</w:t>
      </w:r>
      <w:r>
        <w:rPr>
          <w:rFonts w:hint="eastAsia"/>
          <w:color w:val="auto"/>
          <w:highlight w:val="none"/>
          <w:lang w:eastAsia="zh-CN"/>
        </w:rPr>
        <w:t>安排</w:t>
      </w:r>
      <w:r>
        <w:rPr>
          <w:rFonts w:hint="eastAsia"/>
          <w:color w:val="auto"/>
          <w:highlight w:val="none"/>
          <w:lang w:val="en-US" w:eastAsia="zh-CN"/>
        </w:rPr>
        <w:t>项目支出预算</w:t>
      </w:r>
      <w:r>
        <w:rPr>
          <w:rFonts w:hint="eastAsia"/>
          <w:color w:val="auto"/>
          <w:highlight w:val="none"/>
          <w:lang w:eastAsia="zh-CN"/>
        </w:rPr>
        <w:t>9.2万元（含上年结余</w:t>
      </w:r>
      <w:r>
        <w:rPr>
          <w:rFonts w:hint="eastAsia"/>
          <w:color w:val="auto"/>
          <w:highlight w:val="none"/>
          <w:lang w:val="en-US" w:eastAsia="zh-CN"/>
        </w:rPr>
        <w:t>0</w:t>
      </w:r>
      <w:r>
        <w:rPr>
          <w:rFonts w:hint="eastAsia"/>
          <w:color w:val="auto"/>
          <w:highlight w:val="none"/>
          <w:lang w:eastAsia="zh-CN"/>
        </w:rPr>
        <w:t>万元），</w:t>
      </w:r>
      <w:r>
        <w:rPr>
          <w:rFonts w:hint="eastAsia"/>
          <w:color w:val="auto"/>
          <w:highlight w:val="none"/>
          <w:lang w:val="en-US" w:eastAsia="zh-CN"/>
        </w:rPr>
        <w:t>其中：上级专项资金4.7万元，本级财政资金4.5万元。</w:t>
      </w:r>
    </w:p>
    <w:p w14:paraId="50025146">
      <w:pPr>
        <w:pStyle w:val="5"/>
        <w:bidi w:val="0"/>
        <w:rPr>
          <w:rFonts w:hint="eastAsia"/>
          <w:color w:val="auto"/>
          <w:highlight w:val="none"/>
          <w:lang w:val="en-US" w:eastAsia="zh-CN"/>
        </w:rPr>
      </w:pPr>
      <w:r>
        <w:rPr>
          <w:rFonts w:hint="eastAsia"/>
          <w:color w:val="auto"/>
          <w:highlight w:val="none"/>
          <w:lang w:val="en-US" w:eastAsia="zh-CN"/>
        </w:rPr>
        <w:t>2.政策、项目支出管理情况</w:t>
      </w:r>
    </w:p>
    <w:p w14:paraId="161861A4">
      <w:pPr>
        <w:bidi w:val="0"/>
        <w:rPr>
          <w:rFonts w:hint="eastAsia" w:eastAsia="仿宋"/>
          <w:color w:val="auto"/>
          <w:highlight w:val="none"/>
          <w:lang w:val="en-US" w:eastAsia="zh-CN"/>
        </w:rPr>
      </w:pPr>
      <w:r>
        <w:rPr>
          <w:rFonts w:hint="eastAsia"/>
          <w:color w:val="auto"/>
          <w:highlight w:val="none"/>
          <w:lang w:val="en-US" w:eastAsia="zh-CN"/>
        </w:rPr>
        <w:t>（1）资金管理情况。我单位项目资金全部按财政国库集中支付制度要求使用和拨付，通过财政直接支付方式拨给项目实施单位。在拨付过程中严把监督审核关，建立健全内部审批制度，财务做好项目专账，严格实行专款专用，保证资金及时足额用到项目中。2023年上级财政下达我单位专项资金4.7万元，运用于2022年自治州巩固拓展脱贫攻坚成果同乡村振兴有效衔接跟踪审计授权审计项目，并通过财政直接支付方式拨给项目实施单位。本级财政资金4.5万元，运用于经济责任审计项目，通过财政直接支付方式拨给项目实施单位</w:t>
      </w:r>
      <w:r>
        <w:rPr>
          <w:rFonts w:hint="eastAsia"/>
          <w:color w:val="auto"/>
          <w:highlight w:val="none"/>
          <w:lang w:eastAsia="zh-CN"/>
        </w:rPr>
        <w:t>。</w:t>
      </w:r>
    </w:p>
    <w:p w14:paraId="23F0F336">
      <w:pPr>
        <w:bidi w:val="0"/>
        <w:rPr>
          <w:rFonts w:hint="eastAsia"/>
          <w:color w:val="auto"/>
          <w:highlight w:val="none"/>
          <w:lang w:val="en-US" w:eastAsia="zh-CN"/>
        </w:rPr>
      </w:pPr>
      <w:r>
        <w:rPr>
          <w:rFonts w:hint="eastAsia"/>
          <w:color w:val="auto"/>
          <w:highlight w:val="none"/>
          <w:lang w:val="en-US" w:eastAsia="zh-CN"/>
        </w:rPr>
        <w:t>（2）项目实施组织管理情况。我单位项目实施和资金使用分配坚持集体决策。对2022年自治州巩固拓展脱贫攻坚成果同乡村振兴有效衔接跟踪审计授权审计项目制定工作方案，明确时间节点，开展审计项目审前调查、部署工作，了解被审计单位业务情况，认真落实项目任务。工作中突出被审计单位重点工作巩固拓展脱贫攻坚成果同乡村振兴有效衔接，在规定时间内完成审计，通过财政直接支付方式拨给项目实施单位，提高审计质量。对经济责任审计项目，明确时间点和审前调查，以及审计内容，部署审计工作，认真落实审计项目任务，确保审计项目顺利结束，按时完成经济责任审计。</w:t>
      </w:r>
    </w:p>
    <w:p w14:paraId="78DC9EA6">
      <w:pPr>
        <w:pStyle w:val="5"/>
        <w:bidi w:val="0"/>
        <w:rPr>
          <w:rFonts w:hint="eastAsia"/>
          <w:color w:val="auto"/>
          <w:highlight w:val="none"/>
          <w:lang w:val="en-US" w:eastAsia="zh-CN"/>
        </w:rPr>
      </w:pPr>
      <w:r>
        <w:rPr>
          <w:rFonts w:hint="eastAsia"/>
          <w:color w:val="auto"/>
          <w:highlight w:val="none"/>
          <w:lang w:val="en-US" w:eastAsia="zh-CN"/>
        </w:rPr>
        <w:t>3.政策、项目支出总体实际使用情况</w:t>
      </w:r>
    </w:p>
    <w:p w14:paraId="29045B13">
      <w:pPr>
        <w:bidi w:val="0"/>
        <w:rPr>
          <w:rFonts w:hint="eastAsia"/>
          <w:color w:val="auto"/>
          <w:highlight w:val="none"/>
          <w:lang w:val="en-US" w:eastAsia="zh-CN"/>
        </w:rPr>
      </w:pPr>
      <w:r>
        <w:rPr>
          <w:rFonts w:hint="eastAsia"/>
          <w:color w:val="auto"/>
          <w:highlight w:val="none"/>
          <w:lang w:val="en-US" w:eastAsia="zh-CN"/>
        </w:rPr>
        <w:t>我单位</w:t>
      </w:r>
      <w:r>
        <w:rPr>
          <w:rFonts w:hint="eastAsia"/>
          <w:color w:val="auto"/>
          <w:highlight w:val="none"/>
          <w:lang w:eastAsia="zh-CN"/>
        </w:rPr>
        <w:t>202</w:t>
      </w:r>
      <w:r>
        <w:rPr>
          <w:rFonts w:hint="eastAsia"/>
          <w:color w:val="auto"/>
          <w:highlight w:val="none"/>
          <w:lang w:val="en-US" w:eastAsia="zh-CN"/>
        </w:rPr>
        <w:t>3</w:t>
      </w:r>
      <w:r>
        <w:rPr>
          <w:rFonts w:hint="eastAsia"/>
          <w:color w:val="auto"/>
          <w:highlight w:val="none"/>
          <w:lang w:eastAsia="zh-CN"/>
        </w:rPr>
        <w:t>年</w:t>
      </w:r>
      <w:r>
        <w:rPr>
          <w:rFonts w:hint="eastAsia"/>
          <w:color w:val="auto"/>
          <w:highlight w:val="none"/>
          <w:lang w:val="en-US" w:eastAsia="zh-CN"/>
        </w:rPr>
        <w:t>度安排项目支出资金9.2万元，</w:t>
      </w:r>
      <w:r>
        <w:rPr>
          <w:rFonts w:hint="eastAsia"/>
          <w:color w:val="auto"/>
          <w:highlight w:val="none"/>
          <w:lang w:eastAsia="zh-CN"/>
        </w:rPr>
        <w:t>实际</w:t>
      </w:r>
      <w:r>
        <w:rPr>
          <w:rFonts w:hint="eastAsia"/>
          <w:color w:val="auto"/>
          <w:highlight w:val="none"/>
          <w:lang w:val="en-US" w:eastAsia="zh-CN"/>
        </w:rPr>
        <w:t>支出9.2</w:t>
      </w:r>
      <w:r>
        <w:rPr>
          <w:rFonts w:hint="eastAsia"/>
          <w:color w:val="auto"/>
          <w:highlight w:val="none"/>
          <w:lang w:eastAsia="zh-CN"/>
        </w:rPr>
        <w:t>万元，</w:t>
      </w:r>
      <w:r>
        <w:rPr>
          <w:rFonts w:hint="eastAsia"/>
          <w:color w:val="auto"/>
          <w:highlight w:val="none"/>
          <w:lang w:val="en-US" w:eastAsia="zh-CN"/>
        </w:rPr>
        <w:t>其中：上级专项资金支出4.7万元，本级财政安排项目资金支出4.5万元，项目预算资金</w:t>
      </w:r>
      <w:r>
        <w:rPr>
          <w:rFonts w:hint="eastAsia"/>
          <w:color w:val="auto"/>
          <w:highlight w:val="none"/>
        </w:rPr>
        <w:t>执行率</w:t>
      </w:r>
      <w:r>
        <w:rPr>
          <w:rFonts w:hint="eastAsia"/>
          <w:color w:val="auto"/>
          <w:highlight w:val="none"/>
          <w:lang w:val="en-US" w:eastAsia="zh-CN"/>
        </w:rPr>
        <w:t>100%</w:t>
      </w:r>
      <w:r>
        <w:rPr>
          <w:rFonts w:hint="eastAsia"/>
          <w:color w:val="auto"/>
          <w:highlight w:val="none"/>
          <w:lang w:eastAsia="zh-CN"/>
        </w:rPr>
        <w:t>，结转</w:t>
      </w:r>
      <w:r>
        <w:rPr>
          <w:rFonts w:hint="eastAsia"/>
          <w:color w:val="auto"/>
          <w:highlight w:val="none"/>
          <w:lang w:val="en-US" w:eastAsia="zh-CN"/>
        </w:rPr>
        <w:t>0万元，结余0万元。</w:t>
      </w:r>
      <w:bookmarkStart w:id="2" w:name="_Toc1734_WPSOffice_Level1"/>
    </w:p>
    <w:p w14:paraId="6829C40E">
      <w:pPr>
        <w:bidi w:val="0"/>
        <w:rPr>
          <w:rFonts w:hint="default"/>
          <w:color w:val="auto"/>
          <w:highlight w:val="none"/>
          <w:lang w:val="en-US" w:eastAsia="zh-CN"/>
        </w:rPr>
      </w:pPr>
      <w:r>
        <w:rPr>
          <w:rFonts w:hint="default"/>
          <w:color w:val="auto"/>
          <w:highlight w:val="none"/>
          <w:lang w:val="en-US" w:eastAsia="zh-CN"/>
        </w:rPr>
        <w:t>我单位2023年度安排项目支出主要内容</w:t>
      </w:r>
      <w:r>
        <w:rPr>
          <w:rFonts w:hint="eastAsia"/>
          <w:color w:val="auto"/>
          <w:highlight w:val="none"/>
          <w:lang w:val="en-US" w:eastAsia="zh-CN"/>
        </w:rPr>
        <w:t>（</w:t>
      </w:r>
      <w:r>
        <w:rPr>
          <w:rFonts w:hint="default"/>
          <w:color w:val="auto"/>
          <w:highlight w:val="none"/>
          <w:lang w:val="en-US" w:eastAsia="zh-CN"/>
        </w:rPr>
        <w:t>按功能分类</w:t>
      </w:r>
      <w:r>
        <w:rPr>
          <w:rFonts w:hint="eastAsia"/>
          <w:color w:val="auto"/>
          <w:highlight w:val="none"/>
          <w:lang w:val="en-US" w:eastAsia="zh-CN"/>
        </w:rPr>
        <w:t>）：</w:t>
      </w:r>
      <w:r>
        <w:rPr>
          <w:rFonts w:hint="default"/>
          <w:color w:val="auto"/>
          <w:highlight w:val="none"/>
          <w:lang w:val="en-US" w:eastAsia="zh-CN"/>
        </w:rPr>
        <w:t>2022年自治州巩固拓展脱贫攻坚成果同乡村振兴有效衔接跟踪审计授权审计项目</w:t>
      </w:r>
      <w:r>
        <w:rPr>
          <w:rFonts w:hint="eastAsia"/>
          <w:color w:val="auto"/>
          <w:highlight w:val="none"/>
          <w:lang w:val="en-US" w:eastAsia="zh-CN"/>
        </w:rPr>
        <w:t>支出4.7万，经济责任审计项目支出4.5万。</w:t>
      </w:r>
    </w:p>
    <w:bookmarkEnd w:id="2"/>
    <w:p w14:paraId="0ABF7377">
      <w:pPr>
        <w:pStyle w:val="3"/>
        <w:numPr>
          <w:ilvl w:val="0"/>
          <w:numId w:val="1"/>
        </w:numPr>
        <w:bidi w:val="0"/>
        <w:rPr>
          <w:rFonts w:hint="eastAsia"/>
          <w:color w:val="auto"/>
          <w:highlight w:val="none"/>
          <w:lang w:val="en-US" w:eastAsia="zh-CN"/>
        </w:rPr>
      </w:pPr>
      <w:bookmarkStart w:id="3" w:name="_Toc13582_WPSOffice_Level1"/>
      <w:r>
        <w:rPr>
          <w:rFonts w:hint="eastAsia"/>
          <w:color w:val="auto"/>
          <w:highlight w:val="none"/>
        </w:rPr>
        <w:t>部门单位整体支出绩效</w:t>
      </w:r>
      <w:bookmarkEnd w:id="3"/>
      <w:r>
        <w:rPr>
          <w:rFonts w:hint="eastAsia"/>
          <w:color w:val="auto"/>
          <w:highlight w:val="none"/>
          <w:lang w:val="en-US" w:eastAsia="zh-CN"/>
        </w:rPr>
        <w:t>分析</w:t>
      </w:r>
    </w:p>
    <w:p w14:paraId="2E1CCE20">
      <w:pPr>
        <w:numPr>
          <w:ilvl w:val="0"/>
          <w:numId w:val="0"/>
        </w:numPr>
        <w:rPr>
          <w:rFonts w:hint="default"/>
          <w:color w:val="auto"/>
          <w:highlight w:val="none"/>
          <w:lang w:val="en-US" w:eastAsia="zh-CN"/>
        </w:rPr>
      </w:pPr>
      <w:r>
        <w:rPr>
          <w:rFonts w:hint="eastAsia"/>
          <w:color w:val="auto"/>
          <w:highlight w:val="none"/>
          <w:lang w:val="en-US" w:eastAsia="zh-CN"/>
        </w:rPr>
        <w:t>我单位2023年度部门整体支出绩效目标，共设置一级指标4个，二级指标7个，三级指标7个，其中已完成三级指标7个，指标完成率为100%。部门整体支出绩效情况如下：</w:t>
      </w:r>
    </w:p>
    <w:p w14:paraId="10211C67">
      <w:pPr>
        <w:pStyle w:val="4"/>
        <w:bidi w:val="0"/>
        <w:rPr>
          <w:rFonts w:hint="eastAsia" w:ascii="仿宋_GB2312" w:hAnsi="仿宋_GB2312" w:eastAsia="仿宋" w:cs="仿宋_GB2312"/>
          <w:b w:val="0"/>
          <w:color w:val="auto"/>
          <w:kern w:val="2"/>
          <w:sz w:val="28"/>
          <w:szCs w:val="24"/>
          <w:highlight w:val="none"/>
          <w:lang w:val="en-US" w:eastAsia="zh-CN" w:bidi="ar-SA"/>
        </w:rPr>
      </w:pPr>
      <w:r>
        <w:rPr>
          <w:rFonts w:hint="eastAsia"/>
          <w:color w:val="auto"/>
          <w:highlight w:val="none"/>
          <w:lang w:eastAsia="zh-CN"/>
        </w:rPr>
        <w:t>（</w:t>
      </w:r>
      <w:r>
        <w:rPr>
          <w:rFonts w:hint="eastAsia"/>
          <w:color w:val="auto"/>
          <w:highlight w:val="none"/>
          <w:lang w:val="en-US" w:eastAsia="zh-CN"/>
        </w:rPr>
        <w:t>一）“工资及公用经费保障率”</w:t>
      </w:r>
      <w:r>
        <w:rPr>
          <w:rFonts w:hint="eastAsia"/>
          <w:color w:val="auto"/>
          <w:highlight w:val="none"/>
        </w:rPr>
        <w:t>指标</w:t>
      </w:r>
      <w:r>
        <w:rPr>
          <w:rFonts w:hint="eastAsia" w:ascii="仿宋_GB2312" w:hAnsi="仿宋_GB2312" w:eastAsia="仿宋" w:cs="仿宋_GB2312"/>
          <w:b w:val="0"/>
          <w:color w:val="auto"/>
          <w:kern w:val="2"/>
          <w:sz w:val="28"/>
          <w:szCs w:val="24"/>
          <w:highlight w:val="none"/>
          <w:lang w:val="en-US" w:eastAsia="zh-CN" w:bidi="ar-SA"/>
        </w:rPr>
        <w:t>完成情况分析</w:t>
      </w:r>
    </w:p>
    <w:p w14:paraId="3690C91C">
      <w:pPr>
        <w:bidi w:val="0"/>
        <w:rPr>
          <w:rFonts w:hint="eastAsia"/>
          <w:color w:val="auto"/>
          <w:highlight w:val="none"/>
          <w:lang w:val="en-US" w:eastAsia="zh-CN"/>
        </w:rPr>
      </w:pPr>
      <w:r>
        <w:rPr>
          <w:rFonts w:hint="eastAsia" w:ascii="仿宋_GB2312" w:hAnsi="仿宋_GB2312" w:eastAsia="仿宋" w:cs="仿宋_GB2312"/>
          <w:b w:val="0"/>
          <w:color w:val="auto"/>
          <w:kern w:val="2"/>
          <w:sz w:val="28"/>
          <w:szCs w:val="24"/>
          <w:highlight w:val="none"/>
          <w:lang w:val="en-US" w:eastAsia="zh-CN" w:bidi="ar-SA"/>
        </w:rPr>
        <w:t>“工资及公用经费保障率”指标年初设定目标是=100% ，年中绩效运行监控时完成值52.64，年终指标完成率是100%，达到人员工资按时发放的预期目标，保障在职人员的权益</w:t>
      </w:r>
      <w:r>
        <w:rPr>
          <w:rFonts w:hint="eastAsia"/>
          <w:color w:val="auto"/>
          <w:highlight w:val="none"/>
          <w:lang w:val="en-US" w:eastAsia="zh-CN"/>
        </w:rPr>
        <w:t>。</w:t>
      </w:r>
    </w:p>
    <w:p w14:paraId="4E87572F">
      <w:pPr>
        <w:keepNext w:val="0"/>
        <w:keepLines w:val="0"/>
        <w:pageBreakBefore w:val="0"/>
        <w:widowControl w:val="0"/>
        <w:numPr>
          <w:ilvl w:val="0"/>
          <w:numId w:val="0"/>
        </w:numPr>
        <w:kinsoku/>
        <w:wordWrap/>
        <w:overflowPunct/>
        <w:topLinePunct w:val="0"/>
        <w:autoSpaceDE/>
        <w:autoSpaceDN/>
        <w:bidi w:val="0"/>
        <w:adjustRightInd w:val="0"/>
        <w:snapToGrid w:val="0"/>
        <w:spacing w:before="157" w:beforeLines="50"/>
        <w:ind w:firstLine="643" w:firstLineChars="200"/>
        <w:textAlignment w:val="auto"/>
        <w:outlineLvl w:val="1"/>
        <w:rPr>
          <w:rFonts w:hint="eastAsia" w:ascii="Arial" w:hAnsi="Arial" w:eastAsia="楷体_GB2312" w:cs="仿宋_GB2312"/>
          <w:b/>
          <w:color w:val="auto"/>
          <w:kern w:val="2"/>
          <w:sz w:val="32"/>
          <w:szCs w:val="24"/>
          <w:highlight w:val="none"/>
          <w:lang w:val="en-US" w:eastAsia="zh-CN" w:bidi="ar-SA"/>
        </w:rPr>
      </w:pPr>
      <w:r>
        <w:rPr>
          <w:rFonts w:hint="eastAsia" w:ascii="Arial" w:hAnsi="Arial" w:eastAsia="楷体_GB2312" w:cs="仿宋_GB2312"/>
          <w:b/>
          <w:color w:val="auto"/>
          <w:kern w:val="2"/>
          <w:sz w:val="32"/>
          <w:szCs w:val="24"/>
          <w:highlight w:val="none"/>
          <w:lang w:val="en-US" w:eastAsia="zh-CN" w:bidi="ar-SA"/>
        </w:rPr>
        <w:t>（二）“审计项目按时完成率”指标完成情况分析</w:t>
      </w:r>
    </w:p>
    <w:p w14:paraId="02DEC326">
      <w:pPr>
        <w:bidi w:val="0"/>
        <w:rPr>
          <w:rFonts w:hint="eastAsia"/>
          <w:color w:val="auto"/>
          <w:highlight w:val="none"/>
          <w:lang w:val="en-US" w:eastAsia="zh-CN"/>
        </w:rPr>
      </w:pPr>
      <w:r>
        <w:rPr>
          <w:rFonts w:hint="eastAsia"/>
          <w:color w:val="auto"/>
          <w:highlight w:val="none"/>
          <w:lang w:val="en-US" w:eastAsia="zh-CN"/>
        </w:rPr>
        <w:t>“审计项目按时完成率”指标年初设定目标是</w:t>
      </w:r>
      <w:r>
        <w:rPr>
          <w:rFonts w:hint="eastAsia"/>
          <w:color w:val="auto"/>
          <w:highlight w:val="none"/>
        </w:rPr>
        <w:t>&gt;=90%</w:t>
      </w:r>
      <w:r>
        <w:rPr>
          <w:rFonts w:hint="eastAsia"/>
          <w:color w:val="auto"/>
          <w:highlight w:val="none"/>
          <w:lang w:val="en-US" w:eastAsia="zh-CN"/>
        </w:rPr>
        <w:t>，年中绩效运行监控时完成值100，指标完成率是100%，达到审计项目按时完成预期目标，保障审计了审计质量。</w:t>
      </w:r>
    </w:p>
    <w:p w14:paraId="45A9B4AF">
      <w:pPr>
        <w:keepNext w:val="0"/>
        <w:keepLines w:val="0"/>
        <w:pageBreakBefore w:val="0"/>
        <w:widowControl w:val="0"/>
        <w:numPr>
          <w:ilvl w:val="0"/>
          <w:numId w:val="0"/>
        </w:numPr>
        <w:kinsoku/>
        <w:wordWrap/>
        <w:overflowPunct/>
        <w:topLinePunct w:val="0"/>
        <w:autoSpaceDE/>
        <w:autoSpaceDN/>
        <w:bidi w:val="0"/>
        <w:adjustRightInd w:val="0"/>
        <w:snapToGrid w:val="0"/>
        <w:spacing w:before="157" w:beforeLines="50"/>
        <w:ind w:firstLine="643" w:firstLineChars="200"/>
        <w:textAlignment w:val="auto"/>
        <w:outlineLvl w:val="1"/>
        <w:rPr>
          <w:rFonts w:hint="eastAsia" w:ascii="Arial" w:hAnsi="Arial" w:eastAsia="楷体_GB2312" w:cs="仿宋_GB2312"/>
          <w:b/>
          <w:color w:val="auto"/>
          <w:kern w:val="2"/>
          <w:sz w:val="32"/>
          <w:szCs w:val="24"/>
          <w:highlight w:val="none"/>
          <w:lang w:val="en-US" w:eastAsia="zh-CN" w:bidi="ar-SA"/>
        </w:rPr>
      </w:pPr>
      <w:r>
        <w:rPr>
          <w:rFonts w:hint="eastAsia" w:ascii="Arial" w:hAnsi="Arial" w:eastAsia="楷体_GB2312" w:cs="仿宋_GB2312"/>
          <w:b/>
          <w:color w:val="auto"/>
          <w:kern w:val="2"/>
          <w:sz w:val="32"/>
          <w:szCs w:val="24"/>
          <w:highlight w:val="none"/>
          <w:lang w:val="en-US" w:eastAsia="zh-CN" w:bidi="ar-SA"/>
        </w:rPr>
        <w:t>（三）“审计项目数量”指标完成情况分析</w:t>
      </w:r>
    </w:p>
    <w:p w14:paraId="6771EF3B">
      <w:pPr>
        <w:bidi w:val="0"/>
        <w:rPr>
          <w:rFonts w:hint="default"/>
          <w:color w:val="auto"/>
          <w:highlight w:val="none"/>
          <w:lang w:val="en-US"/>
        </w:rPr>
      </w:pPr>
      <w:r>
        <w:rPr>
          <w:rFonts w:hint="eastAsia"/>
          <w:color w:val="auto"/>
          <w:highlight w:val="none"/>
          <w:lang w:val="en-US" w:eastAsia="zh-CN"/>
        </w:rPr>
        <w:t>“审计项目数量”指标年初设定目标是</w:t>
      </w:r>
      <w:r>
        <w:rPr>
          <w:rFonts w:hint="eastAsia"/>
          <w:color w:val="auto"/>
          <w:highlight w:val="none"/>
        </w:rPr>
        <w:t>&gt;=10</w:t>
      </w:r>
      <w:r>
        <w:rPr>
          <w:rFonts w:hint="eastAsia"/>
          <w:color w:val="auto"/>
          <w:highlight w:val="none"/>
          <w:lang w:eastAsia="zh-CN"/>
        </w:rPr>
        <w:t>个</w:t>
      </w:r>
      <w:r>
        <w:rPr>
          <w:rFonts w:hint="eastAsia"/>
          <w:color w:val="auto"/>
          <w:highlight w:val="none"/>
          <w:lang w:val="en-US" w:eastAsia="zh-CN"/>
        </w:rPr>
        <w:t>，年中绩效运行监控时完成值为3个，年终实际完成值13个，指标完成率是130%，达到了审计项目数量按时完成的预期目标，保证审计数量达标。偏差原因：10个项目是年初预计的，最终确定是13个项目。下一步将根据以往实施情况准确预计审计项目数量。</w:t>
      </w:r>
    </w:p>
    <w:p w14:paraId="2DBE97FA">
      <w:pPr>
        <w:keepNext w:val="0"/>
        <w:keepLines w:val="0"/>
        <w:pageBreakBefore w:val="0"/>
        <w:widowControl w:val="0"/>
        <w:numPr>
          <w:ilvl w:val="0"/>
          <w:numId w:val="0"/>
        </w:numPr>
        <w:kinsoku/>
        <w:wordWrap/>
        <w:overflowPunct/>
        <w:topLinePunct w:val="0"/>
        <w:autoSpaceDE/>
        <w:autoSpaceDN/>
        <w:bidi w:val="0"/>
        <w:adjustRightInd w:val="0"/>
        <w:snapToGrid w:val="0"/>
        <w:spacing w:before="157" w:beforeLines="50"/>
        <w:ind w:firstLine="643" w:firstLineChars="200"/>
        <w:textAlignment w:val="auto"/>
        <w:outlineLvl w:val="1"/>
        <w:rPr>
          <w:rFonts w:hint="eastAsia"/>
          <w:color w:val="auto"/>
          <w:highlight w:val="none"/>
        </w:rPr>
      </w:pPr>
      <w:r>
        <w:rPr>
          <w:rFonts w:hint="eastAsia" w:ascii="Arial" w:hAnsi="Arial" w:eastAsia="楷体_GB2312" w:cs="仿宋_GB2312"/>
          <w:b/>
          <w:color w:val="auto"/>
          <w:kern w:val="2"/>
          <w:sz w:val="32"/>
          <w:szCs w:val="24"/>
          <w:highlight w:val="none"/>
          <w:lang w:val="en-US" w:eastAsia="zh-CN" w:bidi="ar-SA"/>
        </w:rPr>
        <w:t>（四）“被审计单位对审计意见采纳比例”指标完成情况分析</w:t>
      </w:r>
    </w:p>
    <w:p w14:paraId="202F9B32">
      <w:pPr>
        <w:bidi w:val="0"/>
        <w:rPr>
          <w:rFonts w:hint="eastAsia"/>
          <w:color w:val="auto"/>
          <w:highlight w:val="none"/>
          <w:lang w:val="en-US" w:eastAsia="zh-CN"/>
        </w:rPr>
      </w:pPr>
      <w:r>
        <w:rPr>
          <w:rFonts w:hint="eastAsia"/>
          <w:color w:val="auto"/>
          <w:highlight w:val="none"/>
          <w:lang w:val="en-US" w:eastAsia="zh-CN"/>
        </w:rPr>
        <w:t>“被审计单位对审计意见采纳比例”指标年初设定目标是</w:t>
      </w:r>
      <w:r>
        <w:rPr>
          <w:rFonts w:hint="eastAsia"/>
          <w:color w:val="auto"/>
          <w:highlight w:val="none"/>
        </w:rPr>
        <w:t>&gt;=95%</w:t>
      </w:r>
      <w:r>
        <w:rPr>
          <w:rFonts w:hint="eastAsia"/>
          <w:color w:val="auto"/>
          <w:highlight w:val="none"/>
          <w:lang w:val="en-US" w:eastAsia="zh-CN"/>
        </w:rPr>
        <w:t>，年中绩效运行监控时完成值100%，年终实际完成值100%，指标完成率是100%，达到指标被审计单位对审计单位意见采纳比例全覆盖的预期目标。</w:t>
      </w:r>
    </w:p>
    <w:p w14:paraId="7CED4314">
      <w:pPr>
        <w:keepNext w:val="0"/>
        <w:keepLines w:val="0"/>
        <w:pageBreakBefore w:val="0"/>
        <w:widowControl w:val="0"/>
        <w:numPr>
          <w:ilvl w:val="0"/>
          <w:numId w:val="0"/>
        </w:numPr>
        <w:kinsoku/>
        <w:wordWrap/>
        <w:overflowPunct/>
        <w:topLinePunct w:val="0"/>
        <w:autoSpaceDE/>
        <w:autoSpaceDN/>
        <w:bidi w:val="0"/>
        <w:adjustRightInd w:val="0"/>
        <w:snapToGrid w:val="0"/>
        <w:spacing w:before="157" w:beforeLines="50"/>
        <w:ind w:firstLine="643" w:firstLineChars="200"/>
        <w:textAlignment w:val="auto"/>
        <w:outlineLvl w:val="1"/>
        <w:rPr>
          <w:rFonts w:hint="eastAsia" w:ascii="仿宋_GB2312" w:hAnsi="仿宋_GB2312" w:eastAsia="仿宋" w:cs="仿宋_GB2312"/>
          <w:color w:val="auto"/>
          <w:kern w:val="2"/>
          <w:sz w:val="28"/>
          <w:szCs w:val="24"/>
          <w:highlight w:val="none"/>
          <w:lang w:val="en-US" w:eastAsia="zh-CN" w:bidi="ar-SA"/>
        </w:rPr>
      </w:pPr>
      <w:r>
        <w:rPr>
          <w:rFonts w:hint="eastAsia" w:ascii="Arial" w:hAnsi="Arial" w:eastAsia="楷体_GB2312" w:cs="仿宋_GB2312"/>
          <w:b/>
          <w:color w:val="auto"/>
          <w:kern w:val="2"/>
          <w:sz w:val="32"/>
          <w:szCs w:val="24"/>
          <w:highlight w:val="none"/>
          <w:lang w:val="en-US" w:eastAsia="zh-CN" w:bidi="ar-SA"/>
        </w:rPr>
        <w:t>（五）“审计抽检覆盖率”指标完成情况分析</w:t>
      </w:r>
    </w:p>
    <w:p w14:paraId="4633E2AA">
      <w:pPr>
        <w:bidi w:val="0"/>
        <w:rPr>
          <w:rFonts w:hint="eastAsia"/>
          <w:color w:val="auto"/>
          <w:highlight w:val="none"/>
          <w:lang w:val="en-US" w:eastAsia="zh-CN"/>
        </w:rPr>
      </w:pPr>
      <w:r>
        <w:rPr>
          <w:rFonts w:hint="eastAsia"/>
          <w:color w:val="auto"/>
          <w:highlight w:val="none"/>
          <w:lang w:val="en-US" w:eastAsia="zh-CN"/>
        </w:rPr>
        <w:t>“审计抽检覆盖率”指标年初设定目标是</w:t>
      </w:r>
      <w:r>
        <w:rPr>
          <w:rFonts w:hint="eastAsia" w:cs="仿宋_GB2312"/>
          <w:color w:val="auto"/>
          <w:kern w:val="2"/>
          <w:sz w:val="28"/>
          <w:szCs w:val="24"/>
          <w:highlight w:val="none"/>
          <w:lang w:val="en-US" w:eastAsia="zh-CN" w:bidi="ar-SA"/>
        </w:rPr>
        <w:t>＞=90%</w:t>
      </w:r>
      <w:r>
        <w:rPr>
          <w:rFonts w:hint="eastAsia"/>
          <w:color w:val="auto"/>
          <w:highlight w:val="none"/>
          <w:lang w:val="en-US" w:eastAsia="zh-CN"/>
        </w:rPr>
        <w:t>，年中绩效运行监控时完成值100%，年终实际完成值100%，指标完成率是100%，达到审计抽检全覆盖的预期目标，保障了审计的独立性。</w:t>
      </w:r>
    </w:p>
    <w:p w14:paraId="05AFF4C6">
      <w:pPr>
        <w:keepNext w:val="0"/>
        <w:keepLines w:val="0"/>
        <w:pageBreakBefore w:val="0"/>
        <w:widowControl w:val="0"/>
        <w:numPr>
          <w:ilvl w:val="0"/>
          <w:numId w:val="0"/>
        </w:numPr>
        <w:kinsoku/>
        <w:wordWrap/>
        <w:overflowPunct/>
        <w:topLinePunct w:val="0"/>
        <w:autoSpaceDE/>
        <w:autoSpaceDN/>
        <w:bidi w:val="0"/>
        <w:adjustRightInd w:val="0"/>
        <w:snapToGrid w:val="0"/>
        <w:spacing w:before="157" w:beforeLines="50"/>
        <w:ind w:firstLine="643" w:firstLineChars="200"/>
        <w:textAlignment w:val="auto"/>
        <w:outlineLvl w:val="1"/>
        <w:rPr>
          <w:rFonts w:hint="eastAsia" w:ascii="Arial" w:hAnsi="Arial" w:eastAsia="楷体_GB2312" w:cs="仿宋_GB2312"/>
          <w:b/>
          <w:color w:val="auto"/>
          <w:kern w:val="2"/>
          <w:sz w:val="32"/>
          <w:szCs w:val="24"/>
          <w:highlight w:val="none"/>
          <w:lang w:val="en-US" w:eastAsia="zh-CN" w:bidi="ar-SA"/>
        </w:rPr>
      </w:pPr>
      <w:r>
        <w:rPr>
          <w:rFonts w:hint="eastAsia" w:ascii="Arial" w:hAnsi="Arial" w:eastAsia="楷体_GB2312" w:cs="仿宋_GB2312"/>
          <w:b/>
          <w:color w:val="auto"/>
          <w:kern w:val="2"/>
          <w:sz w:val="32"/>
          <w:szCs w:val="24"/>
          <w:highlight w:val="none"/>
          <w:lang w:val="en-US" w:eastAsia="zh-CN" w:bidi="ar-SA"/>
        </w:rPr>
        <w:t>（六）“政策知晓率”指标完成情况分析</w:t>
      </w:r>
    </w:p>
    <w:p w14:paraId="6A6E16E5">
      <w:pPr>
        <w:bidi w:val="0"/>
        <w:rPr>
          <w:rFonts w:hint="eastAsia" w:ascii="仿宋_GB2312" w:hAnsi="仿宋_GB2312" w:eastAsia="仿宋" w:cs="仿宋_GB2312"/>
          <w:color w:val="auto"/>
          <w:kern w:val="2"/>
          <w:sz w:val="28"/>
          <w:szCs w:val="24"/>
          <w:highlight w:val="none"/>
          <w:lang w:val="en-US" w:eastAsia="zh-CN" w:bidi="ar-SA"/>
        </w:rPr>
      </w:pPr>
      <w:r>
        <w:rPr>
          <w:rFonts w:hint="eastAsia"/>
          <w:color w:val="auto"/>
          <w:highlight w:val="none"/>
          <w:lang w:val="en-US" w:eastAsia="zh-CN"/>
        </w:rPr>
        <w:t>“政策知晓率”指标年初设定目标是</w:t>
      </w:r>
      <w:r>
        <w:rPr>
          <w:rFonts w:hint="eastAsia" w:cs="仿宋_GB2312"/>
          <w:color w:val="auto"/>
          <w:kern w:val="2"/>
          <w:sz w:val="28"/>
          <w:szCs w:val="24"/>
          <w:highlight w:val="none"/>
          <w:lang w:val="en-US" w:eastAsia="zh-CN" w:bidi="ar-SA"/>
        </w:rPr>
        <w:t>＞=90%</w:t>
      </w:r>
      <w:r>
        <w:rPr>
          <w:rFonts w:hint="eastAsia"/>
          <w:color w:val="auto"/>
          <w:highlight w:val="none"/>
          <w:lang w:val="en-US" w:eastAsia="zh-CN"/>
        </w:rPr>
        <w:t>，年中绩效运行监控时完成值100%，年终实际完成值100%，指标完成率是100%，达到政策知晓全覆盖的预期目标，确保了审计在推进法治、促进廉政等方面发挥的重要作用。</w:t>
      </w:r>
    </w:p>
    <w:p w14:paraId="65DF33B0">
      <w:pPr>
        <w:keepNext w:val="0"/>
        <w:keepLines w:val="0"/>
        <w:pageBreakBefore w:val="0"/>
        <w:widowControl w:val="0"/>
        <w:numPr>
          <w:ilvl w:val="0"/>
          <w:numId w:val="0"/>
        </w:numPr>
        <w:kinsoku/>
        <w:wordWrap/>
        <w:overflowPunct/>
        <w:topLinePunct w:val="0"/>
        <w:autoSpaceDE/>
        <w:autoSpaceDN/>
        <w:bidi w:val="0"/>
        <w:adjustRightInd w:val="0"/>
        <w:snapToGrid w:val="0"/>
        <w:spacing w:before="157" w:beforeLines="50"/>
        <w:ind w:firstLine="643" w:firstLineChars="200"/>
        <w:textAlignment w:val="auto"/>
        <w:outlineLvl w:val="1"/>
        <w:rPr>
          <w:rFonts w:hint="eastAsia" w:ascii="Arial" w:hAnsi="Arial" w:eastAsia="楷体_GB2312" w:cs="仿宋_GB2312"/>
          <w:b/>
          <w:color w:val="auto"/>
          <w:kern w:val="2"/>
          <w:sz w:val="32"/>
          <w:szCs w:val="24"/>
          <w:highlight w:val="none"/>
          <w:lang w:val="en-US" w:eastAsia="zh-CN" w:bidi="ar-SA"/>
        </w:rPr>
      </w:pPr>
      <w:r>
        <w:rPr>
          <w:rFonts w:hint="eastAsia" w:ascii="Arial" w:hAnsi="Arial" w:eastAsia="楷体_GB2312" w:cs="仿宋_GB2312"/>
          <w:b/>
          <w:color w:val="auto"/>
          <w:kern w:val="2"/>
          <w:sz w:val="32"/>
          <w:szCs w:val="24"/>
          <w:highlight w:val="none"/>
          <w:lang w:val="en-US" w:eastAsia="zh-CN" w:bidi="ar-SA"/>
        </w:rPr>
        <w:t>（七）“被审计单位满意度”指标情况分析</w:t>
      </w:r>
    </w:p>
    <w:p w14:paraId="42D0BDBD">
      <w:pPr>
        <w:bidi w:val="0"/>
        <w:rPr>
          <w:rFonts w:hint="eastAsia"/>
          <w:color w:val="auto"/>
          <w:highlight w:val="none"/>
          <w:lang w:val="en-US" w:eastAsia="zh-CN"/>
        </w:rPr>
      </w:pPr>
      <w:r>
        <w:rPr>
          <w:rFonts w:hint="eastAsia"/>
          <w:color w:val="auto"/>
          <w:highlight w:val="none"/>
          <w:lang w:val="en-US" w:eastAsia="zh-CN"/>
        </w:rPr>
        <w:t>“被审计单位满意度”指标年初设定目标是</w:t>
      </w:r>
      <w:r>
        <w:rPr>
          <w:rFonts w:hint="eastAsia"/>
          <w:color w:val="auto"/>
          <w:highlight w:val="none"/>
        </w:rPr>
        <w:t>&gt;=9</w:t>
      </w:r>
      <w:r>
        <w:rPr>
          <w:rFonts w:hint="eastAsia"/>
          <w:color w:val="auto"/>
          <w:highlight w:val="none"/>
          <w:lang w:val="en-US" w:eastAsia="zh-CN"/>
        </w:rPr>
        <w:t>5</w:t>
      </w:r>
      <w:r>
        <w:rPr>
          <w:rFonts w:hint="eastAsia"/>
          <w:color w:val="auto"/>
          <w:highlight w:val="none"/>
        </w:rPr>
        <w:t>%</w:t>
      </w:r>
      <w:r>
        <w:rPr>
          <w:rFonts w:hint="eastAsia"/>
          <w:color w:val="auto"/>
          <w:highlight w:val="none"/>
          <w:lang w:val="en-US" w:eastAsia="zh-CN"/>
        </w:rPr>
        <w:t>，年中绩效运行监控时未达监控节点，年终实际完成值100%，指标完成率是100%，达到使被审计满意度100%的预期目标，提高了审计效率。</w:t>
      </w:r>
    </w:p>
    <w:p w14:paraId="373F4BB6">
      <w:pPr>
        <w:pStyle w:val="3"/>
        <w:numPr>
          <w:ilvl w:val="0"/>
          <w:numId w:val="0"/>
        </w:numPr>
        <w:bidi w:val="0"/>
        <w:ind w:leftChars="200"/>
        <w:rPr>
          <w:rFonts w:hint="default"/>
          <w:color w:val="auto"/>
          <w:highlight w:val="none"/>
          <w:lang w:val="en-US"/>
        </w:rPr>
      </w:pPr>
      <w:r>
        <w:rPr>
          <w:rFonts w:hint="eastAsia"/>
          <w:color w:val="auto"/>
          <w:highlight w:val="none"/>
          <w:lang w:val="en-US" w:eastAsia="zh-CN"/>
        </w:rPr>
        <w:t>四、评价结论</w:t>
      </w:r>
    </w:p>
    <w:p w14:paraId="3536ABC8">
      <w:pPr>
        <w:bidi w:val="0"/>
        <w:rPr>
          <w:rFonts w:hint="eastAsia" w:ascii="Times New Roman" w:hAnsi="Times New Roman" w:cs="Times New Roman"/>
          <w:color w:val="auto"/>
          <w:highlight w:val="none"/>
          <w:lang w:val="en-US" w:eastAsia="zh-CN"/>
        </w:rPr>
      </w:pPr>
      <w:r>
        <w:rPr>
          <w:rFonts w:hint="eastAsia"/>
          <w:color w:val="auto"/>
          <w:highlight w:val="none"/>
          <w:lang w:val="en-US" w:eastAsia="zh-CN"/>
        </w:rPr>
        <w:t>我单位</w:t>
      </w:r>
      <w:r>
        <w:rPr>
          <w:rFonts w:hint="eastAsia"/>
          <w:color w:val="auto"/>
          <w:highlight w:val="none"/>
          <w:lang w:eastAsia="zh-CN"/>
        </w:rPr>
        <w:t>20</w:t>
      </w:r>
      <w:r>
        <w:rPr>
          <w:rFonts w:hint="eastAsia"/>
          <w:color w:val="auto"/>
          <w:highlight w:val="none"/>
          <w:lang w:val="en-US" w:eastAsia="zh-CN"/>
        </w:rPr>
        <w:t>23</w:t>
      </w:r>
      <w:r>
        <w:rPr>
          <w:rFonts w:hint="eastAsia"/>
          <w:color w:val="auto"/>
          <w:highlight w:val="none"/>
          <w:lang w:eastAsia="zh-CN"/>
        </w:rPr>
        <w:t>年度部门整体支出绩效自评综合得分</w:t>
      </w:r>
      <w:r>
        <w:rPr>
          <w:rFonts w:hint="eastAsia"/>
          <w:color w:val="auto"/>
          <w:highlight w:val="none"/>
          <w:lang w:val="en-US" w:eastAsia="zh-CN"/>
        </w:rPr>
        <w:t>115</w:t>
      </w:r>
      <w:r>
        <w:rPr>
          <w:rFonts w:hint="eastAsia"/>
          <w:color w:val="auto"/>
          <w:highlight w:val="none"/>
          <w:lang w:eastAsia="zh-CN"/>
        </w:rPr>
        <w:t>分，评价结果为“优”。</w:t>
      </w:r>
      <w:r>
        <w:rPr>
          <w:rFonts w:hint="eastAsia" w:ascii="Times New Roman" w:hAnsi="Times New Roman" w:cs="Times New Roman"/>
          <w:color w:val="auto"/>
          <w:highlight w:val="none"/>
          <w:lang w:eastAsia="zh-CN"/>
        </w:rPr>
        <w:t>我</w:t>
      </w:r>
      <w:r>
        <w:rPr>
          <w:rFonts w:hint="default" w:ascii="Times New Roman" w:hAnsi="Times New Roman" w:cs="Times New Roman"/>
          <w:color w:val="auto"/>
          <w:highlight w:val="none"/>
          <w:lang w:eastAsia="zh-CN"/>
        </w:rPr>
        <w:t>单位</w:t>
      </w:r>
      <w:r>
        <w:rPr>
          <w:rFonts w:hint="default" w:ascii="Times New Roman" w:hAnsi="Times New Roman" w:cs="Times New Roman"/>
          <w:color w:val="auto"/>
          <w:highlight w:val="none"/>
        </w:rPr>
        <w:t>202</w:t>
      </w:r>
      <w:r>
        <w:rPr>
          <w:rFonts w:hint="eastAsia" w:ascii="Times New Roman" w:hAnsi="Times New Roman" w:cs="Times New Roman"/>
          <w:color w:val="auto"/>
          <w:highlight w:val="none"/>
          <w:lang w:val="en-US" w:eastAsia="zh-CN"/>
        </w:rPr>
        <w:t>3</w:t>
      </w:r>
      <w:r>
        <w:rPr>
          <w:rFonts w:hint="default" w:ascii="Times New Roman" w:hAnsi="Times New Roman" w:cs="Times New Roman"/>
          <w:color w:val="auto"/>
          <w:highlight w:val="none"/>
        </w:rPr>
        <w:t>年部门履职效果良好，</w:t>
      </w:r>
      <w:r>
        <w:rPr>
          <w:rFonts w:hint="eastAsia" w:ascii="Times New Roman" w:hAnsi="Times New Roman" w:cs="Times New Roman"/>
          <w:color w:val="auto"/>
          <w:highlight w:val="none"/>
          <w:lang w:val="en-US" w:eastAsia="zh-CN"/>
        </w:rPr>
        <w:t>主要体现在：</w:t>
      </w:r>
    </w:p>
    <w:p w14:paraId="2C58AC89">
      <w:pPr>
        <w:numPr>
          <w:ilvl w:val="0"/>
          <w:numId w:val="2"/>
        </w:numPr>
        <w:bidi w:val="0"/>
        <w:rPr>
          <w:rFonts w:hint="eastAsia" w:ascii="Times New Roman" w:hAnsi="Times New Roman" w:cs="Times New Roman"/>
          <w:color w:val="auto"/>
          <w:highlight w:val="none"/>
          <w:lang w:val="en-US" w:eastAsia="zh-CN"/>
        </w:rPr>
      </w:pPr>
      <w:r>
        <w:rPr>
          <w:rFonts w:hint="eastAsia" w:ascii="Times New Roman" w:hAnsi="Times New Roman" w:cs="Times New Roman"/>
          <w:color w:val="auto"/>
          <w:highlight w:val="none"/>
          <w:lang w:val="en-US" w:eastAsia="zh-CN"/>
        </w:rPr>
        <w:t>全面落实513工作法。积极响应州审计局项目安排、工作部署，按时安质提交审计结果，按规定请示报告重大事项，主动做好审计局日常事务，发挥审计作用。分期分批组织干部职工参加知识培训，提高业务水平和操作能力。</w:t>
      </w:r>
    </w:p>
    <w:p w14:paraId="6A6A2CB4">
      <w:pPr>
        <w:pStyle w:val="2"/>
        <w:numPr>
          <w:ilvl w:val="0"/>
          <w:numId w:val="2"/>
        </w:numPr>
        <w:rPr>
          <w:rFonts w:hint="default"/>
          <w:color w:val="auto"/>
          <w:highlight w:val="none"/>
          <w:lang w:val="en-US" w:eastAsia="zh-CN"/>
        </w:rPr>
      </w:pPr>
      <w:r>
        <w:rPr>
          <w:rFonts w:hint="eastAsia"/>
          <w:color w:val="auto"/>
          <w:highlight w:val="none"/>
          <w:lang w:val="en-US" w:eastAsia="zh-CN"/>
        </w:rPr>
        <w:t>严格质量过程管理。一是领导带头抓质量。局党组始终把质量责任放在首要位置，带头执行质量管理的各项制度和标准。二是实施过程严管理。建立健全审计质量控制制度抓住方案制定、问题核查、审计报告和问题整改等关键环节。三是定责定性依法规。在判断和处理问题时，始终坚持独立、客观、公正，不掺杂个人主观意愿，不受被审计单位的意见所影响。</w:t>
      </w:r>
    </w:p>
    <w:p w14:paraId="662F7FE3">
      <w:pPr>
        <w:pStyle w:val="3"/>
        <w:bidi w:val="0"/>
        <w:rPr>
          <w:rFonts w:hint="default" w:eastAsia="黑体"/>
          <w:color w:val="auto"/>
          <w:highlight w:val="none"/>
          <w:lang w:val="en-US" w:eastAsia="zh-CN"/>
        </w:rPr>
      </w:pPr>
      <w:bookmarkStart w:id="4" w:name="_Toc22800_WPSOffice_Level1"/>
      <w:r>
        <w:rPr>
          <w:rFonts w:hint="eastAsia"/>
          <w:color w:val="auto"/>
          <w:highlight w:val="none"/>
          <w:lang w:val="en-US" w:eastAsia="zh-CN"/>
        </w:rPr>
        <w:t>五、</w:t>
      </w:r>
      <w:r>
        <w:rPr>
          <w:rFonts w:hint="eastAsia"/>
          <w:color w:val="auto"/>
          <w:highlight w:val="none"/>
        </w:rPr>
        <w:t>存在的主要问题</w:t>
      </w:r>
      <w:bookmarkEnd w:id="4"/>
      <w:r>
        <w:rPr>
          <w:rFonts w:hint="eastAsia"/>
          <w:color w:val="auto"/>
          <w:highlight w:val="none"/>
          <w:lang w:val="en-US" w:eastAsia="zh-CN"/>
        </w:rPr>
        <w:t>及原因分析</w:t>
      </w:r>
    </w:p>
    <w:p w14:paraId="76D42DD8">
      <w:pPr>
        <w:pageBreakBefore w:val="0"/>
        <w:widowControl w:val="0"/>
        <w:numPr>
          <w:ilvl w:val="0"/>
          <w:numId w:val="0"/>
        </w:numPr>
        <w:kinsoku/>
        <w:wordWrap/>
        <w:overflowPunct/>
        <w:topLinePunct w:val="0"/>
        <w:autoSpaceDE/>
        <w:autoSpaceDN/>
        <w:bidi w:val="0"/>
        <w:adjustRightInd/>
        <w:snapToGrid/>
        <w:spacing w:line="480" w:lineRule="atLeast"/>
        <w:ind w:firstLine="560" w:firstLineChars="200"/>
        <w:textAlignment w:val="auto"/>
        <w:rPr>
          <w:rFonts w:hint="eastAsia" w:ascii="仿宋_GB2312" w:hAnsi="仿宋_GB2312" w:cs="仿宋_GB2312"/>
          <w:color w:val="auto"/>
          <w:sz w:val="28"/>
          <w:szCs w:val="28"/>
          <w:highlight w:val="none"/>
          <w:lang w:val="en-US" w:eastAsia="zh-CN"/>
        </w:rPr>
      </w:pPr>
      <w:r>
        <w:rPr>
          <w:rFonts w:hint="eastAsia" w:cs="仿宋_GB2312"/>
          <w:color w:val="auto"/>
          <w:sz w:val="28"/>
          <w:szCs w:val="28"/>
          <w:highlight w:val="none"/>
          <w:lang w:val="en-US" w:eastAsia="zh-CN"/>
        </w:rPr>
        <w:t>（</w:t>
      </w:r>
      <w:r>
        <w:rPr>
          <w:rFonts w:hint="eastAsia" w:ascii="仿宋_GB2312" w:hAnsi="仿宋_GB2312" w:cs="仿宋_GB2312"/>
          <w:color w:val="auto"/>
          <w:sz w:val="28"/>
          <w:szCs w:val="28"/>
          <w:highlight w:val="none"/>
          <w:lang w:val="en-US" w:eastAsia="zh-CN"/>
        </w:rPr>
        <w:t>一</w:t>
      </w:r>
      <w:r>
        <w:rPr>
          <w:rFonts w:hint="eastAsia" w:cs="仿宋_GB2312"/>
          <w:color w:val="auto"/>
          <w:sz w:val="28"/>
          <w:szCs w:val="28"/>
          <w:highlight w:val="none"/>
          <w:lang w:val="en-US" w:eastAsia="zh-CN"/>
        </w:rPr>
        <w:t>）</w:t>
      </w:r>
      <w:r>
        <w:rPr>
          <w:rFonts w:hint="eastAsia" w:ascii="仿宋_GB2312" w:hAnsi="仿宋_GB2312" w:cs="仿宋_GB2312"/>
          <w:color w:val="auto"/>
          <w:sz w:val="28"/>
          <w:szCs w:val="28"/>
          <w:highlight w:val="none"/>
          <w:lang w:val="en-US" w:eastAsia="zh-CN"/>
        </w:rPr>
        <w:t>预算执行存在偏差</w:t>
      </w:r>
    </w:p>
    <w:p w14:paraId="5C330202">
      <w:pPr>
        <w:pageBreakBefore w:val="0"/>
        <w:widowControl w:val="0"/>
        <w:numPr>
          <w:ilvl w:val="0"/>
          <w:numId w:val="0"/>
        </w:numPr>
        <w:kinsoku/>
        <w:wordWrap/>
        <w:overflowPunct/>
        <w:topLinePunct w:val="0"/>
        <w:autoSpaceDE/>
        <w:autoSpaceDN/>
        <w:bidi w:val="0"/>
        <w:adjustRightInd/>
        <w:snapToGrid/>
        <w:spacing w:line="480" w:lineRule="atLeast"/>
        <w:ind w:firstLine="560" w:firstLineChars="200"/>
        <w:textAlignment w:val="auto"/>
        <w:rPr>
          <w:rFonts w:hint="eastAsia" w:ascii="仿宋_GB2312" w:hAnsi="仿宋_GB2312" w:cs="仿宋_GB2312"/>
          <w:color w:val="auto"/>
          <w:sz w:val="28"/>
          <w:szCs w:val="28"/>
          <w:highlight w:val="none"/>
          <w:lang w:val="en-US" w:eastAsia="zh-CN"/>
        </w:rPr>
      </w:pPr>
      <w:r>
        <w:rPr>
          <w:rFonts w:hint="eastAsia" w:ascii="仿宋_GB2312" w:hAnsi="仿宋_GB2312" w:cs="仿宋_GB2312"/>
          <w:color w:val="auto"/>
          <w:sz w:val="28"/>
          <w:szCs w:val="28"/>
          <w:highlight w:val="none"/>
          <w:lang w:val="en-US" w:eastAsia="zh-CN"/>
        </w:rPr>
        <w:t>由于个别项目指标到第四季度下达，在预算执行中造成个别预算子项调剂现象；对个别项目资金使用方面预算不够细致，出现实际支出数超出了预算申报数的情况，导致调剂频繁，缺乏预算编制的科学性。</w:t>
      </w:r>
    </w:p>
    <w:p w14:paraId="73CED7FB">
      <w:pPr>
        <w:pageBreakBefore w:val="0"/>
        <w:widowControl w:val="0"/>
        <w:numPr>
          <w:ilvl w:val="0"/>
          <w:numId w:val="3"/>
        </w:numPr>
        <w:kinsoku/>
        <w:wordWrap/>
        <w:overflowPunct/>
        <w:topLinePunct w:val="0"/>
        <w:autoSpaceDE/>
        <w:autoSpaceDN/>
        <w:bidi w:val="0"/>
        <w:adjustRightInd/>
        <w:snapToGrid/>
        <w:spacing w:line="480" w:lineRule="atLeast"/>
        <w:ind w:firstLine="560" w:firstLineChars="200"/>
        <w:textAlignment w:val="auto"/>
        <w:rPr>
          <w:rFonts w:hint="eastAsia" w:ascii="仿宋_GB2312" w:hAnsi="仿宋_GB2312" w:cs="仿宋_GB2312"/>
          <w:color w:val="auto"/>
          <w:sz w:val="28"/>
          <w:szCs w:val="28"/>
          <w:highlight w:val="none"/>
          <w:lang w:val="en-US" w:eastAsia="zh-CN"/>
        </w:rPr>
      </w:pPr>
      <w:r>
        <w:rPr>
          <w:rFonts w:hint="eastAsia" w:ascii="仿宋_GB2312" w:hAnsi="仿宋_GB2312" w:cs="仿宋_GB2312"/>
          <w:color w:val="auto"/>
          <w:sz w:val="28"/>
          <w:szCs w:val="28"/>
          <w:highlight w:val="none"/>
          <w:lang w:val="en-US" w:eastAsia="zh-CN"/>
        </w:rPr>
        <w:t>预算绩效管理水平仍有欠缺</w:t>
      </w:r>
    </w:p>
    <w:p w14:paraId="2C900553">
      <w:pPr>
        <w:pageBreakBefore w:val="0"/>
        <w:widowControl w:val="0"/>
        <w:numPr>
          <w:ilvl w:val="0"/>
          <w:numId w:val="0"/>
        </w:numPr>
        <w:kinsoku/>
        <w:wordWrap/>
        <w:overflowPunct/>
        <w:topLinePunct w:val="0"/>
        <w:autoSpaceDE/>
        <w:autoSpaceDN/>
        <w:bidi w:val="0"/>
        <w:adjustRightInd/>
        <w:snapToGrid/>
        <w:spacing w:line="480" w:lineRule="atLeast"/>
        <w:ind w:firstLine="560" w:firstLineChars="200"/>
        <w:textAlignment w:val="auto"/>
        <w:rPr>
          <w:rFonts w:hint="eastAsia" w:ascii="仿宋_GB2312" w:hAnsi="仿宋_GB2312" w:cs="仿宋_GB2312"/>
          <w:color w:val="auto"/>
          <w:sz w:val="28"/>
          <w:szCs w:val="28"/>
          <w:highlight w:val="none"/>
          <w:lang w:val="en-US" w:eastAsia="zh-CN"/>
        </w:rPr>
      </w:pPr>
      <w:r>
        <w:rPr>
          <w:rFonts w:hint="eastAsia" w:ascii="仿宋_GB2312" w:hAnsi="仿宋_GB2312" w:cs="仿宋_GB2312"/>
          <w:color w:val="auto"/>
          <w:sz w:val="28"/>
          <w:szCs w:val="28"/>
          <w:highlight w:val="none"/>
          <w:lang w:val="en-US" w:eastAsia="zh-CN"/>
        </w:rPr>
        <w:t>在202</w:t>
      </w:r>
      <w:r>
        <w:rPr>
          <w:rFonts w:hint="eastAsia" w:cs="仿宋_GB2312"/>
          <w:color w:val="auto"/>
          <w:sz w:val="28"/>
          <w:szCs w:val="28"/>
          <w:highlight w:val="none"/>
          <w:lang w:val="en-US" w:eastAsia="zh-CN"/>
        </w:rPr>
        <w:t>3</w:t>
      </w:r>
      <w:r>
        <w:rPr>
          <w:rFonts w:hint="eastAsia" w:ascii="仿宋_GB2312" w:hAnsi="仿宋_GB2312" w:cs="仿宋_GB2312"/>
          <w:color w:val="auto"/>
          <w:sz w:val="28"/>
          <w:szCs w:val="28"/>
          <w:highlight w:val="none"/>
          <w:lang w:val="en-US" w:eastAsia="zh-CN"/>
        </w:rPr>
        <w:t>年预算绩效管理工作中，存在“重投入轻管理、重支出轻绩效”的情况，对全面实施预算绩效管理的要求认识还不到位，项目申报、实施等环节与预算绩效管理各个环节联系不够紧密；同时预算绩效管理也是一项新工作，面对专业人手不足、绩效管理水平欠缺的情况下，坚持“滚石上山”，提升的空间还是很大。</w:t>
      </w:r>
    </w:p>
    <w:p w14:paraId="1C1D61A5">
      <w:pPr>
        <w:pageBreakBefore w:val="0"/>
        <w:widowControl w:val="0"/>
        <w:numPr>
          <w:ilvl w:val="0"/>
          <w:numId w:val="0"/>
        </w:numPr>
        <w:kinsoku/>
        <w:wordWrap/>
        <w:overflowPunct/>
        <w:topLinePunct w:val="0"/>
        <w:autoSpaceDE/>
        <w:autoSpaceDN/>
        <w:bidi w:val="0"/>
        <w:adjustRightInd/>
        <w:snapToGrid/>
        <w:spacing w:line="480" w:lineRule="atLeast"/>
        <w:ind w:firstLine="560" w:firstLineChars="200"/>
        <w:textAlignment w:val="auto"/>
        <w:rPr>
          <w:rFonts w:hint="eastAsia" w:ascii="仿宋_GB2312" w:hAnsi="仿宋_GB2312" w:cs="仿宋_GB2312"/>
          <w:color w:val="auto"/>
          <w:sz w:val="28"/>
          <w:szCs w:val="28"/>
          <w:highlight w:val="none"/>
          <w:lang w:val="en-US" w:eastAsia="zh-CN"/>
        </w:rPr>
      </w:pPr>
      <w:r>
        <w:rPr>
          <w:rFonts w:hint="eastAsia" w:ascii="仿宋_GB2312" w:hAnsi="仿宋_GB2312" w:cs="仿宋_GB2312"/>
          <w:color w:val="auto"/>
          <w:sz w:val="28"/>
          <w:szCs w:val="28"/>
          <w:highlight w:val="none"/>
          <w:lang w:val="en-US" w:eastAsia="zh-CN"/>
        </w:rPr>
        <w:t>（三）固定资产管理水平有待提高</w:t>
      </w:r>
    </w:p>
    <w:p w14:paraId="68412516">
      <w:pPr>
        <w:pageBreakBefore w:val="0"/>
        <w:widowControl w:val="0"/>
        <w:numPr>
          <w:ilvl w:val="0"/>
          <w:numId w:val="0"/>
        </w:numPr>
        <w:kinsoku/>
        <w:wordWrap/>
        <w:overflowPunct/>
        <w:topLinePunct w:val="0"/>
        <w:autoSpaceDE/>
        <w:autoSpaceDN/>
        <w:bidi w:val="0"/>
        <w:adjustRightInd/>
        <w:snapToGrid/>
        <w:spacing w:line="480" w:lineRule="atLeast"/>
        <w:ind w:firstLine="560" w:firstLineChars="200"/>
        <w:textAlignment w:val="auto"/>
        <w:rPr>
          <w:rFonts w:hint="eastAsia"/>
          <w:color w:val="auto"/>
          <w:highlight w:val="none"/>
          <w:lang w:val="en-US" w:eastAsia="zh-CN"/>
        </w:rPr>
      </w:pPr>
      <w:r>
        <w:rPr>
          <w:rFonts w:hint="eastAsia" w:ascii="仿宋_GB2312" w:hAnsi="仿宋_GB2312" w:cs="仿宋_GB2312"/>
          <w:color w:val="auto"/>
          <w:sz w:val="28"/>
          <w:szCs w:val="28"/>
          <w:highlight w:val="none"/>
          <w:lang w:val="en-US" w:eastAsia="zh-CN"/>
        </w:rPr>
        <w:t>固定资产台账未及时与账面资产金额对账且末与实物进行清点及及时清理处置报废资产导致资产台账与账面资产金额存在差异</w:t>
      </w:r>
      <w:r>
        <w:rPr>
          <w:rFonts w:hint="eastAsia" w:cs="仿宋_GB2312"/>
          <w:color w:val="auto"/>
          <w:sz w:val="28"/>
          <w:szCs w:val="28"/>
          <w:highlight w:val="none"/>
          <w:lang w:val="en-US" w:eastAsia="zh-CN"/>
        </w:rPr>
        <w:t>，</w:t>
      </w:r>
      <w:r>
        <w:rPr>
          <w:rFonts w:hint="eastAsia" w:ascii="仿宋_GB2312" w:hAnsi="仿宋_GB2312" w:cs="仿宋_GB2312"/>
          <w:color w:val="auto"/>
          <w:sz w:val="28"/>
          <w:szCs w:val="28"/>
          <w:highlight w:val="none"/>
          <w:lang w:val="en-US" w:eastAsia="zh-CN"/>
        </w:rPr>
        <w:t>固定资产管理继续加强中。</w:t>
      </w:r>
    </w:p>
    <w:p w14:paraId="26CE7D82">
      <w:pPr>
        <w:pStyle w:val="3"/>
        <w:bidi w:val="0"/>
        <w:rPr>
          <w:rFonts w:hint="eastAsia"/>
          <w:color w:val="auto"/>
          <w:highlight w:val="none"/>
        </w:rPr>
      </w:pPr>
      <w:bookmarkStart w:id="5" w:name="_Toc29546_WPSOffice_Level1"/>
      <w:r>
        <w:rPr>
          <w:rFonts w:hint="eastAsia"/>
          <w:color w:val="auto"/>
          <w:highlight w:val="none"/>
          <w:lang w:val="en-US" w:eastAsia="zh-CN"/>
        </w:rPr>
        <w:t>六、</w:t>
      </w:r>
      <w:r>
        <w:rPr>
          <w:rFonts w:hint="eastAsia"/>
          <w:color w:val="auto"/>
          <w:highlight w:val="none"/>
        </w:rPr>
        <w:t>改进措施和建议</w:t>
      </w:r>
      <w:bookmarkEnd w:id="5"/>
    </w:p>
    <w:p w14:paraId="3018824D">
      <w:pPr>
        <w:pageBreakBefore w:val="0"/>
        <w:widowControl w:val="0"/>
        <w:numPr>
          <w:ilvl w:val="0"/>
          <w:numId w:val="0"/>
        </w:numPr>
        <w:kinsoku/>
        <w:wordWrap/>
        <w:overflowPunct/>
        <w:topLinePunct w:val="0"/>
        <w:autoSpaceDE/>
        <w:autoSpaceDN/>
        <w:bidi w:val="0"/>
        <w:adjustRightInd/>
        <w:snapToGrid/>
        <w:spacing w:line="480" w:lineRule="atLeast"/>
        <w:ind w:firstLine="560" w:firstLineChars="200"/>
        <w:textAlignment w:val="auto"/>
        <w:rPr>
          <w:rFonts w:hint="eastAsia" w:ascii="仿宋_GB2312" w:hAnsi="仿宋_GB2312" w:cs="仿宋_GB2312"/>
          <w:color w:val="auto"/>
          <w:sz w:val="28"/>
          <w:szCs w:val="28"/>
          <w:highlight w:val="none"/>
          <w:lang w:val="en-US" w:eastAsia="zh-CN"/>
        </w:rPr>
      </w:pPr>
      <w:r>
        <w:rPr>
          <w:rFonts w:hint="eastAsia" w:ascii="仿宋_GB2312" w:hAnsi="仿宋_GB2312" w:cs="仿宋_GB2312"/>
          <w:color w:val="auto"/>
          <w:sz w:val="28"/>
          <w:szCs w:val="28"/>
          <w:highlight w:val="none"/>
          <w:lang w:val="en-US" w:eastAsia="zh-CN"/>
        </w:rPr>
        <w:t>针对上述存在的问题及整体支出管理工作的需要，实施改进措施和建议如下：</w:t>
      </w:r>
    </w:p>
    <w:p w14:paraId="2EAD28BB">
      <w:pPr>
        <w:pStyle w:val="17"/>
        <w:keepNext w:val="0"/>
        <w:keepLines w:val="0"/>
        <w:pageBreakBefore w:val="0"/>
        <w:widowControl w:val="0"/>
        <w:kinsoku/>
        <w:wordWrap/>
        <w:overflowPunct/>
        <w:topLinePunct w:val="0"/>
        <w:autoSpaceDE/>
        <w:autoSpaceDN/>
        <w:bidi w:val="0"/>
        <w:adjustRightInd/>
        <w:snapToGrid/>
        <w:spacing w:before="0" w:beforeLines="0" w:after="0" w:afterLines="0" w:line="480" w:lineRule="atLeast"/>
        <w:ind w:firstLine="601"/>
        <w:jc w:val="both"/>
        <w:textAlignment w:val="auto"/>
        <w:rPr>
          <w:rFonts w:hint="default" w:ascii="仿宋_GB2312" w:hAnsi="仿宋_GB2312" w:eastAsia="仿宋_GB2312" w:cs="仿宋_GB2312"/>
          <w:b w:val="0"/>
          <w:bCs w:val="0"/>
          <w:color w:val="auto"/>
          <w:kern w:val="1"/>
          <w:sz w:val="28"/>
          <w:szCs w:val="28"/>
          <w:highlight w:val="none"/>
          <w:lang w:val="en-US" w:eastAsia="zh-CN" w:bidi="ar-SA"/>
        </w:rPr>
      </w:pPr>
      <w:r>
        <w:rPr>
          <w:rFonts w:hint="eastAsia" w:ascii="仿宋_GB2312" w:hAnsi="仿宋_GB2312" w:eastAsia="仿宋_GB2312" w:cs="仿宋_GB2312"/>
          <w:b w:val="0"/>
          <w:bCs w:val="0"/>
          <w:color w:val="auto"/>
          <w:kern w:val="1"/>
          <w:sz w:val="28"/>
          <w:szCs w:val="28"/>
          <w:highlight w:val="none"/>
          <w:lang w:val="en-US" w:eastAsia="zh-CN" w:bidi="ar-SA"/>
        </w:rPr>
        <w:t>（一）细化预算编制工作，严格按照预算编制的相关制度和要求做好预算的编制，进一步加强预算管理意识；全面编制预算项目，优先保障固定的、相对刚性的费用支出项目，尽量压缩变动的、有控制空间的费用项目，进一步提高预算编制的科学性、严谨性和可控性。</w:t>
      </w:r>
    </w:p>
    <w:p w14:paraId="2A07C8CF">
      <w:pPr>
        <w:pStyle w:val="17"/>
        <w:keepNext w:val="0"/>
        <w:keepLines w:val="0"/>
        <w:pageBreakBefore w:val="0"/>
        <w:widowControl w:val="0"/>
        <w:kinsoku/>
        <w:wordWrap/>
        <w:overflowPunct/>
        <w:topLinePunct w:val="0"/>
        <w:autoSpaceDE/>
        <w:autoSpaceDN/>
        <w:bidi w:val="0"/>
        <w:adjustRightInd/>
        <w:snapToGrid/>
        <w:spacing w:before="0" w:beforeLines="0" w:after="0" w:afterLines="0" w:line="480" w:lineRule="atLeast"/>
        <w:ind w:firstLine="601"/>
        <w:jc w:val="both"/>
        <w:textAlignment w:val="auto"/>
        <w:rPr>
          <w:rFonts w:hint="eastAsia" w:ascii="仿宋_GB2312" w:hAnsi="仿宋_GB2312" w:eastAsia="仿宋_GB2312" w:cs="仿宋_GB2312"/>
          <w:b w:val="0"/>
          <w:bCs w:val="0"/>
          <w:color w:val="auto"/>
          <w:kern w:val="1"/>
          <w:sz w:val="28"/>
          <w:szCs w:val="28"/>
          <w:highlight w:val="none"/>
          <w:lang w:val="en-US" w:eastAsia="zh-CN" w:bidi="ar-SA"/>
        </w:rPr>
      </w:pPr>
      <w:r>
        <w:rPr>
          <w:rFonts w:hint="eastAsia" w:ascii="仿宋_GB2312" w:hAnsi="仿宋_GB2312" w:eastAsia="仿宋_GB2312" w:cs="仿宋_GB2312"/>
          <w:b w:val="0"/>
          <w:bCs w:val="0"/>
          <w:color w:val="auto"/>
          <w:kern w:val="1"/>
          <w:sz w:val="28"/>
          <w:szCs w:val="28"/>
          <w:highlight w:val="none"/>
          <w:lang w:val="en-US" w:eastAsia="zh-CN" w:bidi="ar-SA"/>
        </w:rPr>
        <w:t>（二）加强新行政单位会计制度和新预算法学习培训、规范账务处理，加强新《中华人民共和国预算法》《行政单位会计制度》 、《中华人民共和国会计法》 、《行政单位财务规则》等学习培训，规范部门预算收支核算。 一是制定和完善基本支出、项目支出等各项支出标准，严格按项目进度执行预算， 增强预算的约束力和严肃性。二是落实预算执行分析，及时了解预算执行差异，合理调整、纠正预算执行偏差，切实提高部门预算收支管理水平。尽可能地做到决算与预算相衔接。</w:t>
      </w:r>
    </w:p>
    <w:p w14:paraId="6637F6E2">
      <w:pPr>
        <w:pStyle w:val="17"/>
        <w:keepNext w:val="0"/>
        <w:keepLines w:val="0"/>
        <w:pageBreakBefore w:val="0"/>
        <w:widowControl w:val="0"/>
        <w:kinsoku/>
        <w:wordWrap/>
        <w:overflowPunct/>
        <w:topLinePunct w:val="0"/>
        <w:autoSpaceDE/>
        <w:autoSpaceDN/>
        <w:bidi w:val="0"/>
        <w:adjustRightInd/>
        <w:snapToGrid/>
        <w:spacing w:before="0" w:beforeLines="0" w:after="0" w:afterLines="0" w:line="480" w:lineRule="atLeast"/>
        <w:ind w:firstLine="601"/>
        <w:jc w:val="both"/>
        <w:textAlignment w:val="auto"/>
        <w:rPr>
          <w:rFonts w:hint="default" w:ascii="仿宋_GB2312" w:hAnsi="仿宋_GB2312" w:eastAsia="仿宋_GB2312" w:cs="仿宋_GB2312"/>
          <w:b w:val="0"/>
          <w:bCs w:val="0"/>
          <w:color w:val="auto"/>
          <w:kern w:val="1"/>
          <w:sz w:val="28"/>
          <w:szCs w:val="28"/>
          <w:highlight w:val="none"/>
          <w:lang w:val="en-US" w:eastAsia="zh-CN" w:bidi="ar-SA"/>
        </w:rPr>
      </w:pPr>
      <w:r>
        <w:rPr>
          <w:rFonts w:hint="eastAsia" w:ascii="仿宋_GB2312" w:hAnsi="仿宋_GB2312" w:eastAsia="仿宋_GB2312" w:cs="仿宋_GB2312"/>
          <w:b w:val="0"/>
          <w:bCs w:val="0"/>
          <w:color w:val="auto"/>
          <w:kern w:val="1"/>
          <w:sz w:val="28"/>
          <w:szCs w:val="28"/>
          <w:highlight w:val="none"/>
          <w:lang w:val="en-US" w:eastAsia="zh-CN" w:bidi="ar-SA"/>
        </w:rPr>
        <w:t>（三）完善管理制度，进一步加强资产管理。严格按照《固定资产管理办法》的规定，加强固定资产管理，及时登记、更新台账，加强资产卡片管理，对各类实物资产进行全面盘点，确保账、</w:t>
      </w:r>
      <w:bookmarkStart w:id="6" w:name="_GoBack"/>
      <w:bookmarkEnd w:id="6"/>
      <w:r>
        <w:rPr>
          <w:rFonts w:hint="eastAsia" w:ascii="仿宋_GB2312" w:hAnsi="仿宋_GB2312" w:eastAsia="仿宋_GB2312" w:cs="仿宋_GB2312"/>
          <w:b w:val="0"/>
          <w:bCs w:val="0"/>
          <w:color w:val="auto"/>
          <w:kern w:val="1"/>
          <w:sz w:val="28"/>
          <w:szCs w:val="28"/>
          <w:highlight w:val="none"/>
          <w:lang w:val="en-US" w:eastAsia="zh-CN" w:bidi="ar-SA"/>
        </w:rPr>
        <w:t>账实相符。</w:t>
      </w:r>
    </w:p>
    <w:p w14:paraId="426D4CC4">
      <w:pPr>
        <w:bidi w:val="0"/>
        <w:rPr>
          <w:rFonts w:hint="default"/>
          <w:color w:val="auto"/>
          <w:highlight w:val="none"/>
          <w:lang w:val="en-US" w:eastAsia="zh-CN"/>
        </w:rPr>
      </w:pPr>
    </w:p>
    <w:p w14:paraId="090A8F9B">
      <w:pPr>
        <w:pStyle w:val="3"/>
        <w:bidi w:val="0"/>
        <w:rPr>
          <w:rFonts w:hint="default"/>
          <w:color w:val="auto"/>
          <w:highlight w:val="none"/>
          <w:lang w:val="en-US" w:eastAsia="zh-CN"/>
        </w:rPr>
      </w:pPr>
      <w:r>
        <w:rPr>
          <w:rFonts w:hint="eastAsia"/>
          <w:color w:val="auto"/>
          <w:highlight w:val="none"/>
          <w:lang w:val="en-US" w:eastAsia="zh-CN"/>
        </w:rPr>
        <w:t>七、附件上传</w:t>
      </w:r>
    </w:p>
    <w:p w14:paraId="796E3795">
      <w:pPr>
        <w:bidi w:val="0"/>
        <w:ind w:left="0" w:leftChars="0" w:firstLine="0" w:firstLineChars="0"/>
        <w:rPr>
          <w:rFonts w:hint="eastAsia"/>
          <w:color w:val="auto"/>
          <w:highlight w:val="none"/>
          <w:lang w:val="en-US" w:eastAsia="zh-CN"/>
        </w:rPr>
      </w:pPr>
    </w:p>
    <w:sectPr>
      <w:footerReference r:id="rId5" w:type="default"/>
      <w:pgSz w:w="11906" w:h="16838"/>
      <w:pgMar w:top="1440" w:right="1800" w:bottom="1440" w:left="1800" w:header="851" w:footer="992" w:gutter="0"/>
      <w:pgNumType w:fmt="numberInDash" w:start="1"/>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auto"/>
    <w:pitch w:val="default"/>
    <w:sig w:usb0="00000000" w:usb1="00000000" w:usb2="00000000" w:usb3="00000000" w:csb0="00040000" w:csb1="00000000"/>
  </w:font>
  <w:font w:name="MS Sans Serif">
    <w:altName w:val="Arial"/>
    <w:panose1 w:val="00000000000000000000"/>
    <w:charset w:val="00"/>
    <w:family w:val="swiss"/>
    <w:pitch w:val="default"/>
    <w:sig w:usb0="00000000" w:usb1="00000000" w:usb2="00000000" w:usb3="00000000" w:csb0="0000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F1C6724">
    <w:pPr>
      <w:pStyle w:val="10"/>
      <w:keepNext w:val="0"/>
      <w:keepLines w:val="0"/>
      <w:pageBreakBefore w:val="0"/>
      <w:widowControl w:val="0"/>
      <w:kinsoku/>
      <w:wordWrap/>
      <w:overflowPunct/>
      <w:topLinePunct w:val="0"/>
      <w:bidi w:val="0"/>
      <w:adjustRightInd w:val="0"/>
      <w:snapToGrid w:val="0"/>
      <w:spacing w:line="240" w:lineRule="auto"/>
      <w:ind w:firstLine="0" w:firstLineChars="0"/>
      <w:jc w:val="center"/>
      <w:textAlignment w:val="auto"/>
      <w:rPr>
        <w:rFonts w:ascii="宋体" w:hAnsi="宋体"/>
        <w:sz w:val="28"/>
        <w:szCs w:val="28"/>
      </w:rPr>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25 -</w:t>
    </w:r>
    <w:r>
      <w:rPr>
        <w:rFonts w:ascii="宋体" w:hAnsi="宋体"/>
        <w:sz w:val="28"/>
        <w:szCs w:val="28"/>
      </w:rPr>
      <w:fldChar w:fldCharType="end"/>
    </w:r>
  </w:p>
  <w:p w14:paraId="7E0CAE9D">
    <w:pPr>
      <w:pStyle w:val="1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560"/>
      </w:pPr>
      <w:r>
        <w:separator/>
      </w:r>
    </w:p>
  </w:footnote>
  <w:footnote w:type="continuationSeparator" w:id="1">
    <w:p>
      <w:pPr>
        <w:spacing w:line="360" w:lineRule="auto"/>
        <w:ind w:firstLine="56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9220FDD"/>
    <w:multiLevelType w:val="singleLevel"/>
    <w:tmpl w:val="B9220FDD"/>
    <w:lvl w:ilvl="0" w:tentative="0">
      <w:start w:val="1"/>
      <w:numFmt w:val="chineseCounting"/>
      <w:suff w:val="nothing"/>
      <w:lvlText w:val="（%1）"/>
      <w:lvlJc w:val="left"/>
      <w:rPr>
        <w:rFonts w:hint="eastAsia"/>
      </w:rPr>
    </w:lvl>
  </w:abstractNum>
  <w:abstractNum w:abstractNumId="1">
    <w:nsid w:val="C2286CE1"/>
    <w:multiLevelType w:val="singleLevel"/>
    <w:tmpl w:val="C2286CE1"/>
    <w:lvl w:ilvl="0" w:tentative="0">
      <w:start w:val="3"/>
      <w:numFmt w:val="chineseCounting"/>
      <w:suff w:val="nothing"/>
      <w:lvlText w:val="%1、"/>
      <w:lvlJc w:val="left"/>
      <w:rPr>
        <w:rFonts w:hint="eastAsia"/>
      </w:rPr>
    </w:lvl>
  </w:abstractNum>
  <w:abstractNum w:abstractNumId="2">
    <w:nsid w:val="6C0B3A83"/>
    <w:multiLevelType w:val="singleLevel"/>
    <w:tmpl w:val="6C0B3A83"/>
    <w:lvl w:ilvl="0" w:tentative="0">
      <w:start w:val="2"/>
      <w:numFmt w:val="chineseCounting"/>
      <w:suff w:val="nothing"/>
      <w:lvlText w:val="（%1）"/>
      <w:lvlJc w:val="left"/>
      <w:rPr>
        <w:rFonts w:hint="eastAsia"/>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attachedTemplate r:id="rId1"/>
  <w:documentProtection w:enforcement="0"/>
  <w:defaultTabStop w:val="420"/>
  <w:hyphenationZone w:val="36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MzMjA0MGM5MTIzMGI3YzZhNWY5Zjk1YjRhMWM5MGUifQ=="/>
    <w:docVar w:name="KSO_WPS_MARK_KEY" w:val="e89e5d35-c8b1-4830-abac-bd085844b888"/>
  </w:docVars>
  <w:rsids>
    <w:rsidRoot w:val="1C6D319F"/>
    <w:rsid w:val="00056777"/>
    <w:rsid w:val="000C4E29"/>
    <w:rsid w:val="000D3AFA"/>
    <w:rsid w:val="000E1B81"/>
    <w:rsid w:val="0012092B"/>
    <w:rsid w:val="00141421"/>
    <w:rsid w:val="00191BA3"/>
    <w:rsid w:val="001C1E1D"/>
    <w:rsid w:val="001E750D"/>
    <w:rsid w:val="0022744B"/>
    <w:rsid w:val="00234372"/>
    <w:rsid w:val="00292A50"/>
    <w:rsid w:val="002939FF"/>
    <w:rsid w:val="002F7CCD"/>
    <w:rsid w:val="003F0DB2"/>
    <w:rsid w:val="00424A01"/>
    <w:rsid w:val="00491D09"/>
    <w:rsid w:val="004E1483"/>
    <w:rsid w:val="0054132C"/>
    <w:rsid w:val="005B1250"/>
    <w:rsid w:val="006258B7"/>
    <w:rsid w:val="00633862"/>
    <w:rsid w:val="006B4CDA"/>
    <w:rsid w:val="006C5BED"/>
    <w:rsid w:val="006C5D3A"/>
    <w:rsid w:val="006D4FCD"/>
    <w:rsid w:val="006F7865"/>
    <w:rsid w:val="00702D4A"/>
    <w:rsid w:val="007115C8"/>
    <w:rsid w:val="00722C79"/>
    <w:rsid w:val="00724F4D"/>
    <w:rsid w:val="007E7E99"/>
    <w:rsid w:val="00825D99"/>
    <w:rsid w:val="0089387B"/>
    <w:rsid w:val="008E7E52"/>
    <w:rsid w:val="009304D8"/>
    <w:rsid w:val="0093778D"/>
    <w:rsid w:val="0097614B"/>
    <w:rsid w:val="0099431C"/>
    <w:rsid w:val="009F5A38"/>
    <w:rsid w:val="00AA5126"/>
    <w:rsid w:val="00AD16CD"/>
    <w:rsid w:val="00B5590F"/>
    <w:rsid w:val="00B86B60"/>
    <w:rsid w:val="00BA13C5"/>
    <w:rsid w:val="00BD7AB3"/>
    <w:rsid w:val="00BF62C2"/>
    <w:rsid w:val="00C77007"/>
    <w:rsid w:val="00CD2F35"/>
    <w:rsid w:val="00CD5A03"/>
    <w:rsid w:val="00D82401"/>
    <w:rsid w:val="00D9126A"/>
    <w:rsid w:val="00D93262"/>
    <w:rsid w:val="00DB1085"/>
    <w:rsid w:val="00EB1FFE"/>
    <w:rsid w:val="00F326C7"/>
    <w:rsid w:val="00F84215"/>
    <w:rsid w:val="00FF2ACD"/>
    <w:rsid w:val="012008EE"/>
    <w:rsid w:val="01941124"/>
    <w:rsid w:val="01CC583F"/>
    <w:rsid w:val="01D745FA"/>
    <w:rsid w:val="0216032D"/>
    <w:rsid w:val="02337D11"/>
    <w:rsid w:val="02C40969"/>
    <w:rsid w:val="04681F85"/>
    <w:rsid w:val="04DB4953"/>
    <w:rsid w:val="04FF0482"/>
    <w:rsid w:val="05062887"/>
    <w:rsid w:val="05464D81"/>
    <w:rsid w:val="05F70F85"/>
    <w:rsid w:val="0607573C"/>
    <w:rsid w:val="06547701"/>
    <w:rsid w:val="072B19D6"/>
    <w:rsid w:val="084208C4"/>
    <w:rsid w:val="098A3C0A"/>
    <w:rsid w:val="09A24E4E"/>
    <w:rsid w:val="0A9A7091"/>
    <w:rsid w:val="0B4D70A0"/>
    <w:rsid w:val="0B7B2C86"/>
    <w:rsid w:val="0C6738B8"/>
    <w:rsid w:val="0E7D784C"/>
    <w:rsid w:val="10300946"/>
    <w:rsid w:val="10FE60D7"/>
    <w:rsid w:val="11695786"/>
    <w:rsid w:val="123F10AA"/>
    <w:rsid w:val="134F7771"/>
    <w:rsid w:val="13E513B9"/>
    <w:rsid w:val="158C5316"/>
    <w:rsid w:val="15B904C0"/>
    <w:rsid w:val="165C118C"/>
    <w:rsid w:val="172D035F"/>
    <w:rsid w:val="175D58E3"/>
    <w:rsid w:val="18061B60"/>
    <w:rsid w:val="190C3DF8"/>
    <w:rsid w:val="19AA4D08"/>
    <w:rsid w:val="19F83E30"/>
    <w:rsid w:val="1B403139"/>
    <w:rsid w:val="1C6D319F"/>
    <w:rsid w:val="1D384A93"/>
    <w:rsid w:val="1D4D74D6"/>
    <w:rsid w:val="1DE32CFD"/>
    <w:rsid w:val="1E7950FC"/>
    <w:rsid w:val="1F1A602A"/>
    <w:rsid w:val="1F2854B6"/>
    <w:rsid w:val="217D20CE"/>
    <w:rsid w:val="21C67E02"/>
    <w:rsid w:val="21C768CD"/>
    <w:rsid w:val="22AB52F3"/>
    <w:rsid w:val="22E14253"/>
    <w:rsid w:val="23931BB2"/>
    <w:rsid w:val="23F209A3"/>
    <w:rsid w:val="2403516E"/>
    <w:rsid w:val="256A2A9E"/>
    <w:rsid w:val="25917094"/>
    <w:rsid w:val="27F7226E"/>
    <w:rsid w:val="28022BCD"/>
    <w:rsid w:val="2805537E"/>
    <w:rsid w:val="280C7860"/>
    <w:rsid w:val="289437EE"/>
    <w:rsid w:val="297873DB"/>
    <w:rsid w:val="29F35E61"/>
    <w:rsid w:val="2A203B99"/>
    <w:rsid w:val="2A285817"/>
    <w:rsid w:val="2B6F150A"/>
    <w:rsid w:val="2BB557CB"/>
    <w:rsid w:val="2BC51751"/>
    <w:rsid w:val="2D166684"/>
    <w:rsid w:val="2EBF757D"/>
    <w:rsid w:val="313A1C72"/>
    <w:rsid w:val="3151175A"/>
    <w:rsid w:val="31927D00"/>
    <w:rsid w:val="31AE39CE"/>
    <w:rsid w:val="31B83F5F"/>
    <w:rsid w:val="328E2AB6"/>
    <w:rsid w:val="329B12EA"/>
    <w:rsid w:val="32FB1A54"/>
    <w:rsid w:val="33291F9F"/>
    <w:rsid w:val="33A83F87"/>
    <w:rsid w:val="340D2D0F"/>
    <w:rsid w:val="348F1A9E"/>
    <w:rsid w:val="355C2B3F"/>
    <w:rsid w:val="356B4AF0"/>
    <w:rsid w:val="35F12468"/>
    <w:rsid w:val="36851B5C"/>
    <w:rsid w:val="37661A13"/>
    <w:rsid w:val="379871D0"/>
    <w:rsid w:val="37BA58BB"/>
    <w:rsid w:val="37D360CA"/>
    <w:rsid w:val="38CB5066"/>
    <w:rsid w:val="38E054C9"/>
    <w:rsid w:val="3A3D73F9"/>
    <w:rsid w:val="3A565DE9"/>
    <w:rsid w:val="3AC36A27"/>
    <w:rsid w:val="3F301058"/>
    <w:rsid w:val="3FD910D5"/>
    <w:rsid w:val="417A34F9"/>
    <w:rsid w:val="418810F4"/>
    <w:rsid w:val="41A37673"/>
    <w:rsid w:val="42503F5E"/>
    <w:rsid w:val="42C30950"/>
    <w:rsid w:val="4531052C"/>
    <w:rsid w:val="459B4F7E"/>
    <w:rsid w:val="45A65C7F"/>
    <w:rsid w:val="45F13359"/>
    <w:rsid w:val="468C2A4A"/>
    <w:rsid w:val="46AD2493"/>
    <w:rsid w:val="46EC7F14"/>
    <w:rsid w:val="47CA7D9C"/>
    <w:rsid w:val="47DB3D58"/>
    <w:rsid w:val="48194880"/>
    <w:rsid w:val="48AF4C7F"/>
    <w:rsid w:val="4A5B46DD"/>
    <w:rsid w:val="4A6F6A56"/>
    <w:rsid w:val="4A81677A"/>
    <w:rsid w:val="4AB82421"/>
    <w:rsid w:val="4B3B5348"/>
    <w:rsid w:val="4D310082"/>
    <w:rsid w:val="4DA177B2"/>
    <w:rsid w:val="4DA370C6"/>
    <w:rsid w:val="4DF36D4F"/>
    <w:rsid w:val="501B7C76"/>
    <w:rsid w:val="504D5CCF"/>
    <w:rsid w:val="511A2CA6"/>
    <w:rsid w:val="520B3D3C"/>
    <w:rsid w:val="533A7469"/>
    <w:rsid w:val="53526129"/>
    <w:rsid w:val="538B4CD8"/>
    <w:rsid w:val="53A21BCD"/>
    <w:rsid w:val="54394F3D"/>
    <w:rsid w:val="565F61A9"/>
    <w:rsid w:val="56AD4B11"/>
    <w:rsid w:val="57232FC4"/>
    <w:rsid w:val="572D2326"/>
    <w:rsid w:val="57365691"/>
    <w:rsid w:val="585C1345"/>
    <w:rsid w:val="596E045B"/>
    <w:rsid w:val="59EE1E48"/>
    <w:rsid w:val="5A490F5C"/>
    <w:rsid w:val="5B0D32DD"/>
    <w:rsid w:val="5B805E16"/>
    <w:rsid w:val="5BD21464"/>
    <w:rsid w:val="5BDE2B83"/>
    <w:rsid w:val="5C777282"/>
    <w:rsid w:val="5F085B7F"/>
    <w:rsid w:val="61635F72"/>
    <w:rsid w:val="618606C5"/>
    <w:rsid w:val="61AC6295"/>
    <w:rsid w:val="622334F8"/>
    <w:rsid w:val="6224402D"/>
    <w:rsid w:val="632E55D3"/>
    <w:rsid w:val="6384067A"/>
    <w:rsid w:val="638D125E"/>
    <w:rsid w:val="6396333E"/>
    <w:rsid w:val="63E114D3"/>
    <w:rsid w:val="66A207DE"/>
    <w:rsid w:val="679F4984"/>
    <w:rsid w:val="6AD46D46"/>
    <w:rsid w:val="6B07083C"/>
    <w:rsid w:val="6B623CC4"/>
    <w:rsid w:val="6B6C65E0"/>
    <w:rsid w:val="6C2B67AC"/>
    <w:rsid w:val="6D414B03"/>
    <w:rsid w:val="6DE07909"/>
    <w:rsid w:val="6E58438A"/>
    <w:rsid w:val="6E7066F8"/>
    <w:rsid w:val="6E9D5508"/>
    <w:rsid w:val="6F871359"/>
    <w:rsid w:val="711B7F18"/>
    <w:rsid w:val="71EB22B3"/>
    <w:rsid w:val="72010FA6"/>
    <w:rsid w:val="72180342"/>
    <w:rsid w:val="733F48EB"/>
    <w:rsid w:val="74212849"/>
    <w:rsid w:val="744C1D4E"/>
    <w:rsid w:val="748A4F72"/>
    <w:rsid w:val="74961819"/>
    <w:rsid w:val="750202C6"/>
    <w:rsid w:val="75664078"/>
    <w:rsid w:val="761E4132"/>
    <w:rsid w:val="78061A79"/>
    <w:rsid w:val="79181486"/>
    <w:rsid w:val="7AFE508C"/>
    <w:rsid w:val="7B2561EC"/>
    <w:rsid w:val="7BC003CA"/>
    <w:rsid w:val="7C1C515F"/>
    <w:rsid w:val="7CBF4BB4"/>
    <w:rsid w:val="7E53749D"/>
    <w:rsid w:val="7E5D346D"/>
    <w:rsid w:val="7FDB1E88"/>
    <w:rsid w:val="FFDF92D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qFormat="1" w:unhideWhenUsed="0" w:uiPriority="0" w:semiHidden="0"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qFormat="1" w:unhideWhenUsed="0" w:uiPriority="0" w:semiHidden="0"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qFormat="1" w:unhideWhenUsed="0" w:uiPriority="99" w:semiHidden="0"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adjustRightInd w:val="0"/>
      <w:snapToGrid w:val="0"/>
      <w:spacing w:line="360" w:lineRule="auto"/>
      <w:ind w:firstLine="640" w:firstLineChars="200"/>
      <w:jc w:val="both"/>
    </w:pPr>
    <w:rPr>
      <w:rFonts w:ascii="仿宋_GB2312" w:hAnsi="仿宋_GB2312" w:eastAsia="仿宋" w:cs="仿宋_GB2312"/>
      <w:kern w:val="2"/>
      <w:sz w:val="28"/>
      <w:szCs w:val="24"/>
      <w:lang w:val="en-US" w:eastAsia="zh-CN" w:bidi="ar-SA"/>
    </w:rPr>
  </w:style>
  <w:style w:type="paragraph" w:styleId="3">
    <w:name w:val="heading 1"/>
    <w:basedOn w:val="1"/>
    <w:next w:val="1"/>
    <w:qFormat/>
    <w:uiPriority w:val="0"/>
    <w:pPr>
      <w:keepNext/>
      <w:keepLines/>
      <w:jc w:val="left"/>
      <w:outlineLvl w:val="0"/>
    </w:pPr>
    <w:rPr>
      <w:rFonts w:ascii="宋体" w:hAnsi="宋体" w:eastAsia="黑体"/>
      <w:bCs/>
      <w:kern w:val="44"/>
      <w:sz w:val="32"/>
      <w:szCs w:val="44"/>
    </w:rPr>
  </w:style>
  <w:style w:type="paragraph" w:styleId="4">
    <w:name w:val="heading 2"/>
    <w:basedOn w:val="1"/>
    <w:next w:val="1"/>
    <w:unhideWhenUsed/>
    <w:qFormat/>
    <w:uiPriority w:val="0"/>
    <w:pPr>
      <w:keepNext/>
      <w:keepLines/>
      <w:spacing w:before="50" w:beforeLines="50" w:beforeAutospacing="0" w:afterLines="0" w:afterAutospacing="0" w:line="360" w:lineRule="auto"/>
      <w:outlineLvl w:val="1"/>
    </w:pPr>
    <w:rPr>
      <w:rFonts w:ascii="Arial" w:hAnsi="Arial" w:eastAsia="楷体_GB2312"/>
      <w:b/>
      <w:sz w:val="32"/>
    </w:rPr>
  </w:style>
  <w:style w:type="paragraph" w:styleId="5">
    <w:name w:val="heading 3"/>
    <w:basedOn w:val="1"/>
    <w:next w:val="1"/>
    <w:unhideWhenUsed/>
    <w:qFormat/>
    <w:uiPriority w:val="9"/>
    <w:pPr>
      <w:keepNext/>
      <w:keepLines/>
      <w:spacing w:before="140" w:line="360" w:lineRule="auto"/>
      <w:outlineLvl w:val="2"/>
    </w:pPr>
    <w:rPr>
      <w:b/>
      <w:bCs/>
      <w:sz w:val="30"/>
      <w:szCs w:val="32"/>
    </w:rPr>
  </w:style>
  <w:style w:type="character" w:default="1" w:styleId="20">
    <w:name w:val="Default Paragraph Font"/>
    <w:unhideWhenUsed/>
    <w:qFormat/>
    <w:uiPriority w:val="1"/>
  </w:style>
  <w:style w:type="table" w:default="1" w:styleId="18">
    <w:name w:val="Normal Table"/>
    <w:unhideWhenUsed/>
    <w:qFormat/>
    <w:uiPriority w:val="99"/>
    <w:tblPr>
      <w:tblCellMar>
        <w:top w:w="0" w:type="dxa"/>
        <w:left w:w="108" w:type="dxa"/>
        <w:bottom w:w="0" w:type="dxa"/>
        <w:right w:w="108" w:type="dxa"/>
      </w:tblCellMar>
    </w:tblPr>
  </w:style>
  <w:style w:type="paragraph" w:styleId="2">
    <w:name w:val="table of authorities"/>
    <w:basedOn w:val="1"/>
    <w:next w:val="1"/>
    <w:qFormat/>
    <w:uiPriority w:val="99"/>
    <w:pPr>
      <w:ind w:firstLine="640" w:firstLineChars="200"/>
    </w:pPr>
  </w:style>
  <w:style w:type="paragraph" w:styleId="6">
    <w:name w:val="Normal Indent"/>
    <w:basedOn w:val="1"/>
    <w:next w:val="7"/>
    <w:qFormat/>
    <w:uiPriority w:val="0"/>
    <w:pPr>
      <w:ind w:firstLine="420"/>
    </w:pPr>
    <w:rPr>
      <w:sz w:val="21"/>
    </w:rPr>
  </w:style>
  <w:style w:type="paragraph" w:styleId="7">
    <w:name w:val="toc 4"/>
    <w:basedOn w:val="1"/>
    <w:next w:val="1"/>
    <w:qFormat/>
    <w:uiPriority w:val="0"/>
    <w:pPr>
      <w:ind w:left="1260" w:leftChars="600"/>
    </w:pPr>
  </w:style>
  <w:style w:type="paragraph" w:styleId="8">
    <w:name w:val="annotation text"/>
    <w:basedOn w:val="1"/>
    <w:unhideWhenUsed/>
    <w:qFormat/>
    <w:uiPriority w:val="99"/>
    <w:pPr>
      <w:jc w:val="left"/>
    </w:pPr>
  </w:style>
  <w:style w:type="paragraph" w:styleId="9">
    <w:name w:val="Body Text"/>
    <w:basedOn w:val="1"/>
    <w:qFormat/>
    <w:uiPriority w:val="0"/>
    <w:pPr>
      <w:spacing w:before="240" w:after="240" w:line="360" w:lineRule="auto"/>
      <w:jc w:val="center"/>
    </w:pPr>
    <w:rPr>
      <w:b/>
      <w:sz w:val="44"/>
    </w:rPr>
  </w:style>
  <w:style w:type="paragraph" w:styleId="10">
    <w:name w:val="footer"/>
    <w:basedOn w:val="1"/>
    <w:link w:val="24"/>
    <w:unhideWhenUsed/>
    <w:qFormat/>
    <w:uiPriority w:val="99"/>
    <w:pPr>
      <w:tabs>
        <w:tab w:val="center" w:pos="4153"/>
        <w:tab w:val="right" w:pos="8306"/>
      </w:tabs>
      <w:snapToGrid w:val="0"/>
      <w:jc w:val="left"/>
    </w:pPr>
    <w:rPr>
      <w:sz w:val="18"/>
      <w:szCs w:val="18"/>
    </w:rPr>
  </w:style>
  <w:style w:type="paragraph" w:styleId="11">
    <w:name w:val="header"/>
    <w:basedOn w:val="1"/>
    <w:link w:val="25"/>
    <w:unhideWhenUsed/>
    <w:qFormat/>
    <w:uiPriority w:val="99"/>
    <w:pPr>
      <w:pBdr>
        <w:bottom w:val="single" w:color="auto" w:sz="6" w:space="1"/>
      </w:pBdr>
      <w:tabs>
        <w:tab w:val="center" w:pos="4153"/>
        <w:tab w:val="right" w:pos="8306"/>
      </w:tabs>
      <w:snapToGrid w:val="0"/>
      <w:jc w:val="center"/>
    </w:pPr>
    <w:rPr>
      <w:sz w:val="18"/>
      <w:szCs w:val="18"/>
    </w:rPr>
  </w:style>
  <w:style w:type="paragraph" w:styleId="12">
    <w:name w:val="footnote text"/>
    <w:basedOn w:val="1"/>
    <w:next w:val="13"/>
    <w:qFormat/>
    <w:uiPriority w:val="0"/>
    <w:pPr>
      <w:snapToGrid w:val="0"/>
      <w:jc w:val="left"/>
    </w:pPr>
    <w:rPr>
      <w:rFonts w:hint="eastAsia"/>
      <w:sz w:val="18"/>
    </w:rPr>
  </w:style>
  <w:style w:type="paragraph" w:customStyle="1" w:styleId="13">
    <w:name w:val="正文文本首行缩进 21"/>
    <w:basedOn w:val="14"/>
    <w:qFormat/>
    <w:uiPriority w:val="0"/>
    <w:pPr>
      <w:ind w:firstLine="420" w:firstLineChars="200"/>
    </w:pPr>
  </w:style>
  <w:style w:type="paragraph" w:customStyle="1" w:styleId="14">
    <w:name w:val="正文文本缩进1"/>
    <w:basedOn w:val="1"/>
    <w:next w:val="15"/>
    <w:qFormat/>
    <w:uiPriority w:val="0"/>
    <w:pPr>
      <w:spacing w:line="574" w:lineRule="exact"/>
      <w:ind w:left="400" w:hanging="400" w:hangingChars="400"/>
    </w:pPr>
    <w:rPr>
      <w:rFonts w:eastAsia="仿宋_GB2312"/>
      <w:sz w:val="32"/>
      <w:szCs w:val="32"/>
    </w:rPr>
  </w:style>
  <w:style w:type="paragraph" w:customStyle="1" w:styleId="15">
    <w:name w:val="正文缩进1"/>
    <w:basedOn w:val="1"/>
    <w:qFormat/>
    <w:uiPriority w:val="0"/>
    <w:pPr>
      <w:ind w:firstLine="420"/>
    </w:pPr>
    <w:rPr>
      <w:sz w:val="32"/>
    </w:rPr>
  </w:style>
  <w:style w:type="paragraph" w:styleId="16">
    <w:name w:val="Normal (Web)"/>
    <w:basedOn w:val="1"/>
    <w:qFormat/>
    <w:uiPriority w:val="99"/>
    <w:pPr>
      <w:spacing w:before="100" w:beforeAutospacing="1" w:after="100" w:afterAutospacing="1"/>
      <w:jc w:val="left"/>
    </w:pPr>
    <w:rPr>
      <w:sz w:val="24"/>
      <w:lang w:bidi="ar"/>
    </w:rPr>
  </w:style>
  <w:style w:type="paragraph" w:styleId="17">
    <w:name w:val="Title"/>
    <w:basedOn w:val="1"/>
    <w:next w:val="1"/>
    <w:qFormat/>
    <w:uiPriority w:val="0"/>
    <w:pPr>
      <w:spacing w:before="240" w:beforeLines="0" w:after="60" w:afterLines="0"/>
      <w:jc w:val="left"/>
      <w:outlineLvl w:val="0"/>
    </w:pPr>
    <w:rPr>
      <w:rFonts w:ascii="MS Sans Serif" w:hAnsi="MS Sans Serif" w:eastAsia="宋体" w:cs="MS Sans Serif"/>
      <w:b/>
      <w:bCs/>
      <w:sz w:val="24"/>
      <w:szCs w:val="32"/>
    </w:rPr>
  </w:style>
  <w:style w:type="table" w:styleId="19">
    <w:name w:val="Table Grid"/>
    <w:basedOn w:val="18"/>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1">
    <w:name w:val="Strong"/>
    <w:basedOn w:val="20"/>
    <w:qFormat/>
    <w:uiPriority w:val="0"/>
    <w:rPr>
      <w:b/>
      <w:bCs/>
    </w:rPr>
  </w:style>
  <w:style w:type="character" w:styleId="22">
    <w:name w:val="Hyperlink"/>
    <w:basedOn w:val="20"/>
    <w:qFormat/>
    <w:uiPriority w:val="0"/>
    <w:rPr>
      <w:color w:val="5B677D"/>
      <w:u w:val="none"/>
    </w:rPr>
  </w:style>
  <w:style w:type="paragraph" w:customStyle="1" w:styleId="23">
    <w:name w:val="List Paragraph"/>
    <w:basedOn w:val="1"/>
    <w:unhideWhenUsed/>
    <w:qFormat/>
    <w:uiPriority w:val="99"/>
    <w:pPr>
      <w:ind w:firstLine="420" w:firstLineChars="200"/>
    </w:pPr>
  </w:style>
  <w:style w:type="character" w:customStyle="1" w:styleId="24">
    <w:name w:val="页脚 字符"/>
    <w:basedOn w:val="20"/>
    <w:link w:val="10"/>
    <w:qFormat/>
    <w:uiPriority w:val="99"/>
    <w:rPr>
      <w:sz w:val="18"/>
      <w:szCs w:val="18"/>
    </w:rPr>
  </w:style>
  <w:style w:type="character" w:customStyle="1" w:styleId="25">
    <w:name w:val="页眉 字符"/>
    <w:basedOn w:val="20"/>
    <w:link w:val="11"/>
    <w:qFormat/>
    <w:uiPriority w:val="99"/>
    <w:rPr>
      <w:sz w:val="18"/>
      <w:szCs w:val="18"/>
    </w:rPr>
  </w:style>
  <w:style w:type="paragraph" w:customStyle="1" w:styleId="26">
    <w:name w:val="WPSOffice手动目录 1"/>
    <w:qFormat/>
    <w:uiPriority w:val="0"/>
    <w:pPr>
      <w:ind w:leftChars="0"/>
    </w:pPr>
    <w:rPr>
      <w:rFonts w:asciiTheme="minorHAnsi" w:hAnsiTheme="minorHAnsi" w:eastAsiaTheme="minorEastAsia" w:cstheme="minorBidi"/>
      <w:sz w:val="20"/>
      <w:szCs w:val="20"/>
    </w:rPr>
  </w:style>
  <w:style w:type="paragraph" w:customStyle="1" w:styleId="27">
    <w:name w:val="闻政-正文段落文字"/>
    <w:basedOn w:val="1"/>
    <w:qFormat/>
    <w:uiPriority w:val="3"/>
    <w:pPr>
      <w:spacing w:line="500" w:lineRule="exact"/>
      <w:ind w:firstLine="200"/>
    </w:pPr>
    <w:rPr>
      <w:rFonts w:ascii="Times New Roman" w:hAnsi="Times New Roman" w:cs="Times New Roman"/>
      <w:kern w:val="0"/>
      <w:szCs w:val="28"/>
    </w:rPr>
  </w:style>
  <w:style w:type="paragraph" w:customStyle="1" w:styleId="28">
    <w:name w:val="正文A"/>
    <w:basedOn w:val="1"/>
    <w:qFormat/>
    <w:uiPriority w:val="4"/>
    <w:pPr>
      <w:widowControl/>
      <w:spacing w:line="580" w:lineRule="exact"/>
      <w:ind w:firstLine="640"/>
      <w:jc w:val="left"/>
    </w:pPr>
    <w:rPr>
      <w:rFonts w:ascii="仿宋_GB2312" w:hAnsi="仿宋_GB2312" w:eastAsia="仿宋_GB2312" w:cs="宋体"/>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D:\Users\apple\Library\Containers\com.kingsoft.wpsoffice.mac\Data\E:\2021&#23731;&#26222;&#28246;&#36130;&#25919;&#32489;&#25928;&#35780;&#20215;\2021&#24180;&#39033;&#30446;&#25972;&#20307;&#25253;&#21578;\&#25972;&#20307;&#33258;&#35780;&#25253;&#21578;&#23548;&#20986;.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整体自评报告导出.dotx</Template>
  <Company>市直单位</Company>
  <Pages>9</Pages>
  <Words>4448</Words>
  <Characters>4721</Characters>
  <Lines>7</Lines>
  <Paragraphs>2</Paragraphs>
  <TotalTime>14</TotalTime>
  <ScaleCrop>false</ScaleCrop>
  <LinksUpToDate>false</LinksUpToDate>
  <CharactersWithSpaces>4727</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2021-02-24T22:26:00Z</dcterms:created>
  <dc:creator>ght-pc</dc:creator>
  <cp:lastModifiedBy>布舵</cp:lastModifiedBy>
  <dcterms:modified xsi:type="dcterms:W3CDTF">2024-11-21T03:14:27Z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FA48308C584B4C498E9734F137FE4F69</vt:lpwstr>
  </property>
</Properties>
</file>