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51368">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DB1DCB8">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3BB35455">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6AB6F2D9">
      <w:pPr>
        <w:pStyle w:val="2"/>
        <w:bidi w:val="0"/>
        <w:rPr>
          <w:rFonts w:hint="eastAsia"/>
          <w:color w:val="auto"/>
          <w:highlight w:val="none"/>
          <w:lang w:val="en-US" w:eastAsia="zh-CN"/>
        </w:rPr>
      </w:pPr>
      <w:r>
        <w:rPr>
          <w:rFonts w:hint="eastAsia"/>
          <w:color w:val="auto"/>
          <w:highlight w:val="none"/>
          <w:lang w:val="en-US" w:eastAsia="zh-CN"/>
        </w:rPr>
        <w:t>1.部门主要职能</w:t>
      </w:r>
    </w:p>
    <w:p w14:paraId="19ADBC9D">
      <w:pPr>
        <w:bidi w:val="0"/>
        <w:rPr>
          <w:rFonts w:hint="default"/>
          <w:color w:val="auto"/>
          <w:highlight w:val="none"/>
          <w:lang w:val="en-US" w:eastAsia="zh-CN"/>
        </w:rPr>
      </w:pPr>
      <w:r>
        <w:rPr>
          <w:rFonts w:hint="eastAsia"/>
          <w:color w:val="auto"/>
          <w:highlight w:val="none"/>
          <w:lang w:val="en-US" w:eastAsia="zh-CN"/>
        </w:rPr>
        <w:t>和静县财政局是参照公务员管理的正科级单位。单位主要负责组织执行调节收入分配的财税政策，完善促进社会事业发展的财税政策；承担地区各项财政收支管理责任，负责编制地区本级预决算草案并组织执行；负责组织起草税收政策调整方案，按照管理权限拟订减免税规定和对地区预算影响较大的临时和特殊的地方税减免事项；组织制定地区国库管理制度、国库集中收付制度，按规定开展地区国库现金管理工作，监督管理地方国库资金缴拨使用；拟订和执行地方政府性债务管理制度和办法，负责组织地区地方政府债券管理和使用工作；贯彻执行党和国家金融工作的法律法规、方针政策指导金融机构落实地委、行政公署决策部署，加大对地方经济和社会发展的支持。</w:t>
      </w:r>
    </w:p>
    <w:p w14:paraId="674E0FAC">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3A8BA54D">
      <w:pPr>
        <w:ind w:firstLine="560"/>
        <w:rPr>
          <w:rFonts w:hint="eastAsia" w:eastAsia="仿宋"/>
          <w:color w:val="auto"/>
          <w:highlight w:val="none"/>
          <w:lang w:val="en-US" w:eastAsia="zh-CN"/>
        </w:rPr>
      </w:pPr>
      <w:r>
        <w:rPr>
          <w:rFonts w:hint="eastAsia"/>
          <w:color w:val="auto"/>
          <w:highlight w:val="none"/>
          <w:lang w:val="en-US" w:eastAsia="zh-CN"/>
        </w:rPr>
        <w:t>和静县财政局机构设置：无下属预算单位，内设</w:t>
      </w:r>
      <w:r>
        <w:rPr>
          <w:rFonts w:hint="eastAsia"/>
          <w:color w:val="auto"/>
          <w:szCs w:val="28"/>
          <w:highlight w:val="none"/>
          <w:lang w:val="en-US" w:eastAsia="zh-CN"/>
        </w:rPr>
        <w:t>4</w:t>
      </w:r>
      <w:r>
        <w:rPr>
          <w:rFonts w:hint="eastAsia"/>
          <w:color w:val="auto"/>
          <w:szCs w:val="28"/>
          <w:highlight w:val="none"/>
        </w:rPr>
        <w:t>个内设机构：</w:t>
      </w:r>
      <w:r>
        <w:rPr>
          <w:rFonts w:hint="eastAsia"/>
          <w:color w:val="auto"/>
          <w:szCs w:val="28"/>
          <w:highlight w:val="none"/>
          <w:lang w:eastAsia="zh-CN"/>
        </w:rPr>
        <w:t>分别是</w:t>
      </w:r>
      <w:r>
        <w:rPr>
          <w:color w:val="auto"/>
          <w:highlight w:val="none"/>
        </w:rPr>
        <w:t>预算和资金管理股</w:t>
      </w:r>
      <w:r>
        <w:rPr>
          <w:rFonts w:hint="eastAsia"/>
          <w:color w:val="auto"/>
          <w:highlight w:val="none"/>
          <w:lang w:eastAsia="zh-CN"/>
        </w:rPr>
        <w:t>；</w:t>
      </w:r>
      <w:r>
        <w:rPr>
          <w:color w:val="auto"/>
          <w:highlight w:val="none"/>
        </w:rPr>
        <w:t>国库股</w:t>
      </w:r>
      <w:r>
        <w:rPr>
          <w:rFonts w:hint="eastAsia"/>
          <w:color w:val="auto"/>
          <w:highlight w:val="none"/>
          <w:lang w:eastAsia="zh-CN"/>
        </w:rPr>
        <w:t>；</w:t>
      </w:r>
      <w:r>
        <w:rPr>
          <w:color w:val="auto"/>
          <w:highlight w:val="none"/>
        </w:rPr>
        <w:t>国有资产监督管理股</w:t>
      </w:r>
      <w:r>
        <w:rPr>
          <w:rFonts w:hint="eastAsia"/>
          <w:color w:val="auto"/>
          <w:highlight w:val="none"/>
          <w:lang w:eastAsia="zh-CN"/>
        </w:rPr>
        <w:t>；综合股。</w:t>
      </w:r>
    </w:p>
    <w:p w14:paraId="66FB9CEE">
      <w:pPr>
        <w:bidi w:val="0"/>
        <w:rPr>
          <w:rFonts w:hint="eastAsia"/>
          <w:color w:val="auto"/>
          <w:highlight w:val="none"/>
          <w:lang w:val="en-US" w:eastAsia="zh-CN"/>
        </w:rPr>
      </w:pPr>
      <w:r>
        <w:rPr>
          <w:rFonts w:hint="eastAsia"/>
          <w:color w:val="auto"/>
          <w:highlight w:val="none"/>
          <w:lang w:val="en-US" w:eastAsia="zh-CN"/>
        </w:rPr>
        <w:t>和静县财政局人员总数92名，其中：在职58名，退休34名，离休0名。实有人员92人。</w:t>
      </w:r>
    </w:p>
    <w:p w14:paraId="782AA6FC">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7C2BDBF2">
      <w:pPr>
        <w:bidi w:val="0"/>
        <w:rPr>
          <w:rFonts w:hint="eastAsia"/>
          <w:color w:val="auto"/>
          <w:highlight w:val="none"/>
          <w:lang w:val="en-US" w:eastAsia="zh-CN"/>
        </w:rPr>
      </w:pPr>
      <w:r>
        <w:rPr>
          <w:rFonts w:hint="eastAsia"/>
          <w:color w:val="auto"/>
          <w:highlight w:val="none"/>
          <w:lang w:val="en-US" w:eastAsia="zh-CN"/>
        </w:rPr>
        <w:t>一是加大组织收入力度。按照“依法征收、应收尽收、不征过头税、严禁虚收空转”的原则，加强对重点税源、重点企业和重点税种的征管，确保应收尽收；二是加大风险纳税评估力度，对巴音布鲁克、巩乃斯等旅游景区、矿采选业、黑色金属冶炼业等重点行业纳税评估检查工作，及时追缴查补税款，确保税款应收尽收。三是紧盯重点税源企业的生产经营情况，及时掌握大宗商品最新价格，确保企业税款及时足额入库。四是加强与重点税源企业联系，关注重点企业技改和二期项目进展，紧盯重点税源企业生产、经营情况，及时解决企业困难，确保企业正常入库税款不发生新欠。五是进一步加强库款管理，建立库款预警监控机制。定期对库款进行监控，每天监测国库库款余额，动态分析库款流入流出情况，合理安排支出需求，根据国库库款余额及工资需求等情况，科学调度财政国库资金，切实保障工资发放。六是严格预算执行，优先保障“三保”支出，及时办理全县单位人员经费保障工作。牢固树立过紧日子的思想，多措并举增收节支、大力压减一般性支出，严控“三公”经费，优化财政支出结构，全力保障“三保”预算足额安排，坚决守住基层“三保”底线，确保我县财政平稳健康运行。七是加强预算绩效管理工作。建立由各单位各部门主管领导主抓的工作机制，通过预算绩效的目标、监控、自评、评价等工作，将评价结果绩效评价结果与预算安排挂钩，将政策和项目支出预算绩效与项目资金安排挂钩。达到“预算编制有目标，预算执行有监控、预算完成有评价、评价结果有反馈、反馈结果有应用”的目标。</w:t>
      </w:r>
    </w:p>
    <w:p w14:paraId="0C72FF8A">
      <w:pPr>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FBAC337">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0595B9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A98F97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我单位年初预算数为1297.7万元，实际预算执行数1201.86万元，预算执行率为92.61%。</w:t>
      </w:r>
    </w:p>
    <w:p w14:paraId="4A8A04A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45FD9F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全年预算数为1308.8万元，全年实际支出资金1308.8万元，预算执行率为100%。</w:t>
      </w:r>
    </w:p>
    <w:p w14:paraId="449AAECC">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3412FEAB">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1297.7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11.1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1308.8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0.85</w:t>
      </w:r>
      <w:r>
        <w:rPr>
          <w:rFonts w:hint="eastAsia" w:ascii="Times New Roman" w:hAnsi="Times New Roman" w:cs="Times New Roman"/>
          <w:bCs/>
          <w:color w:val="auto"/>
          <w:highlight w:val="none"/>
          <w:lang w:eastAsia="zh-CN"/>
        </w:rPr>
        <w:t>%。（预算调整率=调整数/年初预算数*100%=0.</w:t>
      </w:r>
      <w:r>
        <w:rPr>
          <w:rFonts w:hint="eastAsia" w:ascii="Times New Roman" w:hAnsi="Times New Roman" w:cs="Times New Roman"/>
          <w:bCs/>
          <w:color w:val="auto"/>
          <w:highlight w:val="none"/>
          <w:lang w:val="en-US" w:eastAsia="zh-CN"/>
        </w:rPr>
        <w:t>85</w:t>
      </w:r>
      <w:r>
        <w:rPr>
          <w:rFonts w:hint="eastAsia" w:ascii="Times New Roman" w:hAnsi="Times New Roman" w:cs="Times New Roman"/>
          <w:bCs/>
          <w:color w:val="auto"/>
          <w:highlight w:val="none"/>
          <w:lang w:eastAsia="zh-CN"/>
        </w:rPr>
        <w:t>%）。</w:t>
      </w:r>
      <w:bookmarkStart w:id="6" w:name="_GoBack"/>
      <w:bookmarkEnd w:id="6"/>
    </w:p>
    <w:p w14:paraId="56F636F6">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1CD5C13D">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1308.8</w:t>
      </w:r>
      <w:r>
        <w:rPr>
          <w:rFonts w:hint="default"/>
          <w:color w:val="auto"/>
          <w:highlight w:val="none"/>
          <w:lang w:val="en-US" w:eastAsia="zh-CN"/>
        </w:rPr>
        <w:t>万元，其中：</w:t>
      </w:r>
    </w:p>
    <w:p w14:paraId="1BA3E32D">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1246.59</w:t>
      </w:r>
      <w:r>
        <w:rPr>
          <w:rFonts w:hint="default"/>
          <w:color w:val="auto"/>
          <w:highlight w:val="none"/>
          <w:lang w:val="en-US" w:eastAsia="zh-CN"/>
        </w:rPr>
        <w:t>万元，资金的使用方向为我单位机关人员经费支出</w:t>
      </w:r>
      <w:r>
        <w:rPr>
          <w:rFonts w:hint="eastAsia"/>
          <w:color w:val="auto"/>
          <w:highlight w:val="none"/>
          <w:lang w:val="en-US" w:eastAsia="zh-CN"/>
        </w:rPr>
        <w:t>1014.22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232.37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234EED7D">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62.22</w:t>
      </w:r>
      <w:r>
        <w:rPr>
          <w:rFonts w:hint="default"/>
          <w:color w:val="auto"/>
          <w:highlight w:val="none"/>
          <w:lang w:val="en-US" w:eastAsia="zh-CN"/>
        </w:rPr>
        <w:t>万元，主要用于保障2023年国有企业退休人员社会化管理补助资金项目、解决历史遗留改革成本支出项目支出。</w:t>
      </w:r>
    </w:p>
    <w:p w14:paraId="7DA96745">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6DC0EDA3">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8EE36F4">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1246.59万元，全年实际支出1246.59万元，资金执行率100%。基本支出严格按照财务管理制度执行，其中：</w:t>
      </w:r>
    </w:p>
    <w:p w14:paraId="64E753EF">
      <w:pPr>
        <w:bidi w:val="0"/>
        <w:rPr>
          <w:rFonts w:hint="eastAsia"/>
          <w:color w:val="auto"/>
          <w:highlight w:val="none"/>
          <w:lang w:val="en-US" w:eastAsia="zh-CN"/>
        </w:rPr>
      </w:pPr>
      <w:r>
        <w:rPr>
          <w:rFonts w:hint="eastAsia"/>
          <w:color w:val="auto"/>
          <w:highlight w:val="none"/>
          <w:lang w:val="en-US" w:eastAsia="zh-CN"/>
        </w:rPr>
        <w:t>人员经费支出1014.22万元，主要包括：基本工资、津贴补贴、奖金、绩效工资、机关事业单位基本养老保险缴费、职业年金缴费、职工基本医疗保险缴费、公务员医疗补助缴费、其他社会保障缴费、住房公积金、其他工资福利支出、退休费、抚恤金、生活补助、医疗费补助、奖励金等。</w:t>
      </w:r>
    </w:p>
    <w:p w14:paraId="0CE10C40">
      <w:pPr>
        <w:bidi w:val="0"/>
        <w:rPr>
          <w:rFonts w:hint="eastAsia"/>
          <w:color w:val="auto"/>
          <w:highlight w:val="none"/>
          <w:lang w:val="en-US" w:eastAsia="zh-CN"/>
        </w:rPr>
      </w:pPr>
      <w:r>
        <w:rPr>
          <w:rFonts w:hint="eastAsia"/>
          <w:color w:val="auto"/>
          <w:highlight w:val="none"/>
          <w:lang w:val="en-US" w:eastAsia="zh-CN"/>
        </w:rPr>
        <w:t>公用经费支出232.37万元，主要包括：办公费、咨询费、印刷费、水费、电费、邮电费、取暖费、物业管理费、差旅费、维修维护费、培训费、公务接待费、工会经费、委托业务费、公务用车运行维护费、办公设备购置、对企业的补助利息补贴支出。</w:t>
      </w:r>
    </w:p>
    <w:p w14:paraId="4BDF8EAA">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553D7CC7">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32342B3B">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项目支出预算62.22</w:t>
      </w:r>
      <w:r>
        <w:rPr>
          <w:rFonts w:hint="eastAsia"/>
          <w:color w:val="auto"/>
          <w:highlight w:val="none"/>
          <w:lang w:eastAsia="zh-CN"/>
        </w:rPr>
        <w:t>万元，</w:t>
      </w:r>
      <w:r>
        <w:rPr>
          <w:rFonts w:hint="eastAsia"/>
          <w:color w:val="auto"/>
          <w:highlight w:val="none"/>
          <w:lang w:val="en-US" w:eastAsia="zh-CN"/>
        </w:rPr>
        <w:t>其中：上级专项资金31.98万元，本级财政资金30.24万元</w:t>
      </w:r>
      <w:r>
        <w:rPr>
          <w:rFonts w:hint="eastAsia"/>
          <w:color w:val="auto"/>
          <w:highlight w:val="none"/>
          <w:lang w:eastAsia="zh-CN"/>
        </w:rPr>
        <w:t>。</w:t>
      </w:r>
    </w:p>
    <w:p w14:paraId="53B86747">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44A9C4BC">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62.22万元，其中：1、2023年国有企业退休人员社会化管理补助资金共31.98万元，通过对国有企业退休人员社会化管理工作移交，使国有企业已退休人员管理服务工作与原企业分离。国有企业不承担移交后的退休人员社会化管理服务费用。按时办理退休人员医保服务工作，管理服务工作与原企业分离，对死亡退休人员家属进行慰问，协助开办追悼会工作有序进行；2、解决历史遗留改革成本支出共30.24万元，通过对6家破产企业85名退休职工医保费和6家改制企业50名退休职工医保费的按时缴纳，达到了彻底解决了和静县破产企业退休人员医疗费保障问题，使他们可以及时就医、住院、看病、报销医疗费等效益，受益企业满意度达到95%。</w:t>
      </w:r>
    </w:p>
    <w:p w14:paraId="62FBE038">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协助退休人员及时办理医疗保险，退休人员待遇享受和领取的相关手续，明确时间节点，确保各项待遇不受影响；跟踪了解退休人员生存状况（新增和死亡），协助领取社会保险待遇资格认证；协助死亡退休人员家属申领丧葬补助金、抚恤金等；管理退休人员人事档案（逐步实现电子化管理），从而提升我县国有企业退休人员的生活保障。</w:t>
      </w:r>
    </w:p>
    <w:p w14:paraId="10633FE5">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2582A53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度安排项目支出资金62.22万元，</w:t>
      </w:r>
      <w:r>
        <w:rPr>
          <w:rFonts w:hint="eastAsia"/>
          <w:color w:val="auto"/>
          <w:highlight w:val="none"/>
          <w:lang w:eastAsia="zh-CN"/>
        </w:rPr>
        <w:t>实际</w:t>
      </w:r>
      <w:r>
        <w:rPr>
          <w:rFonts w:hint="eastAsia"/>
          <w:color w:val="auto"/>
          <w:highlight w:val="none"/>
          <w:lang w:val="en-US" w:eastAsia="zh-CN"/>
        </w:rPr>
        <w:t>支出62.22</w:t>
      </w:r>
      <w:r>
        <w:rPr>
          <w:rFonts w:hint="eastAsia"/>
          <w:color w:val="auto"/>
          <w:highlight w:val="none"/>
          <w:lang w:eastAsia="zh-CN"/>
        </w:rPr>
        <w:t>万元，</w:t>
      </w:r>
      <w:r>
        <w:rPr>
          <w:rFonts w:hint="eastAsia"/>
          <w:color w:val="auto"/>
          <w:highlight w:val="none"/>
          <w:lang w:val="en-US" w:eastAsia="zh-CN"/>
        </w:rPr>
        <w:t>其中：上级专项资金支出31.98万元，本级财政安排项目资金支出30.24万元，项目预算资金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2811FEBA">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包括国有企业退休人员社会化管理费用补贴支出</w:t>
      </w:r>
      <w:r>
        <w:rPr>
          <w:rFonts w:hint="eastAsia"/>
          <w:color w:val="auto"/>
          <w:highlight w:val="none"/>
          <w:lang w:val="en-US" w:eastAsia="zh-CN"/>
        </w:rPr>
        <w:t>31.98</w:t>
      </w:r>
      <w:r>
        <w:rPr>
          <w:rFonts w:hint="default"/>
          <w:color w:val="auto"/>
          <w:highlight w:val="none"/>
          <w:lang w:val="en-US" w:eastAsia="zh-CN"/>
        </w:rPr>
        <w:t>万元，其他解决历史遗留问题及改革成本支出</w:t>
      </w:r>
      <w:r>
        <w:rPr>
          <w:rFonts w:hint="eastAsia"/>
          <w:color w:val="auto"/>
          <w:highlight w:val="none"/>
          <w:lang w:val="en-US" w:eastAsia="zh-CN"/>
        </w:rPr>
        <w:t>30.24</w:t>
      </w:r>
      <w:r>
        <w:rPr>
          <w:rFonts w:hint="default"/>
          <w:color w:val="auto"/>
          <w:highlight w:val="none"/>
          <w:lang w:val="en-US" w:eastAsia="zh-CN"/>
        </w:rPr>
        <w:t>万元</w:t>
      </w:r>
      <w:r>
        <w:rPr>
          <w:rFonts w:hint="eastAsia"/>
          <w:color w:val="auto"/>
          <w:highlight w:val="none"/>
          <w:lang w:val="en-US" w:eastAsia="zh-CN"/>
        </w:rPr>
        <w:t>。</w:t>
      </w:r>
    </w:p>
    <w:bookmarkEnd w:id="2"/>
    <w:p w14:paraId="4CFA4D10">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298C27F4">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4</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52150A6">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45F2F75A">
      <w:pPr>
        <w:bidi w:val="0"/>
        <w:rPr>
          <w:rFonts w:hint="eastAsia"/>
          <w:color w:val="auto"/>
          <w:highlight w:val="none"/>
          <w:lang w:val="en-US" w:eastAsia="zh-CN"/>
        </w:rPr>
      </w:pPr>
      <w:r>
        <w:rPr>
          <w:rFonts w:hint="eastAsia"/>
          <w:color w:val="auto"/>
          <w:highlight w:val="none"/>
          <w:lang w:val="en-US" w:eastAsia="zh-CN"/>
        </w:rPr>
        <w:t>1、项目支出预算执行率指标，年初设定目标值是100%，年中绩效运行监控时完成值7.68%，年终实际完成值是100%，指标完成率是100%，达到项目资金支出专人</w:t>
      </w:r>
      <w:r>
        <w:rPr>
          <w:rFonts w:hint="eastAsia" w:ascii="仿宋_GB2312" w:cs="Times New Roman"/>
          <w:color w:val="auto"/>
          <w:highlight w:val="none"/>
          <w:lang w:val="zh-TW" w:eastAsia="zh-TW"/>
        </w:rPr>
        <w:t>负责落实责任</w:t>
      </w:r>
      <w:r>
        <w:rPr>
          <w:rFonts w:hint="eastAsia" w:cs="Times New Roman"/>
          <w:color w:val="auto"/>
          <w:highlight w:val="none"/>
          <w:lang w:val="zh-TW" w:eastAsia="zh-CN"/>
        </w:rPr>
        <w:t>，</w:t>
      </w:r>
      <w:r>
        <w:rPr>
          <w:rFonts w:hint="eastAsia" w:ascii="仿宋_GB2312" w:cs="Times New Roman"/>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14:paraId="78285F3D">
      <w:pPr>
        <w:pStyle w:val="4"/>
        <w:numPr>
          <w:ilvl w:val="0"/>
          <w:numId w:val="1"/>
        </w:numPr>
        <w:bidi w:val="0"/>
        <w:ind w:left="200" w:leftChars="0" w:firstLineChars="0"/>
        <w:rPr>
          <w:rFonts w:hint="eastAsia" w:ascii="华文楷体" w:hAnsi="华文楷体" w:eastAsia="华文楷体" w:cs="华文楷体"/>
          <w:color w:val="auto"/>
          <w:sz w:val="30"/>
          <w:szCs w:val="30"/>
          <w:highlight w:val="none"/>
          <w:lang w:val="en-US" w:eastAsia="zh-CN"/>
        </w:rPr>
      </w:pPr>
      <w:r>
        <w:rPr>
          <w:rFonts w:hint="eastAsia" w:ascii="华文楷体" w:hAnsi="华文楷体" w:eastAsia="华文楷体" w:cs="华文楷体"/>
          <w:i w:val="0"/>
          <w:color w:val="auto"/>
          <w:kern w:val="0"/>
          <w:sz w:val="30"/>
          <w:szCs w:val="30"/>
          <w:highlight w:val="none"/>
          <w:u w:val="none"/>
          <w:lang w:val="en-US" w:eastAsia="zh-CN" w:bidi="ar"/>
        </w:rPr>
        <w:t>“</w:t>
      </w:r>
      <w:r>
        <w:rPr>
          <w:rFonts w:hint="eastAsia"/>
          <w:color w:val="auto"/>
          <w:highlight w:val="none"/>
          <w:lang w:val="en-US" w:eastAsia="zh-CN"/>
        </w:rPr>
        <w:t>三公经费”控制率指标完成情况分析</w:t>
      </w:r>
    </w:p>
    <w:p w14:paraId="481936E0">
      <w:pPr>
        <w:bidi w:val="0"/>
        <w:rPr>
          <w:rFonts w:hint="eastAsia"/>
          <w:color w:val="auto"/>
          <w:highlight w:val="none"/>
          <w:lang w:eastAsia="zh-CN"/>
        </w:rPr>
      </w:pPr>
      <w:r>
        <w:rPr>
          <w:rFonts w:hint="eastAsia"/>
          <w:color w:val="auto"/>
          <w:highlight w:val="none"/>
          <w:lang w:val="en-US" w:eastAsia="zh-CN"/>
        </w:rPr>
        <w:t>“三公经费”控制率指标，年初设定目标值是100%，年中绩效运行监控时完成值50%，年终实际完成值是100%，指标完成率是100%，认真落实中央八项规定，严格控制“三公经费”支出，达到节约办公经费的预期目标。偏差原因：无偏差。</w:t>
      </w:r>
    </w:p>
    <w:p w14:paraId="2CDA0A4F">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人员经费保障发放及时率指标完成情况分析</w:t>
      </w:r>
    </w:p>
    <w:p w14:paraId="02BEA7E5">
      <w:pPr>
        <w:bidi w:val="0"/>
        <w:rPr>
          <w:rFonts w:hint="eastAsia"/>
          <w:color w:val="auto"/>
          <w:highlight w:val="none"/>
          <w:lang w:val="en-US" w:eastAsia="zh-CN"/>
        </w:rPr>
      </w:pPr>
      <w:r>
        <w:rPr>
          <w:rFonts w:hint="eastAsia"/>
          <w:color w:val="auto"/>
          <w:highlight w:val="none"/>
          <w:lang w:val="en-US" w:eastAsia="zh-CN"/>
        </w:rPr>
        <w:t>人员经费保障发放及时率指标，年初设定目标值是100%，年中绩效运行监控时完成值100%，年终实际完成值是100%，指标完成率是100%，达到优化支出结构，大力压减一般性支出，积极盘活存量资金，全力保障“三保”预算足额安排，坚决守住基层“三保”底线的预期目标。偏差原因：无偏差。</w:t>
      </w:r>
    </w:p>
    <w:p w14:paraId="4D65218D">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预算绩效、预算、决算信息上报及时率指标完成情况分析</w:t>
      </w:r>
    </w:p>
    <w:p w14:paraId="2ABCF7CD">
      <w:pPr>
        <w:bidi w:val="0"/>
        <w:rPr>
          <w:rFonts w:hint="eastAsia"/>
          <w:color w:val="auto"/>
          <w:highlight w:val="none"/>
          <w:lang w:val="en-US" w:eastAsia="zh-CN"/>
        </w:rPr>
      </w:pPr>
      <w:r>
        <w:rPr>
          <w:rFonts w:hint="eastAsia"/>
          <w:color w:val="auto"/>
          <w:highlight w:val="none"/>
          <w:lang w:val="en-US" w:eastAsia="zh-CN"/>
        </w:rPr>
        <w:t>预算绩效、预算、决算信息上报及时率指标，年初设定目标值是100%，年中绩效运行监控时完成值100%，年终实际完成值是100%，指标完成率是100%，达到财政要求预算单位上报的各项工作，各预算单位都能按期完成的预期目标。偏差原因：无偏差。</w:t>
      </w:r>
    </w:p>
    <w:p w14:paraId="1267F340">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办理全县行政事业单位财政统一发放工资及津贴补贴的数据审核工作指标完成情况分析</w:t>
      </w:r>
    </w:p>
    <w:p w14:paraId="18502DFC">
      <w:pPr>
        <w:bidi w:val="0"/>
        <w:rPr>
          <w:rFonts w:hint="eastAsia"/>
          <w:color w:val="auto"/>
          <w:highlight w:val="none"/>
          <w:lang w:val="en-US" w:eastAsia="zh-CN"/>
        </w:rPr>
      </w:pPr>
      <w:r>
        <w:rPr>
          <w:rFonts w:hint="eastAsia"/>
          <w:color w:val="auto"/>
          <w:highlight w:val="none"/>
          <w:lang w:val="en-US" w:eastAsia="zh-CN"/>
        </w:rPr>
        <w:t>办理全县行政事业单位财政统一发放工资及津贴补贴的数据审核工作指标，年初设定目标值是12次，年中绩效运行监控时完成值6次，年终实际完成值是12次，指标完成率是100%。达到了全县行政事业单位在职职工工资的按时足额发放，行政、事业单位的正常运转和社会稳定大局，广大干部职工工作积极性提高的预期目标。偏差原因：无偏差。</w:t>
      </w:r>
    </w:p>
    <w:p w14:paraId="330D7ECF">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财政预、决算和绩效服务单位数量指标完成情况分析</w:t>
      </w:r>
    </w:p>
    <w:p w14:paraId="07E7FEE0">
      <w:pPr>
        <w:bidi w:val="0"/>
        <w:rPr>
          <w:rFonts w:hint="eastAsia"/>
          <w:color w:val="auto"/>
          <w:highlight w:val="none"/>
          <w:lang w:val="en-US" w:eastAsia="zh-CN"/>
        </w:rPr>
      </w:pPr>
      <w:r>
        <w:rPr>
          <w:rFonts w:hint="eastAsia"/>
          <w:color w:val="auto"/>
          <w:highlight w:val="none"/>
          <w:lang w:val="en-US" w:eastAsia="zh-CN"/>
        </w:rPr>
        <w:t>财政预、决算和绩效服务单位数量指标，年初设定目标值是104个，年中绩效运行监控时完成值104个，年终实际完成值是104个指标完成率是100%，达到全县行政事业单位都能按时保质保量地完成预、决算及预算绩效相关工作。偏差原因：无偏差。</w:t>
      </w:r>
    </w:p>
    <w:p w14:paraId="37CF5D2D">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预算单位绩效管理、预决算公开管理合格率（%）指标完成情况分析</w:t>
      </w:r>
    </w:p>
    <w:p w14:paraId="731321EB">
      <w:pPr>
        <w:bidi w:val="0"/>
        <w:rPr>
          <w:rFonts w:hint="eastAsia"/>
          <w:color w:val="auto"/>
          <w:highlight w:val="none"/>
          <w:lang w:val="en-US" w:eastAsia="zh-CN"/>
        </w:rPr>
      </w:pPr>
      <w:r>
        <w:rPr>
          <w:rFonts w:hint="eastAsia"/>
          <w:color w:val="auto"/>
          <w:highlight w:val="none"/>
          <w:lang w:val="en-US" w:eastAsia="zh-CN"/>
        </w:rPr>
        <w:t>预算单位绩效管理、预决算公开管理合格率（%）指标，年初设定目标值是100%，年中绩效运行监控时完成值100%，年终实际完成值是100%，指标完成率是100%，通过聘请第三方机构的培训和审核把关，使单位绩效管理、预决算公开合格率达到100%的预期目标。偏差原因：无偏差。</w:t>
      </w:r>
    </w:p>
    <w:p w14:paraId="139FC372">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4D3F0E58">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40030874">
      <w:pPr>
        <w:bidi w:val="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lang w:val="en-US" w:eastAsia="zh-CN"/>
        </w:rPr>
        <w:t>进一步强化责任意识、树牢底线思维，不折不扣把中央和自治区党委、人民政府的各项“三保”政策落实细化，优化支出</w:t>
      </w:r>
      <w:r>
        <w:rPr>
          <w:rFonts w:hint="eastAsia" w:ascii="Times New Roman" w:hAnsi="Times New Roman" w:cs="Times New Roman"/>
          <w:color w:val="auto"/>
          <w:highlight w:val="none"/>
          <w:lang w:val="en-US" w:eastAsia="zh-CN"/>
        </w:rPr>
        <w:t>结构</w:t>
      </w:r>
      <w:r>
        <w:rPr>
          <w:rFonts w:hint="default" w:ascii="Times New Roman" w:hAnsi="Times New Roman" w:cs="Times New Roman"/>
          <w:color w:val="auto"/>
          <w:highlight w:val="none"/>
          <w:lang w:val="en-US" w:eastAsia="zh-CN"/>
        </w:rPr>
        <w:t>，大力压减一般性支出，积极盘活存量资金，全力保障“三保”预算足额安排，坚决守住</w:t>
      </w:r>
      <w:r>
        <w:rPr>
          <w:rFonts w:hint="eastAsia" w:ascii="Times New Roman" w:hAnsi="Times New Roman" w:cs="Times New Roman"/>
          <w:color w:val="auto"/>
          <w:highlight w:val="none"/>
          <w:lang w:val="en-US" w:eastAsia="zh-CN"/>
        </w:rPr>
        <w:t>基层“三保”底线</w:t>
      </w:r>
      <w:r>
        <w:rPr>
          <w:rFonts w:hint="default" w:ascii="Times New Roman" w:hAnsi="Times New Roman" w:cs="Times New Roman"/>
          <w:color w:val="auto"/>
          <w:highlight w:val="none"/>
          <w:lang w:val="en-US" w:eastAsia="zh-CN"/>
        </w:rPr>
        <w:t>底线，确保地方财政平稳运行。2023年和静县“三保”预算综合财力249026万元，可用财力196710万元。“三保”预算支出127246万元，其中：保基本民生支出30820万元，保工资支出90069万元，保运转支出6357万元。</w:t>
      </w:r>
    </w:p>
    <w:p w14:paraId="2138CA3D">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lang w:val="en-US" w:eastAsia="zh-CN"/>
        </w:rPr>
        <w:t>加强国有企业退休人员管理工作。对我县3737名退休人员纳入国有企业社会化管理服务业务，为退休人员统一缴纳医疗保险，办理丧葬等相关事务，解决了国有企业退休人员的后顾之忧</w:t>
      </w:r>
      <w:r>
        <w:rPr>
          <w:rFonts w:hint="eastAsia" w:ascii="Times New Roman" w:hAnsi="Times New Roman" w:cs="Times New Roman"/>
          <w:color w:val="auto"/>
          <w:highlight w:val="none"/>
          <w:lang w:val="en-US" w:eastAsia="zh-CN"/>
        </w:rPr>
        <w:t>。</w:t>
      </w:r>
    </w:p>
    <w:p w14:paraId="7073E8E3">
      <w:pPr>
        <w:bidi w:val="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3、惠民惠农财政补贴资金总惠及受益群众24288人，补贴兑付率85.86%。我县12个乡镇农户基础信息已全部导入，新“一卡通”系统全面上线运行，“财政牵头、协调联动、齐抓共管、合力推进”的工作格局基本形成，全力保证补贴资金安全、高效、便利发放至各族群众手中。</w:t>
      </w:r>
    </w:p>
    <w:p w14:paraId="67535484">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53C359F2">
      <w:pPr>
        <w:numPr>
          <w:ilvl w:val="0"/>
          <w:numId w:val="2"/>
        </w:numPr>
        <w:bidi w:val="0"/>
        <w:ind w:left="-80" w:leftChars="0" w:firstLineChars="0"/>
        <w:rPr>
          <w:rFonts w:hint="default"/>
          <w:color w:val="auto"/>
          <w:highlight w:val="none"/>
          <w:lang w:val="en-US" w:eastAsia="zh-CN"/>
        </w:rPr>
      </w:pPr>
      <w:r>
        <w:rPr>
          <w:rFonts w:hint="default"/>
          <w:color w:val="auto"/>
          <w:highlight w:val="none"/>
          <w:lang w:val="en-US" w:eastAsia="zh-CN"/>
        </w:rPr>
        <w:t>债务规模大，还本付息压力较大。截至目前，我县政府债务总额为66.50亿元，仅2023年就需化解各类债务11.75亿元，剔除上级转贷（再融资债券）收入3.58亿元后，地方政府还需自筹债务化解资金8.17亿元，而2023年地方财政收入预算仅9.91亿元，自筹债务化解资金已占地方财政预算收入的82%。</w:t>
      </w:r>
    </w:p>
    <w:p w14:paraId="28A5572F">
      <w:pPr>
        <w:numPr>
          <w:ilvl w:val="0"/>
          <w:numId w:val="2"/>
        </w:numPr>
        <w:bidi w:val="0"/>
        <w:ind w:left="-80" w:leftChars="0" w:firstLineChars="0"/>
        <w:rPr>
          <w:rFonts w:hint="default"/>
          <w:color w:val="auto"/>
          <w:highlight w:val="none"/>
          <w:lang w:val="en-US" w:eastAsia="zh-CN"/>
        </w:rPr>
      </w:pPr>
      <w:r>
        <w:rPr>
          <w:rFonts w:hint="default"/>
          <w:color w:val="auto"/>
          <w:highlight w:val="none"/>
          <w:lang w:val="en-US" w:eastAsia="zh-CN"/>
        </w:rPr>
        <w:t>刚性支出较大。近年来为保障“三保”、临聘人员支出，保障维护稳定、疫情防控、重特大项目、债务化解等刚性支出，地方财政增收不抵增支，支出结构优化调整难，财政资金保障不足，长期处于保重点、保应急支出状态，收支矛盾愈加突出，严重影响财政正常运行和预算执行。</w:t>
      </w:r>
    </w:p>
    <w:p w14:paraId="328D3B92">
      <w:pPr>
        <w:numPr>
          <w:ilvl w:val="0"/>
          <w:numId w:val="2"/>
        </w:numPr>
        <w:bidi w:val="0"/>
        <w:ind w:left="-80" w:leftChars="0" w:firstLineChars="0"/>
        <w:rPr>
          <w:rFonts w:hint="default"/>
          <w:color w:val="auto"/>
          <w:highlight w:val="none"/>
          <w:lang w:val="en-US" w:eastAsia="zh-CN"/>
        </w:rPr>
      </w:pPr>
      <w:r>
        <w:rPr>
          <w:rFonts w:hint="default"/>
          <w:color w:val="auto"/>
          <w:highlight w:val="none"/>
          <w:lang w:val="en-US" w:eastAsia="zh-CN"/>
        </w:rPr>
        <w:t>预算绩效管理工作存在的问题。一是部分领导重视程度还有待提高。部门单位没有引起足够的重视，绩效意识淡薄，承担主体责任不够，落实质量不高，被动配合、消极应对的现象普遍，财政“单边作战”局面需从上级层面改善；二是预算绩效评价结果不彻底、应用水平不足。目前预算绩效评价结果质量低，预算绩效管理执行力度弱，进而影响到整体的项目评价结果</w:t>
      </w:r>
      <w:r>
        <w:rPr>
          <w:rFonts w:hint="eastAsia"/>
          <w:color w:val="auto"/>
          <w:highlight w:val="none"/>
          <w:lang w:val="en-US" w:eastAsia="zh-CN"/>
        </w:rPr>
        <w:t>。</w:t>
      </w:r>
    </w:p>
    <w:p w14:paraId="3B745939">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3C710744">
      <w:pPr>
        <w:numPr>
          <w:ilvl w:val="0"/>
          <w:numId w:val="3"/>
        </w:numPr>
        <w:bidi w:val="0"/>
        <w:ind w:left="-80" w:leftChars="0" w:firstLineChars="0"/>
        <w:rPr>
          <w:rFonts w:hint="default"/>
          <w:color w:val="auto"/>
          <w:highlight w:val="none"/>
          <w:lang w:val="en-US" w:eastAsia="zh-CN"/>
        </w:rPr>
      </w:pPr>
      <w:r>
        <w:rPr>
          <w:rFonts w:hint="default"/>
          <w:color w:val="auto"/>
          <w:highlight w:val="none"/>
          <w:lang w:val="en-US" w:eastAsia="zh-CN"/>
        </w:rPr>
        <w:t>依法从紧控制债务增长，遏制增量，化解存量，进一步降低存量债务规模。通过加快产业发展、增加固定资产投资、加大税费追缴和清欠力度、加大招商引资力度、盘活存量资金和资产等方式，增加财政收入，化解存量债务。按照“四个一律”的要求，在项目审批时，将项目资金来源作为前置程序，无资金来源的项目一律不予审批，从源头上杜绝新增债务。</w:t>
      </w:r>
    </w:p>
    <w:p w14:paraId="42AA1D2B">
      <w:pPr>
        <w:numPr>
          <w:ilvl w:val="0"/>
          <w:numId w:val="3"/>
        </w:numPr>
        <w:bidi w:val="0"/>
        <w:ind w:left="-80" w:leftChars="0" w:firstLineChars="0"/>
        <w:rPr>
          <w:rFonts w:hint="default"/>
          <w:color w:val="auto"/>
          <w:highlight w:val="none"/>
          <w:lang w:val="en-US" w:eastAsia="zh-CN"/>
        </w:rPr>
      </w:pPr>
      <w:r>
        <w:rPr>
          <w:rFonts w:hint="default"/>
          <w:color w:val="auto"/>
          <w:highlight w:val="none"/>
          <w:lang w:val="en-US" w:eastAsia="zh-CN"/>
        </w:rPr>
        <w:t>在保证“三保”支出的前提下，严格控制“三公”经费、会议费等支出，压减临聘人员，减少一般性财政支出，不断优化支出结构，重点保障重大政策支出，真正将财政资金用在刀刃上。强化预算执行监督管理，按照牢固树立“过紧日子”的思想，坚持厉行节约，多措并举增收节支、优化财政支出结构，大力压减一般性支出。进一步加强库款管理和“三保”监测工作，坚持“三保”支出在财政支出中的优先地位。规范临聘人员管理，合理控制临聘人员数量，建立临聘人员实名制</w:t>
      </w:r>
      <w:r>
        <w:rPr>
          <w:rFonts w:hint="eastAsia"/>
          <w:color w:val="auto"/>
          <w:highlight w:val="none"/>
          <w:lang w:val="en-US" w:eastAsia="zh-CN"/>
        </w:rPr>
        <w:t>管理台账</w:t>
      </w:r>
      <w:r>
        <w:rPr>
          <w:rFonts w:hint="default"/>
          <w:color w:val="auto"/>
          <w:highlight w:val="none"/>
          <w:lang w:val="en-US" w:eastAsia="zh-CN"/>
        </w:rPr>
        <w:t>，实行动态管理，对临聘人员进行全面梳理，强力推进临聘人员优化，停止各类临聘人员招聘，整合压减临时聘用人员，采取只出不进的办法压缩数量，确保临聘人员数量只减不增。</w:t>
      </w:r>
    </w:p>
    <w:p w14:paraId="24660A98">
      <w:pPr>
        <w:spacing w:line="360" w:lineRule="auto"/>
        <w:ind w:firstLine="560" w:firstLineChars="200"/>
        <w:rPr>
          <w:rFonts w:hint="eastAsia" w:eastAsia="仿宋"/>
          <w:color w:val="auto"/>
          <w:highlight w:val="none"/>
          <w:lang w:val="en-US" w:eastAsia="zh-CN"/>
        </w:rPr>
      </w:pPr>
      <w:r>
        <w:rPr>
          <w:rFonts w:hint="eastAsia"/>
          <w:color w:val="auto"/>
          <w:highlight w:val="none"/>
          <w:lang w:val="en-US" w:eastAsia="zh-CN"/>
        </w:rPr>
        <w:t>3</w:t>
      </w:r>
      <w:r>
        <w:rPr>
          <w:rFonts w:hint="default"/>
          <w:color w:val="auto"/>
          <w:highlight w:val="none"/>
          <w:lang w:val="en-US" w:eastAsia="zh-CN"/>
        </w:rPr>
        <w:t>、</w:t>
      </w:r>
      <w:r>
        <w:rPr>
          <w:rFonts w:hint="eastAsia" w:ascii="仿宋_GB2312"/>
          <w:color w:val="auto"/>
          <w:highlight w:val="none"/>
        </w:rPr>
        <w:t>我单位需进一步强化预算绩效管理工作，</w:t>
      </w:r>
      <w:r>
        <w:rPr>
          <w:rFonts w:hint="eastAsia" w:ascii="仿宋_GB2312"/>
          <w:color w:val="auto"/>
          <w:highlight w:val="none"/>
          <w:lang w:val="en-US" w:eastAsia="zh-CN"/>
        </w:rPr>
        <w:t>加强绩效目标设置管理，减少数据偏差，严格按照合同约定支付款项，提高项目预算的准确性，</w:t>
      </w:r>
      <w:r>
        <w:rPr>
          <w:rFonts w:hint="eastAsia" w:ascii="仿宋_GB2312"/>
          <w:color w:val="auto"/>
          <w:highlight w:val="none"/>
        </w:rPr>
        <w:t>切实落实</w:t>
      </w:r>
      <w:r>
        <w:rPr>
          <w:rFonts w:hint="eastAsia" w:ascii="仿宋_GB2312"/>
          <w:color w:val="auto"/>
          <w:highlight w:val="none"/>
          <w:lang w:eastAsia="zh-CN"/>
        </w:rPr>
        <w:t>到个人的</w:t>
      </w:r>
      <w:r>
        <w:rPr>
          <w:rFonts w:hint="eastAsia" w:ascii="仿宋_GB2312"/>
          <w:color w:val="auto"/>
          <w:highlight w:val="none"/>
        </w:rPr>
        <w:t>主体责任、明确职责，增强预算绩效管理的刚性，强化评</w:t>
      </w:r>
      <w:r>
        <w:rPr>
          <w:rFonts w:hint="eastAsia" w:ascii="仿宋_GB2312"/>
          <w:color w:val="auto"/>
          <w:highlight w:val="none"/>
          <w:lang w:eastAsia="zh-CN"/>
        </w:rPr>
        <w:t>价</w:t>
      </w:r>
      <w:r>
        <w:rPr>
          <w:rFonts w:hint="eastAsia" w:ascii="仿宋_GB2312"/>
          <w:color w:val="auto"/>
          <w:highlight w:val="none"/>
        </w:rPr>
        <w:t>结果的落实。落实预算执行分析，及时了解预算执行差异，</w:t>
      </w:r>
      <w:r>
        <w:rPr>
          <w:rFonts w:hint="eastAsia" w:ascii="仿宋_GB2312"/>
          <w:color w:val="auto"/>
          <w:highlight w:val="none"/>
          <w:lang w:val="zh-TW" w:eastAsia="zh-TW"/>
        </w:rPr>
        <w:t>把绩效监控工作列入重要议事日程，并提高项目资金使用效益的重要手段，切实抓紧抓好。</w:t>
      </w:r>
    </w:p>
    <w:p w14:paraId="3FBFA0AF">
      <w:pPr>
        <w:pStyle w:val="3"/>
        <w:bidi w:val="0"/>
        <w:rPr>
          <w:rFonts w:hint="default"/>
          <w:color w:val="auto"/>
          <w:highlight w:val="none"/>
          <w:lang w:val="en-US" w:eastAsia="zh-CN"/>
        </w:rPr>
      </w:pPr>
      <w:r>
        <w:rPr>
          <w:rFonts w:hint="eastAsia"/>
          <w:color w:val="auto"/>
          <w:highlight w:val="none"/>
          <w:lang w:val="en-US" w:eastAsia="zh-CN"/>
        </w:rPr>
        <w:t>七、附件上传</w:t>
      </w:r>
    </w:p>
    <w:p w14:paraId="3A698107">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89AFD">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1E36DE9F">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A77B6D"/>
    <w:multiLevelType w:val="singleLevel"/>
    <w:tmpl w:val="21A77B6D"/>
    <w:lvl w:ilvl="0" w:tentative="0">
      <w:start w:val="2"/>
      <w:numFmt w:val="chineseCounting"/>
      <w:suff w:val="nothing"/>
      <w:lvlText w:val="（%1）"/>
      <w:lvlJc w:val="left"/>
      <w:pPr>
        <w:ind w:left="200"/>
      </w:pPr>
      <w:rPr>
        <w:rFonts w:hint="eastAsia"/>
      </w:rPr>
    </w:lvl>
  </w:abstractNum>
  <w:abstractNum w:abstractNumId="1">
    <w:nsid w:val="25D30F95"/>
    <w:multiLevelType w:val="singleLevel"/>
    <w:tmpl w:val="25D30F95"/>
    <w:lvl w:ilvl="0" w:tentative="0">
      <w:start w:val="1"/>
      <w:numFmt w:val="decimal"/>
      <w:suff w:val="nothing"/>
      <w:lvlText w:val="%1、"/>
      <w:lvlJc w:val="left"/>
      <w:pPr>
        <w:ind w:left="-80"/>
      </w:pPr>
    </w:lvl>
  </w:abstractNum>
  <w:abstractNum w:abstractNumId="2">
    <w:nsid w:val="70A56955"/>
    <w:multiLevelType w:val="singleLevel"/>
    <w:tmpl w:val="70A56955"/>
    <w:lvl w:ilvl="0" w:tentative="0">
      <w:start w:val="1"/>
      <w:numFmt w:val="decimal"/>
      <w:suff w:val="nothing"/>
      <w:lvlText w:val="%1、"/>
      <w:lvlJc w:val="left"/>
      <w:pPr>
        <w:ind w:left="-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33C5747"/>
    <w:rsid w:val="049413F7"/>
    <w:rsid w:val="04DB4953"/>
    <w:rsid w:val="04FF0482"/>
    <w:rsid w:val="05062887"/>
    <w:rsid w:val="05464D81"/>
    <w:rsid w:val="05F70F85"/>
    <w:rsid w:val="0607573C"/>
    <w:rsid w:val="06547701"/>
    <w:rsid w:val="072B19D6"/>
    <w:rsid w:val="084208C4"/>
    <w:rsid w:val="098A3C0A"/>
    <w:rsid w:val="09A24E4E"/>
    <w:rsid w:val="0A406ADB"/>
    <w:rsid w:val="0A9A7091"/>
    <w:rsid w:val="0C6738B8"/>
    <w:rsid w:val="0C810C45"/>
    <w:rsid w:val="0E7D784C"/>
    <w:rsid w:val="10300946"/>
    <w:rsid w:val="10464C65"/>
    <w:rsid w:val="10FE60D7"/>
    <w:rsid w:val="134F7771"/>
    <w:rsid w:val="13E513B9"/>
    <w:rsid w:val="158C5316"/>
    <w:rsid w:val="15B904C0"/>
    <w:rsid w:val="162F6FD3"/>
    <w:rsid w:val="165C118C"/>
    <w:rsid w:val="16C0142F"/>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1F40323"/>
    <w:rsid w:val="22E14253"/>
    <w:rsid w:val="23931BB2"/>
    <w:rsid w:val="23963D49"/>
    <w:rsid w:val="23F209A3"/>
    <w:rsid w:val="2403516E"/>
    <w:rsid w:val="24967953"/>
    <w:rsid w:val="256A2A9E"/>
    <w:rsid w:val="27F7226E"/>
    <w:rsid w:val="2805537E"/>
    <w:rsid w:val="289437EE"/>
    <w:rsid w:val="297873DB"/>
    <w:rsid w:val="29F35E61"/>
    <w:rsid w:val="2A285817"/>
    <w:rsid w:val="2B6F150A"/>
    <w:rsid w:val="2BB557CB"/>
    <w:rsid w:val="2BC51751"/>
    <w:rsid w:val="2D166684"/>
    <w:rsid w:val="2EBF757D"/>
    <w:rsid w:val="301F6CB9"/>
    <w:rsid w:val="306920D3"/>
    <w:rsid w:val="313A1C72"/>
    <w:rsid w:val="31927D00"/>
    <w:rsid w:val="31AE39CE"/>
    <w:rsid w:val="31B60703"/>
    <w:rsid w:val="31B83F5F"/>
    <w:rsid w:val="31FE4DE3"/>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8B0A95"/>
    <w:rsid w:val="3F301058"/>
    <w:rsid w:val="409F314A"/>
    <w:rsid w:val="417A34F9"/>
    <w:rsid w:val="418810F4"/>
    <w:rsid w:val="41A37673"/>
    <w:rsid w:val="42174764"/>
    <w:rsid w:val="423558DC"/>
    <w:rsid w:val="42503F5E"/>
    <w:rsid w:val="42C30950"/>
    <w:rsid w:val="459B4F7E"/>
    <w:rsid w:val="45A65C7F"/>
    <w:rsid w:val="45B00AA4"/>
    <w:rsid w:val="45F13359"/>
    <w:rsid w:val="468C2A4A"/>
    <w:rsid w:val="46AD2493"/>
    <w:rsid w:val="46EC7F14"/>
    <w:rsid w:val="47A60892"/>
    <w:rsid w:val="47CA7D9C"/>
    <w:rsid w:val="47DB3D58"/>
    <w:rsid w:val="48194880"/>
    <w:rsid w:val="48AF4C7F"/>
    <w:rsid w:val="49B841F0"/>
    <w:rsid w:val="4A5B46DD"/>
    <w:rsid w:val="4A6F6A56"/>
    <w:rsid w:val="4A81677A"/>
    <w:rsid w:val="4B3B5348"/>
    <w:rsid w:val="4DA177B2"/>
    <w:rsid w:val="4DA370C6"/>
    <w:rsid w:val="4DF36D4F"/>
    <w:rsid w:val="4ECF3512"/>
    <w:rsid w:val="501B7C76"/>
    <w:rsid w:val="504D5CCF"/>
    <w:rsid w:val="511A2CA6"/>
    <w:rsid w:val="533A7469"/>
    <w:rsid w:val="53526129"/>
    <w:rsid w:val="538B4CD8"/>
    <w:rsid w:val="53A21BCD"/>
    <w:rsid w:val="54394F3D"/>
    <w:rsid w:val="556B3B8E"/>
    <w:rsid w:val="565F61A9"/>
    <w:rsid w:val="56AD4B11"/>
    <w:rsid w:val="57232FC4"/>
    <w:rsid w:val="572D2326"/>
    <w:rsid w:val="57365691"/>
    <w:rsid w:val="59EE1E48"/>
    <w:rsid w:val="5A490F5C"/>
    <w:rsid w:val="5B20234E"/>
    <w:rsid w:val="5B805E16"/>
    <w:rsid w:val="5BD21464"/>
    <w:rsid w:val="5BDE2B83"/>
    <w:rsid w:val="5C777282"/>
    <w:rsid w:val="5DA257BC"/>
    <w:rsid w:val="5DA6321D"/>
    <w:rsid w:val="61635F72"/>
    <w:rsid w:val="618606C5"/>
    <w:rsid w:val="6224402D"/>
    <w:rsid w:val="6384067A"/>
    <w:rsid w:val="638D125E"/>
    <w:rsid w:val="6396333E"/>
    <w:rsid w:val="63E114D3"/>
    <w:rsid w:val="695A4336"/>
    <w:rsid w:val="6AD46D46"/>
    <w:rsid w:val="6B07083C"/>
    <w:rsid w:val="6B623CC4"/>
    <w:rsid w:val="6B6C65E0"/>
    <w:rsid w:val="6BBA45F0"/>
    <w:rsid w:val="6C2B67AC"/>
    <w:rsid w:val="6DE07909"/>
    <w:rsid w:val="6E58438A"/>
    <w:rsid w:val="6E7066F8"/>
    <w:rsid w:val="6E9D5508"/>
    <w:rsid w:val="6F871359"/>
    <w:rsid w:val="70CB3475"/>
    <w:rsid w:val="711B7F18"/>
    <w:rsid w:val="71EB22B3"/>
    <w:rsid w:val="72010FA6"/>
    <w:rsid w:val="733F48EB"/>
    <w:rsid w:val="74212849"/>
    <w:rsid w:val="744C1D4E"/>
    <w:rsid w:val="748A4F72"/>
    <w:rsid w:val="74961819"/>
    <w:rsid w:val="750156C9"/>
    <w:rsid w:val="750202C6"/>
    <w:rsid w:val="75664078"/>
    <w:rsid w:val="761E4132"/>
    <w:rsid w:val="77343D29"/>
    <w:rsid w:val="78061A79"/>
    <w:rsid w:val="79181486"/>
    <w:rsid w:val="7AFE508C"/>
    <w:rsid w:val="7B2561EC"/>
    <w:rsid w:val="7BC003CA"/>
    <w:rsid w:val="7CBF4BB4"/>
    <w:rsid w:val="7CE2497D"/>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Indent"/>
    <w:basedOn w:val="1"/>
    <w:next w:val="10"/>
    <w:qFormat/>
    <w:uiPriority w:val="0"/>
    <w:pPr>
      <w:ind w:firstLine="600" w:firstLineChars="200"/>
    </w:pPr>
    <w:rPr>
      <w:rFonts w:eastAsia="仿宋_GB2312"/>
      <w:sz w:val="30"/>
      <w:szCs w:val="20"/>
    </w:rPr>
  </w:style>
  <w:style w:type="paragraph" w:styleId="10">
    <w:name w:val="Body Text Indent 2"/>
    <w:basedOn w:val="1"/>
    <w:qFormat/>
    <w:uiPriority w:val="0"/>
    <w:pPr>
      <w:widowControl w:val="0"/>
      <w:spacing w:line="480" w:lineRule="auto"/>
      <w:ind w:left="420" w:leftChars="200"/>
      <w:jc w:val="both"/>
    </w:pPr>
    <w:rPr>
      <w:rFonts w:ascii="Calibri" w:hAnsi="Calibri" w:eastAsia="宋体" w:cs="Times New Roman"/>
      <w:kern w:val="2"/>
      <w:sz w:val="21"/>
      <w:szCs w:val="24"/>
      <w:lang w:val="en-US" w:eastAsia="zh-CN" w:bidi="ar-SA"/>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5294</Words>
  <Characters>5651</Characters>
  <Lines>7</Lines>
  <Paragraphs>2</Paragraphs>
  <TotalTime>13</TotalTime>
  <ScaleCrop>false</ScaleCrop>
  <LinksUpToDate>false</LinksUpToDate>
  <CharactersWithSpaces>5651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2024-11-21T03:13:29Z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