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969F4">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60A924F4">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D227823">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45305F82">
      <w:pPr>
        <w:pStyle w:val="4"/>
        <w:bidi w:val="0"/>
        <w:rPr>
          <w:rFonts w:hint="eastAsia"/>
          <w:color w:val="auto"/>
          <w:highlight w:val="none"/>
          <w:lang w:val="en-US" w:eastAsia="zh-CN"/>
        </w:rPr>
      </w:pPr>
      <w:r>
        <w:rPr>
          <w:rFonts w:hint="eastAsia"/>
          <w:color w:val="auto"/>
          <w:highlight w:val="none"/>
          <w:lang w:val="en-US" w:eastAsia="zh-CN"/>
        </w:rPr>
        <w:t>1.部门主要职能</w:t>
      </w:r>
    </w:p>
    <w:p w14:paraId="627C54DB">
      <w:pPr>
        <w:bidi w:val="0"/>
        <w:rPr>
          <w:rFonts w:hint="eastAsia"/>
          <w:color w:val="auto"/>
          <w:highlight w:val="none"/>
        </w:rPr>
      </w:pPr>
      <w:r>
        <w:rPr>
          <w:rFonts w:hint="eastAsia"/>
          <w:color w:val="auto"/>
          <w:highlight w:val="none"/>
          <w:lang w:val="en-US" w:eastAsia="zh-CN"/>
        </w:rPr>
        <w:t>和静县本级和静县司法局</w:t>
      </w:r>
      <w:r>
        <w:rPr>
          <w:rFonts w:hint="eastAsia"/>
          <w:color w:val="auto"/>
          <w:highlight w:val="none"/>
        </w:rPr>
        <w:t>为参照公务员管理的正科级单位，主要职责是：</w:t>
      </w:r>
    </w:p>
    <w:p w14:paraId="6B887937">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贯彻执行国家司法行政工作的法律法规和方针政策；参与县域规章的制定工作；编制全县司法行政工作规划和年度计划；负责指导基层司法所工作；参与社会治安综合治理工作。</w:t>
      </w:r>
    </w:p>
    <w:p w14:paraId="258E07A2">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负责全县法制宣传和依法治县工作，拟订相关规划并组织实施；指导各镇（街道办）、各行业和基层依法治理工作。</w:t>
      </w:r>
    </w:p>
    <w:p w14:paraId="0B39DC07">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负责指导监督全县律师工作，监督管理社会法律服务机构，维护法律服务市场秩序。</w:t>
      </w:r>
    </w:p>
    <w:p w14:paraId="6A72E067">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管理全县公证机构，指导、监督公证业务活动。</w:t>
      </w:r>
    </w:p>
    <w:p w14:paraId="71B0DF68">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指导、管理全县法律援助工作。</w:t>
      </w:r>
    </w:p>
    <w:p w14:paraId="242A55B8">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指导、管理全县基层人民调解和基层法律服务工作。</w:t>
      </w:r>
    </w:p>
    <w:p w14:paraId="698F5525">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负责仲裁机构登记前的审核工作。</w:t>
      </w:r>
    </w:p>
    <w:p w14:paraId="1985326C">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负责全县司法行政系统执法规范化工作。</w:t>
      </w:r>
    </w:p>
    <w:p w14:paraId="67B9221C">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指导全县司法行政系统的队伍建设和思想政治工作。</w:t>
      </w:r>
    </w:p>
    <w:p w14:paraId="060BFFB8">
      <w:pPr>
        <w:numPr>
          <w:ilvl w:val="0"/>
          <w:numId w:val="1"/>
        </w:numPr>
        <w:ind w:left="0" w:leftChars="0" w:firstLine="560" w:firstLineChars="200"/>
        <w:rPr>
          <w:rFonts w:hint="eastAsia"/>
          <w:color w:val="auto"/>
          <w:highlight w:val="none"/>
          <w:lang w:val="en-US" w:eastAsia="zh-CN"/>
        </w:rPr>
      </w:pPr>
      <w:r>
        <w:rPr>
          <w:rFonts w:hint="eastAsia"/>
          <w:color w:val="auto"/>
          <w:highlight w:val="none"/>
          <w:lang w:val="en-US" w:eastAsia="zh-CN"/>
        </w:rPr>
        <w:t>负责全县司法行政系统计划、财务、装备及后勤保障工作。</w:t>
      </w:r>
    </w:p>
    <w:p w14:paraId="0292683C">
      <w:pPr>
        <w:numPr>
          <w:ilvl w:val="0"/>
          <w:numId w:val="1"/>
        </w:numPr>
        <w:ind w:left="0" w:leftChars="0" w:firstLine="560" w:firstLineChars="200"/>
        <w:rPr>
          <w:rFonts w:hint="eastAsia"/>
          <w:color w:val="auto"/>
          <w:highlight w:val="none"/>
          <w:lang w:val="en-US" w:eastAsia="zh-CN"/>
        </w:rPr>
      </w:pPr>
      <w:r>
        <w:rPr>
          <w:rFonts w:hint="eastAsia"/>
          <w:color w:val="auto"/>
          <w:highlight w:val="none"/>
          <w:lang w:val="en-US" w:eastAsia="zh-CN"/>
        </w:rPr>
        <w:t>组织实施法学教育，负责全县政法干部、普法骨干和法律服务人员的法律业务培训。</w:t>
      </w:r>
    </w:p>
    <w:p w14:paraId="7C1AAE0C">
      <w:pPr>
        <w:numPr>
          <w:ilvl w:val="0"/>
          <w:numId w:val="1"/>
        </w:numPr>
        <w:ind w:left="0" w:leftChars="0" w:firstLine="560" w:firstLineChars="200"/>
        <w:rPr>
          <w:rFonts w:hint="eastAsia"/>
          <w:color w:val="auto"/>
          <w:highlight w:val="none"/>
          <w:lang w:val="en-US" w:eastAsia="zh-CN"/>
        </w:rPr>
      </w:pPr>
      <w:r>
        <w:rPr>
          <w:rFonts w:hint="eastAsia"/>
          <w:color w:val="auto"/>
          <w:highlight w:val="none"/>
          <w:lang w:val="en-US" w:eastAsia="zh-CN"/>
        </w:rPr>
        <w:t>指导、管理全县社区矫正日常工作；指导、协调全县有关部门、镇政府（街道办）开展对刑满释放人员的安置帮教工作。</w:t>
      </w:r>
    </w:p>
    <w:p w14:paraId="5CA3192C">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14:paraId="00E93F6A">
      <w:pPr>
        <w:bidi w:val="0"/>
        <w:rPr>
          <w:rFonts w:hint="eastAsia"/>
          <w:color w:val="auto"/>
          <w:highlight w:val="none"/>
          <w:lang w:val="en-US" w:eastAsia="zh-CN"/>
        </w:rPr>
      </w:pPr>
      <w:r>
        <w:rPr>
          <w:rFonts w:hint="eastAsia"/>
          <w:color w:val="auto"/>
          <w:highlight w:val="none"/>
          <w:lang w:val="en-US" w:eastAsia="zh-CN"/>
        </w:rPr>
        <w:t>和静县</w:t>
      </w:r>
      <w:r>
        <w:rPr>
          <w:rFonts w:hint="eastAsia"/>
          <w:color w:val="auto"/>
          <w:highlight w:val="none"/>
          <w:lang w:eastAsia="zh-CN"/>
        </w:rPr>
        <w:t>司法局</w:t>
      </w:r>
      <w:r>
        <w:rPr>
          <w:rFonts w:hint="eastAsia"/>
          <w:color w:val="auto"/>
          <w:highlight w:val="none"/>
        </w:rPr>
        <w:t>设有</w:t>
      </w:r>
      <w:r>
        <w:rPr>
          <w:rFonts w:hint="eastAsia"/>
          <w:color w:val="auto"/>
          <w:highlight w:val="none"/>
          <w:lang w:val="en-US" w:eastAsia="zh-CN"/>
        </w:rPr>
        <w:t>6</w:t>
      </w:r>
      <w:r>
        <w:rPr>
          <w:rFonts w:hint="eastAsia"/>
          <w:color w:val="auto"/>
          <w:highlight w:val="none"/>
        </w:rPr>
        <w:t>个内设机构：行政办、法制宣传股、矫正教育股、</w:t>
      </w:r>
      <w:r>
        <w:rPr>
          <w:rFonts w:hint="eastAsia"/>
          <w:color w:val="auto"/>
          <w:highlight w:val="none"/>
          <w:lang w:eastAsia="zh-CN"/>
        </w:rPr>
        <w:t>执法监督</w:t>
      </w:r>
      <w:r>
        <w:rPr>
          <w:rFonts w:hint="eastAsia"/>
          <w:color w:val="auto"/>
          <w:highlight w:val="none"/>
        </w:rPr>
        <w:t>股、行政复议股、公共法律服务管理股。司法局派出机构</w:t>
      </w:r>
      <w:r>
        <w:rPr>
          <w:rFonts w:hint="eastAsia"/>
          <w:color w:val="auto"/>
          <w:highlight w:val="none"/>
          <w:lang w:val="en-US" w:eastAsia="zh-CN"/>
        </w:rPr>
        <w:t>12</w:t>
      </w:r>
      <w:r>
        <w:rPr>
          <w:rFonts w:hint="eastAsia"/>
          <w:color w:val="auto"/>
          <w:highlight w:val="none"/>
        </w:rPr>
        <w:t>个基层司法所</w:t>
      </w:r>
      <w:r>
        <w:rPr>
          <w:rFonts w:hint="eastAsia"/>
          <w:color w:val="auto"/>
          <w:highlight w:val="none"/>
          <w:lang w:eastAsia="zh-CN"/>
        </w:rPr>
        <w:t>，</w:t>
      </w:r>
      <w:r>
        <w:rPr>
          <w:rFonts w:hint="eastAsia"/>
          <w:color w:val="auto"/>
          <w:highlight w:val="none"/>
          <w:lang w:val="en-US" w:eastAsia="zh-CN"/>
        </w:rPr>
        <w:t>分别是和静镇司法所、乃门莫敦司法所、协比乃尔布呼司法所、巴润哈尔莫敦司法所、哈尔莫敦司法所、额勒乌鲁再特司法所、巴伦台司法所、克尔古提司法所、阿拉沟司法所、巴音布鲁克司法所、巩乃斯司法所、巴音郭楞司法所。和静县司法局人员总数60名，其中：在职39名，退休21名，离休0名。实有人员60人。</w:t>
      </w:r>
    </w:p>
    <w:p w14:paraId="0573C5C4">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1C4C0A72">
      <w:pPr>
        <w:pStyle w:val="15"/>
        <w:numPr>
          <w:ilvl w:val="0"/>
          <w:numId w:val="2"/>
        </w:numPr>
        <w:spacing w:before="0" w:beforeAutospacing="0" w:after="0" w:afterAutospacing="0"/>
        <w:ind w:firstLine="672"/>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制定全县</w:t>
      </w:r>
      <w:r>
        <w:rPr>
          <w:rFonts w:hint="eastAsia" w:cs="仿宋_GB2312"/>
          <w:color w:val="auto"/>
          <w:kern w:val="2"/>
          <w:sz w:val="28"/>
          <w:szCs w:val="24"/>
          <w:highlight w:val="none"/>
          <w:lang w:val="en-US" w:eastAsia="zh-CN" w:bidi="ar-SA"/>
        </w:rPr>
        <w:t>法治宣传教育</w:t>
      </w:r>
      <w:r>
        <w:rPr>
          <w:rFonts w:hint="eastAsia" w:ascii="仿宋_GB2312" w:hAnsi="仿宋_GB2312" w:eastAsia="仿宋" w:cs="仿宋_GB2312"/>
          <w:color w:val="auto"/>
          <w:kern w:val="2"/>
          <w:sz w:val="28"/>
          <w:szCs w:val="24"/>
          <w:highlight w:val="none"/>
          <w:lang w:val="en-US" w:eastAsia="zh-CN" w:bidi="ar-SA"/>
        </w:rPr>
        <w:t>和普及法律常识规划并实施；指导全县的普法依法治理工作和</w:t>
      </w:r>
      <w:r>
        <w:rPr>
          <w:rFonts w:hint="eastAsia" w:cs="仿宋_GB2312"/>
          <w:color w:val="auto"/>
          <w:kern w:val="2"/>
          <w:sz w:val="28"/>
          <w:szCs w:val="24"/>
          <w:highlight w:val="none"/>
          <w:lang w:val="en-US" w:eastAsia="zh-CN" w:bidi="ar-SA"/>
        </w:rPr>
        <w:t>全县</w:t>
      </w:r>
      <w:r>
        <w:rPr>
          <w:rFonts w:hint="eastAsia" w:ascii="仿宋_GB2312" w:hAnsi="仿宋_GB2312" w:eastAsia="仿宋" w:cs="仿宋_GB2312"/>
          <w:color w:val="auto"/>
          <w:kern w:val="2"/>
          <w:sz w:val="28"/>
          <w:szCs w:val="24"/>
          <w:highlight w:val="none"/>
          <w:lang w:val="en-US" w:eastAsia="zh-CN" w:bidi="ar-SA"/>
        </w:rPr>
        <w:t>法治</w:t>
      </w:r>
      <w:r>
        <w:rPr>
          <w:rFonts w:hint="eastAsia" w:cs="仿宋_GB2312"/>
          <w:color w:val="auto"/>
          <w:kern w:val="2"/>
          <w:sz w:val="28"/>
          <w:szCs w:val="24"/>
          <w:highlight w:val="none"/>
          <w:lang w:val="en-US" w:eastAsia="zh-CN" w:bidi="ar-SA"/>
        </w:rPr>
        <w:t>政府</w:t>
      </w:r>
      <w:r>
        <w:rPr>
          <w:rFonts w:hint="eastAsia" w:ascii="仿宋_GB2312" w:hAnsi="仿宋_GB2312" w:eastAsia="仿宋" w:cs="仿宋_GB2312"/>
          <w:color w:val="auto"/>
          <w:kern w:val="2"/>
          <w:sz w:val="28"/>
          <w:szCs w:val="24"/>
          <w:highlight w:val="none"/>
          <w:lang w:val="en-US" w:eastAsia="zh-CN" w:bidi="ar-SA"/>
        </w:rPr>
        <w:t>创建工作，参与社会治安综合治理工作；</w:t>
      </w:r>
    </w:p>
    <w:p w14:paraId="4B2C357E">
      <w:pPr>
        <w:pStyle w:val="15"/>
        <w:numPr>
          <w:ilvl w:val="0"/>
          <w:numId w:val="2"/>
        </w:numPr>
        <w:spacing w:before="0" w:beforeAutospacing="0" w:after="0" w:afterAutospacing="0"/>
        <w:ind w:firstLine="672"/>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指导管理基层司法所和人民调解、社区矫正、行政执法及安置帮教工作；负责指导监督全县律师工作和公证工作并承担相应责任。</w:t>
      </w:r>
    </w:p>
    <w:p w14:paraId="3801F543">
      <w:pPr>
        <w:pStyle w:val="15"/>
        <w:numPr>
          <w:ilvl w:val="0"/>
          <w:numId w:val="2"/>
        </w:numPr>
        <w:spacing w:before="0" w:beforeAutospacing="0" w:after="0" w:afterAutospacing="0"/>
        <w:ind w:firstLine="672"/>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指导和管理全县公共法律服务工作；监督管理全县法律援助工作；管理全县司法行政系统的财务装备和队伍建设。</w:t>
      </w:r>
    </w:p>
    <w:p w14:paraId="6AEE13A8">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3A480DDF">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791BA1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0727BB5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我单位年初预算数为872.12万元，实际预算执行数872.12万元，预算执行率为100%。</w:t>
      </w:r>
    </w:p>
    <w:p w14:paraId="53C0E42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213DBE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全年预算数为973.22万元，全年实际支出资金973.22万元，预算执行率为100%。</w:t>
      </w:r>
    </w:p>
    <w:p w14:paraId="57859D3D">
      <w:pPr>
        <w:pStyle w:val="4"/>
        <w:bidi w:val="0"/>
        <w:rPr>
          <w:rFonts w:hint="eastAsia"/>
          <w:color w:val="auto"/>
          <w:highlight w:val="none"/>
          <w:lang w:val="en-US" w:eastAsia="zh-CN"/>
        </w:rPr>
      </w:pPr>
      <w:r>
        <w:rPr>
          <w:rFonts w:hint="eastAsia"/>
          <w:color w:val="auto"/>
          <w:highlight w:val="none"/>
          <w:lang w:val="en-US" w:eastAsia="zh-CN"/>
        </w:rPr>
        <w:t>2.预算调整（追加减）情况</w:t>
      </w:r>
    </w:p>
    <w:p w14:paraId="5C20686C">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872.12</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100.98</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973.10</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11.57</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11.57</w:t>
      </w:r>
      <w:r>
        <w:rPr>
          <w:rFonts w:hint="eastAsia" w:ascii="Times New Roman" w:hAnsi="Times New Roman" w:cs="Times New Roman"/>
          <w:bCs/>
          <w:color w:val="auto"/>
          <w:highlight w:val="none"/>
          <w:lang w:eastAsia="zh-CN"/>
        </w:rPr>
        <w:t>%）。</w:t>
      </w:r>
    </w:p>
    <w:p w14:paraId="5D68D112">
      <w:pPr>
        <w:pStyle w:val="4"/>
        <w:rPr>
          <w:rFonts w:hint="default"/>
          <w:color w:val="auto"/>
          <w:highlight w:val="none"/>
          <w:lang w:val="en-US" w:eastAsia="zh-CN"/>
        </w:rPr>
      </w:pPr>
      <w:r>
        <w:rPr>
          <w:rFonts w:hint="default"/>
          <w:color w:val="auto"/>
          <w:highlight w:val="none"/>
          <w:lang w:val="en-US" w:eastAsia="zh-CN"/>
        </w:rPr>
        <w:t>3.资金使用主要内容、涉及的范围</w:t>
      </w:r>
    </w:p>
    <w:p w14:paraId="6C262726">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973.10</w:t>
      </w:r>
      <w:r>
        <w:rPr>
          <w:rFonts w:hint="default"/>
          <w:color w:val="auto"/>
          <w:highlight w:val="none"/>
          <w:lang w:val="en-US" w:eastAsia="zh-CN"/>
        </w:rPr>
        <w:t>万元，其中：</w:t>
      </w:r>
    </w:p>
    <w:p w14:paraId="59214412">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799.80</w:t>
      </w:r>
      <w:r>
        <w:rPr>
          <w:rFonts w:hint="default"/>
          <w:color w:val="auto"/>
          <w:highlight w:val="none"/>
          <w:lang w:val="en-US" w:eastAsia="zh-CN"/>
        </w:rPr>
        <w:t>万元，资金的使用方向为我单位机关人员经费支出</w:t>
      </w:r>
      <w:r>
        <w:rPr>
          <w:rFonts w:hint="eastAsia"/>
          <w:color w:val="auto"/>
          <w:highlight w:val="none"/>
          <w:lang w:val="en-US" w:eastAsia="zh-CN"/>
        </w:rPr>
        <w:t>730.22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69.58</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3475DD56">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173.30</w:t>
      </w:r>
      <w:r>
        <w:rPr>
          <w:rFonts w:hint="default"/>
          <w:color w:val="auto"/>
          <w:highlight w:val="none"/>
          <w:lang w:val="en-US" w:eastAsia="zh-CN"/>
        </w:rPr>
        <w:t>万元，主要用于保障</w:t>
      </w:r>
      <w:r>
        <w:rPr>
          <w:rFonts w:hint="eastAsia"/>
          <w:color w:val="auto"/>
          <w:highlight w:val="none"/>
          <w:lang w:val="en-US" w:eastAsia="zh-CN"/>
        </w:rPr>
        <w:t>中央政法纪检监察转移支付资金</w:t>
      </w:r>
      <w:r>
        <w:rPr>
          <w:rFonts w:hint="default"/>
          <w:color w:val="auto"/>
          <w:highlight w:val="none"/>
          <w:lang w:val="en-US" w:eastAsia="zh-CN"/>
        </w:rPr>
        <w:t>项目</w:t>
      </w:r>
      <w:r>
        <w:rPr>
          <w:rFonts w:hint="eastAsia"/>
          <w:color w:val="auto"/>
          <w:highlight w:val="none"/>
          <w:lang w:val="en-US" w:eastAsia="zh-CN"/>
        </w:rPr>
        <w:t>，</w:t>
      </w:r>
      <w:r>
        <w:rPr>
          <w:rFonts w:hint="default"/>
          <w:color w:val="auto"/>
          <w:highlight w:val="none"/>
          <w:lang w:val="en-US" w:eastAsia="zh-CN"/>
        </w:rPr>
        <w:t>和静、哈尔莫敦、拉布润、红彤彤监控项目等项目支出。</w:t>
      </w:r>
    </w:p>
    <w:p w14:paraId="5416318D">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10FBE1DF">
      <w:pPr>
        <w:pStyle w:val="3"/>
        <w:bidi w:val="0"/>
        <w:rPr>
          <w:rFonts w:hint="eastAsia"/>
          <w:color w:val="auto"/>
          <w:highlight w:val="none"/>
          <w:lang w:val="en-US" w:eastAsia="zh-CN"/>
        </w:rPr>
      </w:pPr>
      <w:r>
        <w:rPr>
          <w:rFonts w:hint="eastAsia"/>
          <w:color w:val="auto"/>
          <w:highlight w:val="none"/>
          <w:lang w:val="en-US" w:eastAsia="zh-CN"/>
        </w:rPr>
        <w:t>（一）基本支出和使用情况</w:t>
      </w:r>
    </w:p>
    <w:p w14:paraId="43CCD74D">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799.80万元，全年实际支出799.80万元，资金执行率100%。基本支出严格按照财务管理制度执行，其中：</w:t>
      </w:r>
    </w:p>
    <w:p w14:paraId="5EF7F23F">
      <w:pPr>
        <w:bidi w:val="0"/>
        <w:rPr>
          <w:rFonts w:hint="eastAsia"/>
          <w:color w:val="auto"/>
          <w:highlight w:val="none"/>
          <w:lang w:val="en-US" w:eastAsia="zh-CN"/>
        </w:rPr>
      </w:pPr>
      <w:r>
        <w:rPr>
          <w:rFonts w:hint="eastAsia"/>
          <w:color w:val="auto"/>
          <w:highlight w:val="none"/>
          <w:lang w:val="en-US" w:eastAsia="zh-CN"/>
        </w:rPr>
        <w:t>人员经费支出730.22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6D1364FD">
      <w:pPr>
        <w:bidi w:val="0"/>
        <w:rPr>
          <w:rFonts w:hint="eastAsia"/>
          <w:color w:val="auto"/>
          <w:highlight w:val="none"/>
          <w:lang w:val="en-US" w:eastAsia="zh-CN"/>
        </w:rPr>
      </w:pPr>
      <w:r>
        <w:rPr>
          <w:rFonts w:hint="eastAsia"/>
          <w:color w:val="auto"/>
          <w:highlight w:val="none"/>
          <w:lang w:val="en-US" w:eastAsia="zh-CN"/>
        </w:rPr>
        <w:t>公用经费支出69.58万元，主要包括：办公费、印刷费、水费、电费、邮电费、取暖费、物业管理费、差旅费、培训费、公务接待费、工会经费、福利费、公务用车运行维护费、其他交通费用、其他商品和服务支出。</w:t>
      </w:r>
    </w:p>
    <w:p w14:paraId="40471FFC">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14:paraId="408689F0">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14:paraId="753FF0CF">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项目支出预算173.30</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其中：上级专项资金139.83万元，本级财政资金33.47万元</w:t>
      </w:r>
      <w:r>
        <w:rPr>
          <w:rFonts w:hint="eastAsia"/>
          <w:color w:val="auto"/>
          <w:highlight w:val="none"/>
          <w:lang w:eastAsia="zh-CN"/>
        </w:rPr>
        <w:t>。</w:t>
      </w:r>
    </w:p>
    <w:p w14:paraId="6430583B">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14:paraId="4B7845F5">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173.30万元，其中办案业务经费128万元、业务装备经费47万元、法律援助经费11万元，必接必送经费6.3万元。</w:t>
      </w:r>
    </w:p>
    <w:p w14:paraId="6A5C6969">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（2）项目实施组织管理情况。我单位项目实施和资金使用分配坚持集体决策。对中央政法纪检监察转移支付资金</w:t>
      </w:r>
      <w:r>
        <w:rPr>
          <w:rFonts w:hint="default"/>
          <w:color w:val="auto"/>
          <w:highlight w:val="none"/>
          <w:lang w:val="en-US" w:eastAsia="zh-CN"/>
        </w:rPr>
        <w:t>项目</w:t>
      </w:r>
      <w:r>
        <w:rPr>
          <w:rFonts w:hint="eastAsia"/>
          <w:color w:val="auto"/>
          <w:highlight w:val="none"/>
          <w:lang w:val="en-US" w:eastAsia="zh-CN"/>
        </w:rPr>
        <w:t>制订工作方案，明确时间节点，开展项目规划设计、部署工作，认真落实项目任务。工作中突出重点，严格按照中央政法转纪检监察移支付资金的规定保障司法局办案业务经费128万元、业务装备经费47万元、法律援助经费11万元，必接必送经费6.3万元等支出。</w:t>
      </w:r>
    </w:p>
    <w:p w14:paraId="2811C8FF">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309F9FE5">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度安排项目支出资金173.30万元，</w:t>
      </w:r>
      <w:r>
        <w:rPr>
          <w:rFonts w:hint="eastAsia"/>
          <w:color w:val="auto"/>
          <w:highlight w:val="none"/>
          <w:lang w:eastAsia="zh-CN"/>
        </w:rPr>
        <w:t>实际</w:t>
      </w:r>
      <w:r>
        <w:rPr>
          <w:rFonts w:hint="eastAsia"/>
          <w:color w:val="auto"/>
          <w:highlight w:val="none"/>
          <w:lang w:val="en-US" w:eastAsia="zh-CN"/>
        </w:rPr>
        <w:t>支出173.30</w:t>
      </w:r>
      <w:r>
        <w:rPr>
          <w:rFonts w:hint="eastAsia"/>
          <w:color w:val="auto"/>
          <w:highlight w:val="none"/>
          <w:lang w:eastAsia="zh-CN"/>
        </w:rPr>
        <w:t>万元，</w:t>
      </w:r>
      <w:r>
        <w:rPr>
          <w:rFonts w:hint="eastAsia"/>
          <w:color w:val="auto"/>
          <w:highlight w:val="none"/>
          <w:lang w:val="en-US" w:eastAsia="zh-CN"/>
        </w:rPr>
        <w:t>其中：上级专项资金支出139.83万元，本级财政安排项目资金支出33.47万元，项目预算资金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001F78EE">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包括公共安全支出</w:t>
      </w:r>
      <w:r>
        <w:rPr>
          <w:rFonts w:hint="eastAsia"/>
          <w:color w:val="auto"/>
          <w:highlight w:val="none"/>
          <w:lang w:val="en-US" w:eastAsia="zh-CN"/>
        </w:rPr>
        <w:t>173.30</w:t>
      </w:r>
      <w:r>
        <w:rPr>
          <w:rFonts w:hint="default"/>
          <w:color w:val="auto"/>
          <w:highlight w:val="none"/>
          <w:lang w:val="en-US" w:eastAsia="zh-CN"/>
        </w:rPr>
        <w:t>万元</w:t>
      </w:r>
      <w:r>
        <w:rPr>
          <w:rFonts w:hint="eastAsia"/>
          <w:color w:val="auto"/>
          <w:highlight w:val="none"/>
          <w:lang w:val="en-US" w:eastAsia="zh-CN"/>
        </w:rPr>
        <w:t>。</w:t>
      </w:r>
    </w:p>
    <w:bookmarkEnd w:id="2"/>
    <w:p w14:paraId="40392DB9">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15BD0C8">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个，二级指标</w:t>
      </w:r>
      <w:r>
        <w:rPr>
          <w:rFonts w:hint="eastAsia"/>
          <w:color w:val="auto"/>
          <w:highlight w:val="none"/>
          <w:lang w:val="en-US" w:eastAsia="zh-CN"/>
        </w:rPr>
        <w:t>15</w:t>
      </w:r>
      <w:r>
        <w:rPr>
          <w:rFonts w:hint="eastAsia"/>
          <w:color w:val="auto"/>
          <w:highlight w:val="none"/>
        </w:rPr>
        <w:t>个，三级指标</w:t>
      </w:r>
      <w:r>
        <w:rPr>
          <w:rFonts w:hint="eastAsia"/>
          <w:color w:val="auto"/>
          <w:highlight w:val="none"/>
          <w:lang w:val="en-US" w:eastAsia="zh-CN"/>
        </w:rPr>
        <w:t>15</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15</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3566B6EF">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1D6324C4">
      <w:pPr>
        <w:bidi w:val="0"/>
        <w:ind w:left="0" w:leftChars="0" w:firstLine="560" w:firstLineChars="20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项目支出预算执行率指标年初设定目标是=100%，年中绩效运行监控时完成值31.95%，年终实际完成值是100%，指标完成率是100%，我单位严格按照项目的使用规定，今年项目资金使用率达到100%。偏差原因：无偏差。</w:t>
      </w:r>
    </w:p>
    <w:p w14:paraId="1A25CE5A">
      <w:pPr>
        <w:pStyle w:val="2"/>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（二）“三公经费”控制率指标完成情况分析</w:t>
      </w:r>
    </w:p>
    <w:p w14:paraId="2B4FC183">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“三公经费”控制率指标年初设定目标是=100%，年中绩效运行监控时完成值100%，年终实际完成值是100%，指标完成率是100%，我单位2023年无三公经费支出，严格按照上级要求严控三公经费支出。偏差原因：无偏差。</w:t>
      </w:r>
    </w:p>
    <w:p w14:paraId="34E87108">
      <w:pPr>
        <w:pStyle w:val="3"/>
        <w:bidi w:val="0"/>
        <w:rPr>
          <w:rFonts w:hint="eastAsia"/>
          <w:color w:val="auto"/>
          <w:highlight w:val="none"/>
          <w:lang w:val="en-US" w:eastAsia="zh-CN"/>
        </w:rPr>
      </w:pPr>
      <w:r>
        <w:rPr>
          <w:rFonts w:hint="eastAsia"/>
          <w:color w:val="auto"/>
          <w:highlight w:val="none"/>
          <w:lang w:val="en-US" w:eastAsia="zh-CN"/>
        </w:rPr>
        <w:t>（三）</w:t>
      </w:r>
      <w:r>
        <w:rPr>
          <w:rFonts w:hint="eastAsia" w:ascii="Arial" w:hAnsi="Arial" w:eastAsia="楷体_GB2312" w:cs="仿宋_GB2312"/>
          <w:b/>
          <w:bCs w:val="0"/>
          <w:color w:val="auto"/>
          <w:kern w:val="2"/>
          <w:sz w:val="32"/>
          <w:szCs w:val="24"/>
          <w:highlight w:val="none"/>
          <w:lang w:val="en-US" w:eastAsia="zh-CN" w:bidi="ar-SA"/>
        </w:rPr>
        <w:t>行政执法监督检查时限指标完成情况分析</w:t>
      </w:r>
    </w:p>
    <w:p w14:paraId="32EF5B22">
      <w:pPr>
        <w:bidi w:val="0"/>
        <w:rPr>
          <w:rFonts w:hint="eastAsia"/>
          <w:color w:val="auto"/>
          <w:highlight w:val="none"/>
          <w:lang w:val="en-US" w:eastAsia="zh-CN"/>
        </w:rPr>
      </w:pPr>
      <w:r>
        <w:rPr>
          <w:rFonts w:hint="eastAsia"/>
          <w:color w:val="auto"/>
          <w:highlight w:val="none"/>
          <w:lang w:val="en-US" w:eastAsia="zh-CN"/>
        </w:rPr>
        <w:t>行政执法监督检查时限指标年初设定目标是≦10月，年中绩效运行监控时完成值6月，年终实际完成值是10月，指标完成率是100%，今年10月之前开展</w:t>
      </w:r>
      <w:r>
        <w:rPr>
          <w:rFonts w:hint="eastAsia" w:ascii="方正仿宋_GBK" w:hAnsi="方正仿宋_GBK" w:eastAsia="方正仿宋_GBK" w:cs="方正仿宋_GBK"/>
          <w:color w:val="auto"/>
          <w:spacing w:val="11"/>
          <w:sz w:val="30"/>
          <w:szCs w:val="30"/>
          <w:highlight w:val="none"/>
          <w:lang w:eastAsia="zh-CN"/>
        </w:rPr>
        <w:t>行政执法案卷评查</w:t>
      </w:r>
      <w:r>
        <w:rPr>
          <w:rFonts w:hint="eastAsia" w:ascii="方正仿宋_GBK" w:hAnsi="方正仿宋_GBK" w:eastAsia="方正仿宋_GBK" w:cs="方正仿宋_GBK"/>
          <w:color w:val="auto"/>
          <w:spacing w:val="11"/>
          <w:sz w:val="30"/>
          <w:szCs w:val="30"/>
          <w:highlight w:val="none"/>
          <w:lang w:val="en-US" w:eastAsia="zh-CN"/>
        </w:rPr>
        <w:t>2次，评查重点案卷60余卷，督促各行政执法单位积极整改相关档案</w:t>
      </w:r>
      <w:r>
        <w:rPr>
          <w:rFonts w:hint="eastAsia"/>
          <w:color w:val="auto"/>
          <w:highlight w:val="none"/>
          <w:lang w:val="en-US" w:eastAsia="zh-CN"/>
        </w:rPr>
        <w:t>。偏差原因：无偏差。</w:t>
      </w:r>
    </w:p>
    <w:p w14:paraId="13E3CBCC">
      <w:pPr>
        <w:pStyle w:val="3"/>
        <w:bidi w:val="0"/>
        <w:rPr>
          <w:rFonts w:hint="eastAsia"/>
          <w:color w:val="auto"/>
          <w:highlight w:val="none"/>
          <w:lang w:val="en-US" w:eastAsia="zh-CN"/>
        </w:rPr>
      </w:pPr>
      <w:r>
        <w:rPr>
          <w:rFonts w:hint="eastAsia"/>
          <w:color w:val="auto"/>
          <w:highlight w:val="none"/>
          <w:lang w:val="en-US" w:eastAsia="zh-CN"/>
        </w:rPr>
        <w:t>（四）</w:t>
      </w:r>
      <w:r>
        <w:rPr>
          <w:rFonts w:hint="eastAsia" w:ascii="Arial" w:hAnsi="Arial" w:eastAsia="楷体_GB2312" w:cs="仿宋_GB2312"/>
          <w:b/>
          <w:bCs w:val="0"/>
          <w:color w:val="auto"/>
          <w:kern w:val="2"/>
          <w:sz w:val="32"/>
          <w:szCs w:val="24"/>
          <w:highlight w:val="none"/>
          <w:lang w:val="en-US" w:eastAsia="zh-CN" w:bidi="ar-SA"/>
        </w:rPr>
        <w:t>行政执法人员培训人次指标完成情况分析</w:t>
      </w:r>
    </w:p>
    <w:p w14:paraId="29F1201C">
      <w:pPr>
        <w:bidi w:val="0"/>
        <w:rPr>
          <w:rFonts w:hint="eastAsia"/>
          <w:color w:val="auto"/>
          <w:highlight w:val="none"/>
          <w:lang w:val="en-US" w:eastAsia="zh-CN"/>
        </w:rPr>
      </w:pPr>
      <w:r>
        <w:rPr>
          <w:rFonts w:hint="eastAsia"/>
          <w:color w:val="auto"/>
          <w:highlight w:val="none"/>
          <w:lang w:val="en-US" w:eastAsia="zh-CN"/>
        </w:rPr>
        <w:t>行政执法人员培训人次指标年初设定目标是&gt;=500人次，年中绩效运行监控时完成值500人次，年终实际完成值是540人次，指标完成率是108%，全年对全县270名行政执法人员进行了2次培训，培训人次达到540人次，提高行政执法人员的执法能力。偏差原因：无偏差。</w:t>
      </w:r>
    </w:p>
    <w:p w14:paraId="4DCDB59F">
      <w:pPr>
        <w:pStyle w:val="3"/>
        <w:bidi w:val="0"/>
        <w:rPr>
          <w:rFonts w:hint="eastAsia"/>
          <w:color w:val="auto"/>
          <w:highlight w:val="none"/>
          <w:lang w:val="en-US" w:eastAsia="zh-CN"/>
        </w:rPr>
      </w:pPr>
      <w:r>
        <w:rPr>
          <w:rFonts w:hint="eastAsia"/>
          <w:color w:val="auto"/>
          <w:highlight w:val="none"/>
          <w:lang w:val="en-US" w:eastAsia="zh-CN"/>
        </w:rPr>
        <w:t>（五）</w:t>
      </w:r>
      <w:r>
        <w:rPr>
          <w:rFonts w:hint="eastAsia" w:ascii="Arial" w:hAnsi="Arial" w:eastAsia="楷体_GB2312" w:cs="仿宋_GB2312"/>
          <w:b/>
          <w:bCs w:val="0"/>
          <w:color w:val="auto"/>
          <w:kern w:val="2"/>
          <w:sz w:val="32"/>
          <w:szCs w:val="24"/>
          <w:highlight w:val="none"/>
          <w:lang w:val="en-US" w:eastAsia="zh-CN" w:bidi="ar-SA"/>
        </w:rPr>
        <w:t>提供法律咨询人次指标完成情况分析</w:t>
      </w:r>
    </w:p>
    <w:p w14:paraId="3D7DC3B1">
      <w:pPr>
        <w:bidi w:val="0"/>
        <w:rPr>
          <w:rFonts w:hint="eastAsia" w:eastAsia="仿宋"/>
          <w:color w:val="auto"/>
          <w:highlight w:val="none"/>
          <w:lang w:val="en-US" w:eastAsia="zh-CN"/>
        </w:rPr>
      </w:pPr>
      <w:r>
        <w:rPr>
          <w:rFonts w:hint="eastAsia"/>
          <w:color w:val="auto"/>
          <w:highlight w:val="none"/>
          <w:lang w:val="en-US" w:eastAsia="zh-CN"/>
        </w:rPr>
        <w:t>提供法律咨询人次指标年初设定目标是&gt;=200人次，年中绩效运行监控时完成值120人次，年终实际完成值240人次，指标完成率是120%，和静县司法局全年的提供法律咨询240人次，满足社会群众的法律服务。偏差原因：年初设定目标对上年预计不足。下一步措施：根据上年实际完成值预估一定百分比填写年初目标值。</w:t>
      </w:r>
    </w:p>
    <w:p w14:paraId="4CD30646">
      <w:pPr>
        <w:pStyle w:val="3"/>
        <w:bidi w:val="0"/>
        <w:rPr>
          <w:rFonts w:hint="eastAsia"/>
          <w:color w:val="auto"/>
          <w:highlight w:val="none"/>
          <w:lang w:val="en-US" w:eastAsia="zh-CN"/>
        </w:rPr>
      </w:pPr>
      <w:r>
        <w:rPr>
          <w:rFonts w:hint="eastAsia"/>
          <w:color w:val="auto"/>
          <w:highlight w:val="none"/>
          <w:lang w:val="en-US" w:eastAsia="zh-CN"/>
        </w:rPr>
        <w:t>（六）人民调解案件数量指标</w:t>
      </w:r>
      <w:r>
        <w:rPr>
          <w:rFonts w:hint="eastAsia" w:ascii="Arial" w:hAnsi="Arial" w:eastAsia="楷体_GB2312" w:cs="仿宋_GB2312"/>
          <w:b/>
          <w:bCs w:val="0"/>
          <w:color w:val="auto"/>
          <w:kern w:val="2"/>
          <w:sz w:val="32"/>
          <w:szCs w:val="24"/>
          <w:highlight w:val="none"/>
          <w:lang w:val="en-US" w:eastAsia="zh-CN" w:bidi="ar-SA"/>
        </w:rPr>
        <w:t>完成情况分析</w:t>
      </w:r>
    </w:p>
    <w:p w14:paraId="5025A203">
      <w:pPr>
        <w:bidi w:val="0"/>
        <w:rPr>
          <w:rFonts w:hint="eastAsia"/>
          <w:color w:val="auto"/>
          <w:highlight w:val="none"/>
          <w:lang w:val="en-US" w:eastAsia="zh-CN"/>
        </w:rPr>
      </w:pPr>
      <w:r>
        <w:rPr>
          <w:rFonts w:hint="eastAsia"/>
          <w:color w:val="auto"/>
          <w:highlight w:val="none"/>
          <w:lang w:val="en-US" w:eastAsia="zh-CN"/>
        </w:rPr>
        <w:t>人民调解案件数量指标年初设定目标是&gt;=1000人次，年中绩效运行监控时完成值800人次，年终实际完成值3999人次，指标完成率是399.9%，办理人民调解案件3999件，调解成功3799，将大多数矛盾化解在基层，促进辖区社会稳定。偏差原因：由于年初设定目标时没有根据上年完成数填写目标数。下一步措施：根据上年实际完成值预估一定百分比填写年初目标值。</w:t>
      </w:r>
    </w:p>
    <w:p w14:paraId="06385B81">
      <w:pPr>
        <w:pStyle w:val="3"/>
        <w:bidi w:val="0"/>
        <w:rPr>
          <w:rFonts w:hint="eastAsia"/>
          <w:color w:val="auto"/>
          <w:highlight w:val="none"/>
          <w:lang w:val="en-US" w:eastAsia="zh-CN"/>
        </w:rPr>
      </w:pPr>
      <w:r>
        <w:rPr>
          <w:rFonts w:hint="eastAsia"/>
          <w:color w:val="auto"/>
          <w:highlight w:val="none"/>
          <w:lang w:val="en-US" w:eastAsia="zh-CN"/>
        </w:rPr>
        <w:t>（七）办理法律援助案件数量指标</w:t>
      </w:r>
      <w:r>
        <w:rPr>
          <w:rFonts w:hint="eastAsia" w:ascii="Arial" w:hAnsi="Arial" w:eastAsia="楷体_GB2312" w:cs="仿宋_GB2312"/>
          <w:b/>
          <w:bCs w:val="0"/>
          <w:color w:val="auto"/>
          <w:kern w:val="2"/>
          <w:sz w:val="32"/>
          <w:szCs w:val="24"/>
          <w:highlight w:val="none"/>
          <w:lang w:val="en-US" w:eastAsia="zh-CN" w:bidi="ar-SA"/>
        </w:rPr>
        <w:t>完成情况分析</w:t>
      </w:r>
    </w:p>
    <w:p w14:paraId="088ABD53">
      <w:pPr>
        <w:bidi w:val="0"/>
        <w:rPr>
          <w:rFonts w:hint="eastAsia"/>
          <w:color w:val="auto"/>
          <w:highlight w:val="none"/>
          <w:lang w:val="en-US" w:eastAsia="zh-CN"/>
        </w:rPr>
      </w:pPr>
      <w:r>
        <w:rPr>
          <w:rFonts w:hint="eastAsia"/>
          <w:color w:val="auto"/>
          <w:highlight w:val="none"/>
          <w:lang w:val="en-US" w:eastAsia="zh-CN"/>
        </w:rPr>
        <w:t>办理法律援助案件数量指标年初设定目标是&gt;=80件，年中绩效运行监控时完成值80件，年终实际完成值382件，指标完成率是477.5%，全年办理法律援助案件382件，办结案件363件，其余案件正在办理。偏差原因：由于往年没有认罪认罚案件。下一步措施：根据今年的实际情况及时将认罪认罚案合并到法律援助案件里填写目标数。</w:t>
      </w:r>
    </w:p>
    <w:p w14:paraId="3AA254F3">
      <w:pPr>
        <w:pStyle w:val="3"/>
        <w:bidi w:val="0"/>
        <w:rPr>
          <w:rFonts w:hint="eastAsia"/>
          <w:color w:val="auto"/>
          <w:highlight w:val="none"/>
          <w:lang w:val="en-US" w:eastAsia="zh-CN"/>
        </w:rPr>
      </w:pPr>
      <w:r>
        <w:rPr>
          <w:rFonts w:hint="eastAsia"/>
          <w:color w:val="auto"/>
          <w:highlight w:val="none"/>
          <w:lang w:val="en-US" w:eastAsia="zh-CN"/>
        </w:rPr>
        <w:t>（八）法律援助案件办结案率指标</w:t>
      </w:r>
      <w:r>
        <w:rPr>
          <w:rFonts w:hint="eastAsia" w:ascii="Arial" w:hAnsi="Arial" w:eastAsia="楷体_GB2312" w:cs="仿宋_GB2312"/>
          <w:b/>
          <w:bCs w:val="0"/>
          <w:color w:val="auto"/>
          <w:kern w:val="2"/>
          <w:sz w:val="32"/>
          <w:szCs w:val="24"/>
          <w:highlight w:val="none"/>
          <w:lang w:val="en-US" w:eastAsia="zh-CN" w:bidi="ar-SA"/>
        </w:rPr>
        <w:t>完成情况分析</w:t>
      </w:r>
    </w:p>
    <w:p w14:paraId="1CF85362">
      <w:pPr>
        <w:bidi w:val="0"/>
        <w:rPr>
          <w:rFonts w:hint="eastAsia"/>
          <w:color w:val="auto"/>
          <w:highlight w:val="none"/>
          <w:lang w:val="en-US" w:eastAsia="zh-CN"/>
        </w:rPr>
      </w:pPr>
      <w:r>
        <w:rPr>
          <w:rFonts w:hint="eastAsia"/>
          <w:color w:val="auto"/>
          <w:highlight w:val="none"/>
          <w:lang w:val="en-US" w:eastAsia="zh-CN"/>
        </w:rPr>
        <w:t>法律援助案件办结案率指标年初设定目标是&gt;=95%，年中绩效运行监控时完成值50%，年终实际完成值95%，指标完成率是100%，全年办理法律援助案件382件，办结案件363件，其余案件正在办理中，办结率达到95%。偏差原因：无偏差。</w:t>
      </w:r>
    </w:p>
    <w:p w14:paraId="3FA6D07D">
      <w:pPr>
        <w:pStyle w:val="3"/>
        <w:bidi w:val="0"/>
        <w:rPr>
          <w:rFonts w:hint="eastAsia"/>
          <w:color w:val="auto"/>
          <w:highlight w:val="none"/>
          <w:lang w:val="en-US" w:eastAsia="zh-CN"/>
        </w:rPr>
      </w:pPr>
      <w:r>
        <w:rPr>
          <w:rFonts w:hint="eastAsia"/>
          <w:color w:val="auto"/>
          <w:highlight w:val="none"/>
          <w:lang w:val="en-US" w:eastAsia="zh-CN"/>
        </w:rPr>
        <w:t>（九）人民调解案件成功率指标</w:t>
      </w:r>
      <w:r>
        <w:rPr>
          <w:rFonts w:hint="eastAsia" w:ascii="Arial" w:hAnsi="Arial" w:eastAsia="楷体_GB2312" w:cs="仿宋_GB2312"/>
          <w:b/>
          <w:bCs w:val="0"/>
          <w:color w:val="auto"/>
          <w:kern w:val="2"/>
          <w:sz w:val="32"/>
          <w:szCs w:val="24"/>
          <w:highlight w:val="none"/>
          <w:lang w:val="en-US" w:eastAsia="zh-CN" w:bidi="ar-SA"/>
        </w:rPr>
        <w:t>完成情况分析</w:t>
      </w:r>
    </w:p>
    <w:p w14:paraId="07CC190D">
      <w:pPr>
        <w:bidi w:val="0"/>
        <w:rPr>
          <w:rFonts w:hint="eastAsia"/>
          <w:color w:val="auto"/>
          <w:highlight w:val="none"/>
          <w:lang w:val="en-US" w:eastAsia="zh-CN"/>
        </w:rPr>
      </w:pPr>
      <w:r>
        <w:rPr>
          <w:rFonts w:hint="eastAsia"/>
          <w:color w:val="auto"/>
          <w:highlight w:val="none"/>
          <w:lang w:val="en-US" w:eastAsia="zh-CN"/>
        </w:rPr>
        <w:t>人民调解案件成功率指标年初设定目标是&gt;=95%，年中绩效运行监控时完成值50%，年终实际完成值95%，指标完成率是100%，全年办理人民调解案件3999件，调解成功3799件，人民调解案件成功率达到95%。偏差原因：无偏差。</w:t>
      </w:r>
    </w:p>
    <w:p w14:paraId="5BDFDD73">
      <w:pPr>
        <w:pStyle w:val="3"/>
        <w:bidi w:val="0"/>
        <w:rPr>
          <w:rFonts w:hint="eastAsia"/>
          <w:color w:val="auto"/>
          <w:highlight w:val="none"/>
          <w:lang w:val="en-US" w:eastAsia="zh-CN"/>
        </w:rPr>
      </w:pPr>
      <w:r>
        <w:rPr>
          <w:rFonts w:hint="eastAsia"/>
          <w:color w:val="auto"/>
          <w:highlight w:val="none"/>
          <w:lang w:val="en-US" w:eastAsia="zh-CN"/>
        </w:rPr>
        <w:t>（十）提高社会公众法律意识指标</w:t>
      </w:r>
      <w:r>
        <w:rPr>
          <w:rFonts w:hint="eastAsia" w:ascii="Arial" w:hAnsi="Arial" w:eastAsia="楷体_GB2312" w:cs="仿宋_GB2312"/>
          <w:b/>
          <w:bCs w:val="0"/>
          <w:color w:val="auto"/>
          <w:kern w:val="2"/>
          <w:sz w:val="32"/>
          <w:szCs w:val="24"/>
          <w:highlight w:val="none"/>
          <w:lang w:val="en-US" w:eastAsia="zh-CN" w:bidi="ar-SA"/>
        </w:rPr>
        <w:t>完成情况分析</w:t>
      </w:r>
    </w:p>
    <w:p w14:paraId="0ACAEF53">
      <w:pPr>
        <w:bidi w:val="0"/>
        <w:rPr>
          <w:rFonts w:hint="eastAsia"/>
          <w:color w:val="auto"/>
          <w:highlight w:val="none"/>
          <w:lang w:val="en-US" w:eastAsia="zh-CN"/>
        </w:rPr>
      </w:pPr>
      <w:r>
        <w:rPr>
          <w:rFonts w:hint="eastAsia"/>
          <w:color w:val="auto"/>
          <w:highlight w:val="none"/>
          <w:lang w:val="en-US" w:eastAsia="zh-CN"/>
        </w:rPr>
        <w:t>提高社会公众法律意识指标年初设定目标是&gt;=95%，年中绩效运行监控时完成值未达监控时点，年终实际完成值95%，指标完成率是100%，持续不断普法宣传工作，满足全县人的法律需求，社会公众法律意识不断提升。偏差原因：无偏差。</w:t>
      </w:r>
    </w:p>
    <w:p w14:paraId="0A90F475">
      <w:pPr>
        <w:pStyle w:val="3"/>
        <w:bidi w:val="0"/>
        <w:rPr>
          <w:rFonts w:hint="eastAsia"/>
          <w:color w:val="auto"/>
          <w:highlight w:val="none"/>
          <w:lang w:val="en-US" w:eastAsia="zh-CN"/>
        </w:rPr>
      </w:pPr>
      <w:r>
        <w:rPr>
          <w:rFonts w:hint="eastAsia"/>
          <w:color w:val="auto"/>
          <w:highlight w:val="none"/>
          <w:lang w:val="en-US" w:eastAsia="zh-CN"/>
        </w:rPr>
        <w:t>（十一）社区服刑人员重新犯罪率指标</w:t>
      </w:r>
      <w:r>
        <w:rPr>
          <w:rFonts w:hint="eastAsia" w:ascii="Arial" w:hAnsi="Arial" w:eastAsia="楷体_GB2312" w:cs="仿宋_GB2312"/>
          <w:b/>
          <w:bCs w:val="0"/>
          <w:color w:val="auto"/>
          <w:kern w:val="2"/>
          <w:sz w:val="32"/>
          <w:szCs w:val="24"/>
          <w:highlight w:val="none"/>
          <w:lang w:val="en-US" w:eastAsia="zh-CN" w:bidi="ar-SA"/>
        </w:rPr>
        <w:t>完成情况分析</w:t>
      </w:r>
    </w:p>
    <w:p w14:paraId="0BEC312E">
      <w:pPr>
        <w:bidi w:val="0"/>
        <w:rPr>
          <w:rFonts w:hint="eastAsia"/>
          <w:color w:val="auto"/>
          <w:highlight w:val="none"/>
          <w:lang w:val="en-US" w:eastAsia="zh-CN"/>
        </w:rPr>
      </w:pPr>
      <w:r>
        <w:rPr>
          <w:rFonts w:hint="eastAsia"/>
          <w:color w:val="auto"/>
          <w:highlight w:val="none"/>
          <w:lang w:val="en-US" w:eastAsia="zh-CN"/>
        </w:rPr>
        <w:t>社区服刑人员重新犯罪率指标年初设定目标是&lt;1%，年中绩效运行监控时完成值未达监控时点，年终实际完成值0%，指标完成率是100%，达到全县社区服刑人员重新犯罪率为0，无一人脱管漏管，促进辖区社区稳定长治久安。偏差原因：无偏差。</w:t>
      </w:r>
    </w:p>
    <w:p w14:paraId="6CAF3F50">
      <w:pPr>
        <w:pStyle w:val="3"/>
        <w:bidi w:val="0"/>
        <w:rPr>
          <w:rFonts w:hint="eastAsia"/>
          <w:color w:val="auto"/>
          <w:highlight w:val="none"/>
          <w:lang w:val="en-US" w:eastAsia="zh-CN"/>
        </w:rPr>
      </w:pPr>
      <w:r>
        <w:rPr>
          <w:rFonts w:hint="eastAsia"/>
          <w:color w:val="auto"/>
          <w:highlight w:val="none"/>
          <w:lang w:val="en-US" w:eastAsia="zh-CN"/>
        </w:rPr>
        <w:t>（十二）构建依法治县体系指标</w:t>
      </w:r>
      <w:r>
        <w:rPr>
          <w:rFonts w:hint="eastAsia" w:ascii="Arial" w:hAnsi="Arial" w:eastAsia="楷体_GB2312" w:cs="仿宋_GB2312"/>
          <w:b/>
          <w:bCs w:val="0"/>
          <w:color w:val="auto"/>
          <w:kern w:val="2"/>
          <w:sz w:val="32"/>
          <w:szCs w:val="24"/>
          <w:highlight w:val="none"/>
          <w:lang w:val="en-US" w:eastAsia="zh-CN" w:bidi="ar-SA"/>
        </w:rPr>
        <w:t>完成情况分析</w:t>
      </w:r>
    </w:p>
    <w:p w14:paraId="7D9617E1">
      <w:pPr>
        <w:bidi w:val="0"/>
        <w:rPr>
          <w:rFonts w:hint="eastAsia"/>
          <w:color w:val="auto"/>
          <w:highlight w:val="none"/>
          <w:lang w:val="en-US" w:eastAsia="zh-CN"/>
        </w:rPr>
      </w:pPr>
      <w:r>
        <w:rPr>
          <w:rFonts w:hint="eastAsia"/>
          <w:color w:val="auto"/>
          <w:highlight w:val="none"/>
          <w:lang w:val="en-US" w:eastAsia="zh-CN"/>
        </w:rPr>
        <w:t>构建依法治县体系指标年初设定目标是&gt;=95%，年中绩效运行监控时完成值未达监控时点，年终实际完成值95%，指标完成率是100%，各行政单位按照法治政府建设的要求，不断提高各单位的行政执法工作，做到有法可依、依法行政、犯法必究。偏差原因：无偏差。</w:t>
      </w:r>
    </w:p>
    <w:p w14:paraId="1E38305A">
      <w:pPr>
        <w:pStyle w:val="3"/>
        <w:bidi w:val="0"/>
        <w:rPr>
          <w:rFonts w:hint="eastAsia"/>
          <w:color w:val="auto"/>
          <w:highlight w:val="none"/>
          <w:lang w:val="en-US" w:eastAsia="zh-CN"/>
        </w:rPr>
      </w:pPr>
      <w:r>
        <w:rPr>
          <w:rFonts w:hint="eastAsia"/>
          <w:color w:val="auto"/>
          <w:highlight w:val="none"/>
          <w:lang w:val="en-US" w:eastAsia="zh-CN"/>
        </w:rPr>
        <w:t>（十三）持续推进普法宣传工作指标</w:t>
      </w:r>
      <w:r>
        <w:rPr>
          <w:rFonts w:hint="eastAsia" w:ascii="Arial" w:hAnsi="Arial" w:eastAsia="楷体_GB2312" w:cs="仿宋_GB2312"/>
          <w:b/>
          <w:bCs w:val="0"/>
          <w:color w:val="auto"/>
          <w:kern w:val="2"/>
          <w:sz w:val="32"/>
          <w:szCs w:val="24"/>
          <w:highlight w:val="none"/>
          <w:lang w:val="en-US" w:eastAsia="zh-CN" w:bidi="ar-SA"/>
        </w:rPr>
        <w:t>完成情况分析</w:t>
      </w:r>
    </w:p>
    <w:p w14:paraId="074CFD86">
      <w:pPr>
        <w:bidi w:val="0"/>
        <w:rPr>
          <w:rFonts w:hint="eastAsia"/>
          <w:color w:val="auto"/>
          <w:highlight w:val="none"/>
          <w:lang w:val="en-US" w:eastAsia="zh-CN"/>
        </w:rPr>
      </w:pPr>
      <w:r>
        <w:rPr>
          <w:rFonts w:hint="eastAsia"/>
          <w:color w:val="auto"/>
          <w:highlight w:val="none"/>
          <w:lang w:val="en-US" w:eastAsia="zh-CN"/>
        </w:rPr>
        <w:t>持续推进普法宣传工作指标年初设定目标是&gt;=95%，年中绩效运行监控时完成值未达监控时点，年终实际完成值95%，指标完成率是100%，和静县司法局普法宣传工作有序地开展使全县人民法律意识提高。偏差原因：无偏差。</w:t>
      </w:r>
    </w:p>
    <w:p w14:paraId="270394B5">
      <w:pPr>
        <w:pStyle w:val="3"/>
        <w:bidi w:val="0"/>
        <w:rPr>
          <w:rFonts w:hint="eastAsia"/>
          <w:color w:val="auto"/>
          <w:highlight w:val="none"/>
          <w:lang w:val="en-US" w:eastAsia="zh-CN"/>
        </w:rPr>
      </w:pPr>
      <w:r>
        <w:rPr>
          <w:rFonts w:hint="eastAsia"/>
          <w:color w:val="auto"/>
          <w:highlight w:val="none"/>
          <w:lang w:val="en-US" w:eastAsia="zh-CN"/>
        </w:rPr>
        <w:t>（十四）案件受理人满意度指标</w:t>
      </w:r>
      <w:r>
        <w:rPr>
          <w:rFonts w:hint="eastAsia" w:ascii="Arial" w:hAnsi="Arial" w:eastAsia="楷体_GB2312" w:cs="仿宋_GB2312"/>
          <w:b/>
          <w:bCs w:val="0"/>
          <w:color w:val="auto"/>
          <w:kern w:val="2"/>
          <w:sz w:val="32"/>
          <w:szCs w:val="24"/>
          <w:highlight w:val="none"/>
          <w:lang w:val="en-US" w:eastAsia="zh-CN" w:bidi="ar-SA"/>
        </w:rPr>
        <w:t>完成情况分析</w:t>
      </w:r>
    </w:p>
    <w:p w14:paraId="58C29BD3">
      <w:pPr>
        <w:bidi w:val="0"/>
        <w:rPr>
          <w:rFonts w:hint="eastAsia"/>
          <w:color w:val="auto"/>
          <w:highlight w:val="none"/>
          <w:lang w:val="en-US" w:eastAsia="zh-CN"/>
        </w:rPr>
      </w:pPr>
      <w:r>
        <w:rPr>
          <w:rFonts w:hint="eastAsia"/>
          <w:color w:val="auto"/>
          <w:highlight w:val="none"/>
          <w:lang w:val="en-US" w:eastAsia="zh-CN"/>
        </w:rPr>
        <w:t>案件受理人满意度指标年初设定目标是&gt;=95%，年中绩效运行监控时完成值未达监控时点，年终实际完成值95%，指标完成率是100%，案件受理人对司法局受理的法律援助案件及人民调解非常满意。偏差原因：无偏差。</w:t>
      </w:r>
    </w:p>
    <w:p w14:paraId="32DF97B2">
      <w:pPr>
        <w:pStyle w:val="3"/>
        <w:bidi w:val="0"/>
        <w:rPr>
          <w:rFonts w:hint="eastAsia"/>
          <w:color w:val="auto"/>
          <w:highlight w:val="none"/>
          <w:lang w:val="en-US" w:eastAsia="zh-CN"/>
        </w:rPr>
      </w:pPr>
      <w:r>
        <w:rPr>
          <w:rFonts w:hint="eastAsia"/>
          <w:color w:val="auto"/>
          <w:highlight w:val="none"/>
          <w:lang w:val="en-US" w:eastAsia="zh-CN"/>
        </w:rPr>
        <w:t>（十五）群众满意度指标</w:t>
      </w:r>
      <w:r>
        <w:rPr>
          <w:rFonts w:hint="eastAsia" w:ascii="Arial" w:hAnsi="Arial" w:eastAsia="楷体_GB2312" w:cs="仿宋_GB2312"/>
          <w:b/>
          <w:bCs w:val="0"/>
          <w:color w:val="auto"/>
          <w:kern w:val="2"/>
          <w:sz w:val="32"/>
          <w:szCs w:val="24"/>
          <w:highlight w:val="none"/>
          <w:lang w:val="en-US" w:eastAsia="zh-CN" w:bidi="ar-SA"/>
        </w:rPr>
        <w:t>完成情况分析</w:t>
      </w:r>
    </w:p>
    <w:p w14:paraId="00752955">
      <w:pPr>
        <w:bidi w:val="0"/>
        <w:rPr>
          <w:rFonts w:hint="eastAsia"/>
          <w:color w:val="auto"/>
          <w:highlight w:val="none"/>
          <w:lang w:val="en-US" w:eastAsia="zh-CN"/>
        </w:rPr>
      </w:pPr>
      <w:r>
        <w:rPr>
          <w:rFonts w:hint="eastAsia"/>
          <w:color w:val="auto"/>
          <w:highlight w:val="none"/>
          <w:lang w:val="en-US" w:eastAsia="zh-CN"/>
        </w:rPr>
        <w:t>群众满意度年初设定目标是&gt;=95%，年中绩效运行监控时完成值未达监控时点，年终实际完成值95%，指标完成率是100%，普通群众对和静县司法局提供的各项法律服务非常满意。偏差原因：无偏差。</w:t>
      </w:r>
    </w:p>
    <w:p w14:paraId="62082BBD">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082C4AD1">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4B224CE5">
      <w:pPr>
        <w:bidi w:val="0"/>
        <w:rPr>
          <w:rFonts w:hint="eastAsia"/>
          <w:color w:val="auto"/>
          <w:highlight w:val="none"/>
          <w:lang w:val="en-US" w:eastAsia="zh-CN"/>
        </w:rPr>
      </w:pPr>
      <w:r>
        <w:rPr>
          <w:rFonts w:hint="eastAsia"/>
          <w:color w:val="auto"/>
          <w:highlight w:val="none"/>
          <w:lang w:val="en-US" w:eastAsia="zh-CN"/>
        </w:rPr>
        <w:t>1、</w:t>
      </w:r>
      <w:r>
        <w:rPr>
          <w:rFonts w:hint="default"/>
          <w:color w:val="auto"/>
          <w:highlight w:val="none"/>
          <w:lang w:val="en-US" w:eastAsia="zh-CN"/>
        </w:rPr>
        <w:t>全力推进普法宣传教育。按照“八五”普法规划工作要求，今年把“24节气”与普法宣传有机融合，制定下发《2023年普法依法治理要点》《和静县2023年“法润和静·二十四节气”法治主题宣传工作方案》，重要节日、重大节点等开展了《</w:t>
      </w:r>
      <w:r>
        <w:rPr>
          <w:rFonts w:hint="eastAsia"/>
          <w:color w:val="auto"/>
          <w:highlight w:val="none"/>
          <w:lang w:val="en-US" w:eastAsia="zh-CN"/>
        </w:rPr>
        <w:t>中华人民共和国民法典</w:t>
      </w:r>
      <w:r>
        <w:rPr>
          <w:rFonts w:hint="default"/>
          <w:color w:val="auto"/>
          <w:highlight w:val="none"/>
          <w:lang w:val="en-US" w:eastAsia="zh-CN"/>
        </w:rPr>
        <w:t>》等形式多样普法宣传活动，深入推进法治宣传“进农村、进校园、进企业、进景区、进巴扎”等活动，截至年底，开展普法宣传320余场次，发放宣传资料3.5万余份，制作法治微视频、抖音30余个，法治副校长讲课120余场，覆盖群众4.8万余人次</w:t>
      </w:r>
      <w:r>
        <w:rPr>
          <w:rFonts w:hint="eastAsia"/>
          <w:color w:val="auto"/>
          <w:highlight w:val="none"/>
          <w:lang w:val="en-US" w:eastAsia="zh-CN"/>
        </w:rPr>
        <w:t>。</w:t>
      </w:r>
    </w:p>
    <w:p w14:paraId="63DBD219">
      <w:pPr>
        <w:bidi w:val="0"/>
        <w:rPr>
          <w:rFonts w:hint="eastAsia"/>
          <w:color w:val="auto"/>
          <w:highlight w:val="none"/>
          <w:lang w:eastAsia="zh-CN"/>
        </w:rPr>
      </w:pPr>
      <w:r>
        <w:rPr>
          <w:rFonts w:hint="eastAsia"/>
          <w:color w:val="auto"/>
          <w:highlight w:val="none"/>
          <w:lang w:val="en-US" w:eastAsia="zh-CN"/>
        </w:rPr>
        <w:t>2、加强社区矫正工作。每月开展1次风险隐患排查，每周开展1次风险隐患研判会，每日对社区矫正对象进行信息化核查，严防社区矫正对象脱管漏管。</w:t>
      </w:r>
      <w:r>
        <w:rPr>
          <w:rFonts w:hint="eastAsia"/>
          <w:color w:val="auto"/>
          <w:highlight w:val="none"/>
          <w:lang w:eastAsia="zh-CN"/>
        </w:rPr>
        <w:t>加强矛盾纠纷排查化解。坚持和发展新时代“枫桥经验”，健全多元化联调模式，构建人民调解、行政调解、司法调解有机结合的“大调解”工作格局。</w:t>
      </w:r>
    </w:p>
    <w:p w14:paraId="24D89A56">
      <w:pPr>
        <w:bidi w:val="0"/>
        <w:rPr>
          <w:rFonts w:hint="eastAsia"/>
          <w:color w:val="auto"/>
          <w:highlight w:val="none"/>
          <w:lang w:val="en-US" w:eastAsia="zh-CN"/>
        </w:rPr>
      </w:pPr>
      <w:r>
        <w:rPr>
          <w:rFonts w:hint="eastAsia"/>
          <w:color w:val="auto"/>
          <w:highlight w:val="none"/>
          <w:lang w:val="en-US" w:eastAsia="zh-CN"/>
        </w:rPr>
        <w:t>3、</w:t>
      </w:r>
      <w:r>
        <w:rPr>
          <w:rFonts w:hint="eastAsia"/>
          <w:color w:val="auto"/>
          <w:highlight w:val="none"/>
          <w:lang w:eastAsia="zh-CN"/>
        </w:rPr>
        <w:t>加强法治政府建设。坚持每季度组织开展一次行政执法案卷评查，</w:t>
      </w:r>
      <w:r>
        <w:rPr>
          <w:rFonts w:hint="eastAsia"/>
          <w:color w:val="auto"/>
          <w:highlight w:val="none"/>
          <w:lang w:val="en-US" w:eastAsia="zh-CN"/>
        </w:rPr>
        <w:t>截至年底</w:t>
      </w:r>
      <w:r>
        <w:rPr>
          <w:rFonts w:hint="eastAsia"/>
          <w:color w:val="auto"/>
          <w:highlight w:val="none"/>
          <w:lang w:eastAsia="zh-CN"/>
        </w:rPr>
        <w:t>，开展行政执法案卷评查</w:t>
      </w:r>
      <w:r>
        <w:rPr>
          <w:rFonts w:hint="eastAsia"/>
          <w:color w:val="auto"/>
          <w:highlight w:val="none"/>
          <w:lang w:val="en-US" w:eastAsia="zh-CN"/>
        </w:rPr>
        <w:t>2次，评查重点案卷60余卷</w:t>
      </w:r>
      <w:r>
        <w:rPr>
          <w:rFonts w:hint="eastAsia"/>
          <w:color w:val="auto"/>
          <w:highlight w:val="none"/>
          <w:lang w:eastAsia="zh-CN"/>
        </w:rPr>
        <w:t>。</w:t>
      </w:r>
    </w:p>
    <w:p w14:paraId="0E1EF980">
      <w:pPr>
        <w:pStyle w:val="2"/>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206A72AC">
      <w:pPr>
        <w:bidi w:val="0"/>
        <w:rPr>
          <w:rFonts w:hint="eastAsia"/>
          <w:color w:val="auto"/>
          <w:highlight w:val="none"/>
          <w:lang w:val="en-US" w:eastAsia="zh-CN"/>
        </w:rPr>
      </w:pPr>
      <w:bookmarkStart w:id="5" w:name="_Toc29546_WPSOffice_Level1"/>
      <w:r>
        <w:rPr>
          <w:rFonts w:hint="eastAsia"/>
          <w:color w:val="auto"/>
          <w:highlight w:val="none"/>
          <w:lang w:val="en-US" w:eastAsia="zh-CN"/>
        </w:rPr>
        <w:t>1、专业人才配备不足，没有专门的财务人员负责专项资金的使用、监督、评价。</w:t>
      </w:r>
    </w:p>
    <w:p w14:paraId="6955F7E2">
      <w:pPr>
        <w:bidi w:val="0"/>
        <w:rPr>
          <w:rFonts w:hint="eastAsia"/>
          <w:color w:val="auto"/>
          <w:highlight w:val="none"/>
          <w:lang w:val="en-US" w:eastAsia="zh-CN"/>
        </w:rPr>
      </w:pPr>
      <w:r>
        <w:rPr>
          <w:rFonts w:hint="eastAsia"/>
          <w:color w:val="auto"/>
          <w:highlight w:val="none"/>
          <w:lang w:val="en-US" w:eastAsia="zh-CN"/>
        </w:rPr>
        <w:t>2、年初设定目标数过低，建议设定年初目标参照上年工作实际设定。</w:t>
      </w:r>
    </w:p>
    <w:p w14:paraId="71583336">
      <w:pPr>
        <w:bidi w:val="0"/>
        <w:rPr>
          <w:rFonts w:hint="eastAsia"/>
          <w:color w:val="auto"/>
          <w:highlight w:val="none"/>
          <w:lang w:val="en-US" w:eastAsia="zh-CN"/>
        </w:rPr>
      </w:pPr>
      <w:r>
        <w:rPr>
          <w:rFonts w:hint="eastAsia"/>
          <w:color w:val="auto"/>
          <w:highlight w:val="none"/>
          <w:lang w:val="en-US" w:eastAsia="zh-CN"/>
        </w:rPr>
        <w:t>3、绩效管理有待加强。本局虽然开展了预算绩效管理，但绩效目标设立不明确、内容不完整，指标选用重点不突出，定性指标选用较多，定量指标较少。</w:t>
      </w:r>
    </w:p>
    <w:p w14:paraId="6C4F20B2">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05527C72">
      <w:pPr>
        <w:bidi w:val="0"/>
        <w:rPr>
          <w:rFonts w:hint="eastAsia"/>
          <w:color w:val="auto"/>
          <w:highlight w:val="none"/>
          <w:lang w:val="en-US" w:eastAsia="zh-CN"/>
        </w:rPr>
      </w:pPr>
      <w:r>
        <w:rPr>
          <w:rFonts w:hint="eastAsia"/>
          <w:color w:val="auto"/>
          <w:highlight w:val="none"/>
          <w:lang w:val="en-US" w:eastAsia="zh-CN"/>
        </w:rPr>
        <w:t>1、加强财务人员培训，提升专业素养。每年组织财务人员积极参加《中华人民共和国预算法》《中华人民共和国会计法》《会计准则》及州直机关公务接待、差旅费报销等有关法律法规、政策文件培训，健全财务管理制度，完善会计核算体系，加强对经济业务的审核，确保会计核算及时、真实、准确、合法。</w:t>
      </w:r>
    </w:p>
    <w:p w14:paraId="48566AD4">
      <w:pPr>
        <w:bidi w:val="0"/>
        <w:rPr>
          <w:rFonts w:hint="eastAsia"/>
          <w:color w:val="auto"/>
          <w:highlight w:val="none"/>
          <w:lang w:val="en-US" w:eastAsia="zh-CN"/>
        </w:rPr>
      </w:pPr>
      <w:r>
        <w:rPr>
          <w:rFonts w:hint="eastAsia"/>
          <w:color w:val="auto"/>
          <w:highlight w:val="none"/>
          <w:lang w:val="en-US" w:eastAsia="zh-CN"/>
        </w:rPr>
        <w:t>2、参照上年实际完成数做下一年实际目标。进一步完善项目管理制度，明确项目管理部门和人员，建立项目申报、事中监管、事后管护、档案整理</w:t>
      </w:r>
      <w:bookmarkStart w:id="6" w:name="_GoBack"/>
      <w:bookmarkEnd w:id="6"/>
      <w:r>
        <w:rPr>
          <w:rFonts w:hint="eastAsia"/>
          <w:color w:val="auto"/>
          <w:highlight w:val="none"/>
          <w:lang w:val="en-US" w:eastAsia="zh-CN"/>
        </w:rPr>
        <w:t>统一参考标准，进一步促进各项工作统一化、规范化操作流程，根据上年实际设定目标。</w:t>
      </w:r>
    </w:p>
    <w:p w14:paraId="448DF70E">
      <w:pPr>
        <w:bidi w:val="0"/>
        <w:rPr>
          <w:rFonts w:hint="eastAsia"/>
          <w:color w:val="auto"/>
          <w:highlight w:val="none"/>
        </w:rPr>
      </w:pPr>
      <w:r>
        <w:rPr>
          <w:rFonts w:hint="eastAsia"/>
          <w:color w:val="auto"/>
          <w:highlight w:val="none"/>
          <w:lang w:val="en-US" w:eastAsia="zh-CN"/>
        </w:rPr>
        <w:t>3、加强绩效管理。健全相关制度，明确部门和人员，逐步规范绩效目标编制，加强绩效跟踪监控，提升绩效评价质量，提高财政资金使用效益。</w:t>
      </w:r>
    </w:p>
    <w:p w14:paraId="3C388A60">
      <w:pPr>
        <w:pStyle w:val="2"/>
        <w:bidi w:val="0"/>
        <w:rPr>
          <w:rFonts w:hint="default"/>
          <w:color w:val="auto"/>
          <w:highlight w:val="none"/>
          <w:lang w:val="en-US" w:eastAsia="zh-CN"/>
        </w:rPr>
      </w:pPr>
      <w:r>
        <w:rPr>
          <w:rFonts w:hint="eastAsia"/>
          <w:color w:val="auto"/>
          <w:highlight w:val="none"/>
          <w:lang w:val="en-US" w:eastAsia="zh-CN"/>
        </w:rPr>
        <w:t>七、附件上传</w:t>
      </w:r>
    </w:p>
    <w:p w14:paraId="1971CBA0">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0B675">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23B5E02">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4A5E14"/>
    <w:multiLevelType w:val="singleLevel"/>
    <w:tmpl w:val="E14A5E14"/>
    <w:lvl w:ilvl="0" w:tentative="0">
      <w:start w:val="1"/>
      <w:numFmt w:val="decimal"/>
      <w:suff w:val="nothing"/>
      <w:lvlText w:val="（%1）"/>
      <w:lvlJc w:val="left"/>
    </w:lvl>
  </w:abstractNum>
  <w:abstractNum w:abstractNumId="1">
    <w:nsid w:val="6C5E3F0B"/>
    <w:multiLevelType w:val="singleLevel"/>
    <w:tmpl w:val="6C5E3F0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8D345C"/>
    <w:rsid w:val="01941124"/>
    <w:rsid w:val="01CC583F"/>
    <w:rsid w:val="02337D11"/>
    <w:rsid w:val="029C1412"/>
    <w:rsid w:val="02C40969"/>
    <w:rsid w:val="03015719"/>
    <w:rsid w:val="03AC38D7"/>
    <w:rsid w:val="04DB4953"/>
    <w:rsid w:val="04FF0482"/>
    <w:rsid w:val="05062887"/>
    <w:rsid w:val="05464D81"/>
    <w:rsid w:val="05F70F85"/>
    <w:rsid w:val="0607573C"/>
    <w:rsid w:val="06547701"/>
    <w:rsid w:val="072B19D6"/>
    <w:rsid w:val="07C00C84"/>
    <w:rsid w:val="084208C4"/>
    <w:rsid w:val="08A96637"/>
    <w:rsid w:val="0939737D"/>
    <w:rsid w:val="09514723"/>
    <w:rsid w:val="098A3C0A"/>
    <w:rsid w:val="09A24E4E"/>
    <w:rsid w:val="09D45935"/>
    <w:rsid w:val="0A030C20"/>
    <w:rsid w:val="0A834E33"/>
    <w:rsid w:val="0A9A7091"/>
    <w:rsid w:val="0AD83203"/>
    <w:rsid w:val="0C3F20A3"/>
    <w:rsid w:val="0C6738B8"/>
    <w:rsid w:val="0C7B653C"/>
    <w:rsid w:val="0E7D784C"/>
    <w:rsid w:val="0F5337A0"/>
    <w:rsid w:val="0F5743E8"/>
    <w:rsid w:val="0F8120BC"/>
    <w:rsid w:val="10300946"/>
    <w:rsid w:val="10F20D97"/>
    <w:rsid w:val="10FE60D7"/>
    <w:rsid w:val="110A4333"/>
    <w:rsid w:val="12266F4A"/>
    <w:rsid w:val="131C20FB"/>
    <w:rsid w:val="134F7771"/>
    <w:rsid w:val="13E513B9"/>
    <w:rsid w:val="13FB3C28"/>
    <w:rsid w:val="142474B9"/>
    <w:rsid w:val="144813FA"/>
    <w:rsid w:val="14496F20"/>
    <w:rsid w:val="15793835"/>
    <w:rsid w:val="158C5316"/>
    <w:rsid w:val="15B904C0"/>
    <w:rsid w:val="165C118C"/>
    <w:rsid w:val="167A7865"/>
    <w:rsid w:val="172D035F"/>
    <w:rsid w:val="175D58E3"/>
    <w:rsid w:val="18061B60"/>
    <w:rsid w:val="190C3DF8"/>
    <w:rsid w:val="19AA4D08"/>
    <w:rsid w:val="19F83E30"/>
    <w:rsid w:val="1A27385F"/>
    <w:rsid w:val="1B403139"/>
    <w:rsid w:val="1C632B49"/>
    <w:rsid w:val="1C6D319F"/>
    <w:rsid w:val="1CE912A0"/>
    <w:rsid w:val="1D384A93"/>
    <w:rsid w:val="1D4D74D6"/>
    <w:rsid w:val="1DE32CFD"/>
    <w:rsid w:val="1E91399D"/>
    <w:rsid w:val="1F130856"/>
    <w:rsid w:val="1F1A602A"/>
    <w:rsid w:val="1F2854B6"/>
    <w:rsid w:val="20D67D8D"/>
    <w:rsid w:val="217D20CE"/>
    <w:rsid w:val="21A46911"/>
    <w:rsid w:val="21C67E02"/>
    <w:rsid w:val="21C768CD"/>
    <w:rsid w:val="224A46B4"/>
    <w:rsid w:val="22CD6F6E"/>
    <w:rsid w:val="22E14253"/>
    <w:rsid w:val="23931BB2"/>
    <w:rsid w:val="23F209A3"/>
    <w:rsid w:val="2403516E"/>
    <w:rsid w:val="25077F8A"/>
    <w:rsid w:val="2519649B"/>
    <w:rsid w:val="254C6870"/>
    <w:rsid w:val="256A2A9E"/>
    <w:rsid w:val="26284BE7"/>
    <w:rsid w:val="27F7226E"/>
    <w:rsid w:val="2805537E"/>
    <w:rsid w:val="289437EE"/>
    <w:rsid w:val="28CD7CC8"/>
    <w:rsid w:val="297873DB"/>
    <w:rsid w:val="29F35E61"/>
    <w:rsid w:val="29FB2613"/>
    <w:rsid w:val="2A285817"/>
    <w:rsid w:val="2AEC6B2B"/>
    <w:rsid w:val="2B6F150A"/>
    <w:rsid w:val="2BB557CB"/>
    <w:rsid w:val="2BC51751"/>
    <w:rsid w:val="2D166684"/>
    <w:rsid w:val="2EBF757D"/>
    <w:rsid w:val="2FEF6776"/>
    <w:rsid w:val="312807C5"/>
    <w:rsid w:val="313A1C72"/>
    <w:rsid w:val="31807FCD"/>
    <w:rsid w:val="31927D00"/>
    <w:rsid w:val="31AE39CE"/>
    <w:rsid w:val="31B83F5F"/>
    <w:rsid w:val="320C360F"/>
    <w:rsid w:val="328E2AB6"/>
    <w:rsid w:val="329B12EA"/>
    <w:rsid w:val="32FB1A54"/>
    <w:rsid w:val="33291F9F"/>
    <w:rsid w:val="33A83F87"/>
    <w:rsid w:val="340D2D0F"/>
    <w:rsid w:val="348F1A9E"/>
    <w:rsid w:val="34AA710F"/>
    <w:rsid w:val="355C2B3F"/>
    <w:rsid w:val="35661288"/>
    <w:rsid w:val="356B4AF0"/>
    <w:rsid w:val="35A95619"/>
    <w:rsid w:val="35DB33FC"/>
    <w:rsid w:val="35F12468"/>
    <w:rsid w:val="36851B5C"/>
    <w:rsid w:val="37661A13"/>
    <w:rsid w:val="379871D0"/>
    <w:rsid w:val="37BA58BB"/>
    <w:rsid w:val="37D360CA"/>
    <w:rsid w:val="38CB5066"/>
    <w:rsid w:val="38E054C9"/>
    <w:rsid w:val="39602492"/>
    <w:rsid w:val="39643D30"/>
    <w:rsid w:val="3A220F89"/>
    <w:rsid w:val="3A565DE9"/>
    <w:rsid w:val="3AC36A27"/>
    <w:rsid w:val="3B7F30A4"/>
    <w:rsid w:val="3CF33076"/>
    <w:rsid w:val="3EDA6843"/>
    <w:rsid w:val="3F301058"/>
    <w:rsid w:val="405B25D0"/>
    <w:rsid w:val="41406E31"/>
    <w:rsid w:val="417A34F9"/>
    <w:rsid w:val="418810F4"/>
    <w:rsid w:val="418D5DEE"/>
    <w:rsid w:val="41A37673"/>
    <w:rsid w:val="41B810BD"/>
    <w:rsid w:val="41D62D6F"/>
    <w:rsid w:val="42503F5E"/>
    <w:rsid w:val="42C30950"/>
    <w:rsid w:val="44F3065E"/>
    <w:rsid w:val="459B4F7E"/>
    <w:rsid w:val="45A65C7F"/>
    <w:rsid w:val="45F13359"/>
    <w:rsid w:val="468C2A4A"/>
    <w:rsid w:val="46AD2493"/>
    <w:rsid w:val="46EC7F14"/>
    <w:rsid w:val="47CA7D9C"/>
    <w:rsid w:val="47DB3D58"/>
    <w:rsid w:val="48194880"/>
    <w:rsid w:val="48563CF1"/>
    <w:rsid w:val="48AF4C7F"/>
    <w:rsid w:val="49437E06"/>
    <w:rsid w:val="494B2817"/>
    <w:rsid w:val="4A5B46DD"/>
    <w:rsid w:val="4A6F6A56"/>
    <w:rsid w:val="4A81677A"/>
    <w:rsid w:val="4A892470"/>
    <w:rsid w:val="4AFF5FAF"/>
    <w:rsid w:val="4B3B5348"/>
    <w:rsid w:val="4C46376A"/>
    <w:rsid w:val="4CF3344B"/>
    <w:rsid w:val="4DA177B2"/>
    <w:rsid w:val="4DA370C6"/>
    <w:rsid w:val="4DF36D4F"/>
    <w:rsid w:val="4E092CA1"/>
    <w:rsid w:val="4E4E1368"/>
    <w:rsid w:val="4FEF35A4"/>
    <w:rsid w:val="501B7C76"/>
    <w:rsid w:val="504D5CCF"/>
    <w:rsid w:val="511A2CA6"/>
    <w:rsid w:val="5160707C"/>
    <w:rsid w:val="533A7469"/>
    <w:rsid w:val="53526129"/>
    <w:rsid w:val="538B4CD8"/>
    <w:rsid w:val="53A21BCD"/>
    <w:rsid w:val="54394F3D"/>
    <w:rsid w:val="565F61A9"/>
    <w:rsid w:val="56765379"/>
    <w:rsid w:val="569A4DDE"/>
    <w:rsid w:val="56AD4B11"/>
    <w:rsid w:val="57232FC4"/>
    <w:rsid w:val="572D2326"/>
    <w:rsid w:val="57365691"/>
    <w:rsid w:val="57995095"/>
    <w:rsid w:val="591C5F7E"/>
    <w:rsid w:val="598D29D8"/>
    <w:rsid w:val="59EE1E48"/>
    <w:rsid w:val="5A025174"/>
    <w:rsid w:val="5A437D2B"/>
    <w:rsid w:val="5A490F5C"/>
    <w:rsid w:val="5ABA77FD"/>
    <w:rsid w:val="5B386973"/>
    <w:rsid w:val="5B805E16"/>
    <w:rsid w:val="5BD21464"/>
    <w:rsid w:val="5BDE2B83"/>
    <w:rsid w:val="5C777282"/>
    <w:rsid w:val="61635F72"/>
    <w:rsid w:val="618606C5"/>
    <w:rsid w:val="6224402D"/>
    <w:rsid w:val="6384067A"/>
    <w:rsid w:val="638D125E"/>
    <w:rsid w:val="6396333E"/>
    <w:rsid w:val="63A948B2"/>
    <w:rsid w:val="63E114D3"/>
    <w:rsid w:val="643E4FFA"/>
    <w:rsid w:val="648D07ED"/>
    <w:rsid w:val="66644AC0"/>
    <w:rsid w:val="688C6A6D"/>
    <w:rsid w:val="6AD46D46"/>
    <w:rsid w:val="6B07083C"/>
    <w:rsid w:val="6B623CC4"/>
    <w:rsid w:val="6B6C65E0"/>
    <w:rsid w:val="6C2B67AC"/>
    <w:rsid w:val="6CB77288"/>
    <w:rsid w:val="6DB04424"/>
    <w:rsid w:val="6DBC51E2"/>
    <w:rsid w:val="6DE07909"/>
    <w:rsid w:val="6E58438A"/>
    <w:rsid w:val="6E7066F8"/>
    <w:rsid w:val="6E9D5508"/>
    <w:rsid w:val="6F871359"/>
    <w:rsid w:val="70671D7D"/>
    <w:rsid w:val="711B7F18"/>
    <w:rsid w:val="717B1905"/>
    <w:rsid w:val="71EB22B3"/>
    <w:rsid w:val="71F72C8D"/>
    <w:rsid w:val="72010FA6"/>
    <w:rsid w:val="72712A3F"/>
    <w:rsid w:val="733F48EB"/>
    <w:rsid w:val="74212849"/>
    <w:rsid w:val="744C1D4E"/>
    <w:rsid w:val="748A4F72"/>
    <w:rsid w:val="74961819"/>
    <w:rsid w:val="750202C6"/>
    <w:rsid w:val="750556C0"/>
    <w:rsid w:val="75664078"/>
    <w:rsid w:val="75A629FF"/>
    <w:rsid w:val="75EB2B08"/>
    <w:rsid w:val="761E4132"/>
    <w:rsid w:val="76796366"/>
    <w:rsid w:val="77E65C7D"/>
    <w:rsid w:val="78061A79"/>
    <w:rsid w:val="79181486"/>
    <w:rsid w:val="79273E57"/>
    <w:rsid w:val="794C260B"/>
    <w:rsid w:val="7A6A138A"/>
    <w:rsid w:val="7AFE508C"/>
    <w:rsid w:val="7B2561EC"/>
    <w:rsid w:val="7BC003CA"/>
    <w:rsid w:val="7CBF4BB4"/>
    <w:rsid w:val="7D456FA2"/>
    <w:rsid w:val="7E53749D"/>
    <w:rsid w:val="7E5D346D"/>
    <w:rsid w:val="7F761695"/>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5119</Words>
  <Characters>5537</Characters>
  <Lines>7</Lines>
  <Paragraphs>2</Paragraphs>
  <TotalTime>22</TotalTime>
  <ScaleCrop>false</ScaleCrop>
  <LinksUpToDate>false</LinksUpToDate>
  <CharactersWithSpaces>5537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2024-11-21T03:09:29Z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9029CB8070D04153A61C1CDBCB967DAA_13</vt:lpwstr>
  </property>
</Properties>
</file>