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和静县阿拉沟乡卫生院</w:t>
      </w:r>
    </w:p>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rPr>
          <w:rFonts w:hint="eastAsia"/>
          <w:color w:val="auto"/>
          <w:szCs w:val="28"/>
          <w:highlight w:val="none"/>
        </w:rPr>
      </w:pPr>
      <w:r>
        <w:rPr>
          <w:rFonts w:hint="eastAsia"/>
          <w:color w:val="auto"/>
          <w:szCs w:val="28"/>
          <w:highlight w:val="none"/>
          <w:lang w:val="en-US" w:eastAsia="zh-CN"/>
        </w:rPr>
        <w:t>和静县阿拉沟乡卫生院</w:t>
      </w:r>
      <w:r>
        <w:rPr>
          <w:rFonts w:hint="eastAsia"/>
          <w:color w:val="auto"/>
          <w:szCs w:val="28"/>
          <w:highlight w:val="none"/>
        </w:rPr>
        <w:t>为</w:t>
      </w:r>
      <w:r>
        <w:rPr>
          <w:rFonts w:hint="eastAsia"/>
          <w:color w:val="auto"/>
          <w:szCs w:val="28"/>
          <w:highlight w:val="none"/>
          <w:lang w:val="en-US" w:eastAsia="zh-CN"/>
        </w:rPr>
        <w:t>全额事业单位</w:t>
      </w:r>
      <w:r>
        <w:rPr>
          <w:rFonts w:hint="eastAsia"/>
          <w:color w:val="auto"/>
          <w:szCs w:val="28"/>
          <w:highlight w:val="none"/>
        </w:rPr>
        <w:t>，主要职责是：</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基本医疗服务，开展农村常见病、多发病以及诊断明确的慢性非传染性疾病的诊疗。西医门诊实行基本药物制度、药品零差价，处理常见疾病及全民免费体检工作；中医理疗康复区主要开展中医诊断配药、艾灸、推拿、拔罐、刮痧、理疗等康复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基本公共卫生：开展预防保健、0-6岁儿童健康管理、孕产妇健康管理老年人管理、高血压患者健康管理、II型糖尿病健康管理、健康档案管理、家庭医生、严重精神障碍健康管理、居民健康档案的建立、健康教育、传染病及突发公共卫生、中医药健康管理、肺结核患者健康管理、卫生监</w:t>
      </w:r>
      <w:r>
        <w:rPr>
          <w:rFonts w:hint="eastAsia" w:ascii="仿宋_GB2312" w:hAnsi="宋体" w:eastAsia="仿宋_GB2312"/>
          <w:color w:val="auto"/>
          <w:sz w:val="28"/>
          <w:szCs w:val="28"/>
          <w:highlight w:val="none"/>
        </w:rPr>
        <w:t>督协管服</w:t>
      </w:r>
      <w:r>
        <w:rPr>
          <w:rFonts w:hint="eastAsia" w:ascii="仿宋_GB2312" w:hAnsi="仿宋" w:eastAsia="仿宋_GB2312" w:cs="仿宋"/>
          <w:color w:val="auto"/>
          <w:kern w:val="0"/>
          <w:sz w:val="28"/>
          <w:szCs w:val="28"/>
          <w:highlight w:val="none"/>
          <w:lang w:val="en-US" w:eastAsia="zh-CN"/>
        </w:rPr>
        <w:t>务等。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（3）贯彻落实国家基本药物制度，实施基本药物零差率销售。药品实行网上统一采购、统一配送的基本药物采购机制。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（4）协助开展突发公共卫生事件应急调查和组织工作，承担区域内公共卫生信息的收集和报告。</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（5）开展康复治疗、康复训练，提供计划生育技术指导与服务。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（6）对所属行政村卫生室实行一体化管理，承担对村卫生室和乡村医生的业务管理和指导。</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olor w:val="auto"/>
          <w:sz w:val="32"/>
          <w:szCs w:val="32"/>
          <w:highlight w:val="none"/>
        </w:rPr>
      </w:pPr>
      <w:r>
        <w:rPr>
          <w:rFonts w:hint="eastAsia" w:ascii="仿宋_GB2312" w:hAnsi="宋体" w:eastAsia="仿宋_GB2312"/>
          <w:color w:val="auto"/>
          <w:sz w:val="28"/>
          <w:szCs w:val="28"/>
          <w:highlight w:val="none"/>
          <w:lang w:eastAsia="zh-CN"/>
        </w:rPr>
        <w:t>和静县</w:t>
      </w:r>
      <w:r>
        <w:rPr>
          <w:rFonts w:hint="eastAsia" w:hAnsi="宋体" w:eastAsia="仿宋_GB2312"/>
          <w:color w:val="auto"/>
          <w:sz w:val="28"/>
          <w:szCs w:val="28"/>
          <w:highlight w:val="none"/>
          <w:lang w:eastAsia="zh-CN"/>
        </w:rPr>
        <w:t>阿拉沟乡</w:t>
      </w:r>
      <w:r>
        <w:rPr>
          <w:rFonts w:hint="eastAsia" w:ascii="仿宋_GB2312" w:hAnsi="宋体" w:eastAsia="仿宋_GB2312"/>
          <w:color w:val="auto"/>
          <w:sz w:val="28"/>
          <w:szCs w:val="28"/>
          <w:highlight w:val="none"/>
          <w:lang w:eastAsia="zh-CN"/>
        </w:rPr>
        <w:t>卫生院</w:t>
      </w:r>
      <w:r>
        <w:rPr>
          <w:rFonts w:hint="eastAsia" w:ascii="仿宋_GB2312" w:hAnsi="宋体" w:eastAsia="仿宋_GB2312"/>
          <w:color w:val="auto"/>
          <w:sz w:val="28"/>
          <w:szCs w:val="28"/>
          <w:highlight w:val="none"/>
        </w:rPr>
        <w:t>是全额拨款事业单位，</w:t>
      </w:r>
      <w:r>
        <w:rPr>
          <w:rFonts w:hint="eastAsia" w:ascii="仿宋_GB2312" w:eastAsia="仿宋_GB2312" w:cs="仿宋_GB2312"/>
          <w:color w:val="auto"/>
          <w:sz w:val="28"/>
          <w:szCs w:val="28"/>
          <w:highlight w:val="none"/>
        </w:rPr>
        <w:t>无下属预算单位，</w:t>
      </w:r>
      <w:r>
        <w:rPr>
          <w:rFonts w:hint="eastAsia" w:ascii="仿宋_GB2312" w:hAnsi="黑体" w:eastAsia="仿宋_GB2312" w:cs="仿宋_GB2312"/>
          <w:color w:val="auto"/>
          <w:sz w:val="28"/>
          <w:szCs w:val="28"/>
          <w:highlight w:val="none"/>
        </w:rPr>
        <w:t>下设</w:t>
      </w:r>
      <w:r>
        <w:rPr>
          <w:rFonts w:hint="eastAsia" w:ascii="仿宋_GB2312" w:hAnsi="黑体" w:eastAsia="仿宋_GB2312" w:cs="仿宋_GB2312"/>
          <w:color w:val="auto"/>
          <w:sz w:val="28"/>
          <w:szCs w:val="28"/>
          <w:highlight w:val="none"/>
          <w:lang w:val="en-US" w:eastAsia="zh-CN"/>
        </w:rPr>
        <w:t>1</w:t>
      </w:r>
      <w:r>
        <w:rPr>
          <w:rFonts w:hint="eastAsia" w:hAnsi="黑体" w:eastAsia="仿宋_GB2312" w:cs="仿宋_GB2312"/>
          <w:color w:val="auto"/>
          <w:sz w:val="28"/>
          <w:szCs w:val="28"/>
          <w:highlight w:val="none"/>
          <w:lang w:val="en-US" w:eastAsia="zh-CN"/>
        </w:rPr>
        <w:t>1</w:t>
      </w:r>
      <w:r>
        <w:rPr>
          <w:rFonts w:hint="eastAsia" w:ascii="仿宋_GB2312" w:hAnsi="黑体" w:eastAsia="仿宋_GB2312" w:cs="仿宋_GB2312"/>
          <w:color w:val="auto"/>
          <w:sz w:val="28"/>
          <w:szCs w:val="28"/>
          <w:highlight w:val="none"/>
        </w:rPr>
        <w:t>个</w:t>
      </w:r>
      <w:r>
        <w:rPr>
          <w:rFonts w:hint="eastAsia" w:ascii="仿宋_GB2312" w:hAnsi="黑体" w:eastAsia="仿宋_GB2312" w:cs="仿宋_GB2312"/>
          <w:color w:val="auto"/>
          <w:sz w:val="28"/>
          <w:szCs w:val="28"/>
          <w:highlight w:val="none"/>
          <w:lang w:val="en-US" w:eastAsia="zh-CN"/>
        </w:rPr>
        <w:t>科</w:t>
      </w:r>
      <w:r>
        <w:rPr>
          <w:rFonts w:hint="eastAsia" w:ascii="仿宋_GB2312" w:hAnsi="黑体" w:eastAsia="仿宋_GB2312" w:cs="仿宋_GB2312"/>
          <w:color w:val="auto"/>
          <w:sz w:val="28"/>
          <w:szCs w:val="28"/>
          <w:highlight w:val="none"/>
        </w:rPr>
        <w:t>室，分别是：</w:t>
      </w:r>
      <w:r>
        <w:rPr>
          <w:rFonts w:hint="eastAsia" w:ascii="仿宋_GB2312" w:hAnsi="仿宋" w:eastAsia="仿宋_GB2312"/>
          <w:color w:val="auto"/>
          <w:sz w:val="28"/>
          <w:szCs w:val="28"/>
          <w:highlight w:val="none"/>
        </w:rPr>
        <w:t>门诊部，药房，收费室，财务室、公共卫生科</w:t>
      </w:r>
      <w:r>
        <w:rPr>
          <w:rFonts w:hint="eastAsia" w:ascii="仿宋_GB2312" w:eastAsia="仿宋_GB2312"/>
          <w:color w:val="auto"/>
          <w:sz w:val="28"/>
          <w:szCs w:val="28"/>
          <w:highlight w:val="none"/>
          <w:lang w:val="en-US" w:eastAsia="zh-CN"/>
        </w:rPr>
        <w:t>、</w:t>
      </w:r>
      <w:r>
        <w:rPr>
          <w:rFonts w:hint="eastAsia" w:ascii="仿宋_GB2312" w:hAnsi="仿宋" w:eastAsia="仿宋_GB2312"/>
          <w:color w:val="auto"/>
          <w:sz w:val="28"/>
          <w:szCs w:val="28"/>
          <w:highlight w:val="none"/>
        </w:rPr>
        <w:t>防疫科</w:t>
      </w:r>
      <w:r>
        <w:rPr>
          <w:rFonts w:hint="eastAsia" w:ascii="仿宋_GB2312" w:eastAsia="仿宋_GB2312"/>
          <w:color w:val="auto"/>
          <w:sz w:val="28"/>
          <w:szCs w:val="28"/>
          <w:highlight w:val="none"/>
          <w:lang w:eastAsia="zh-CN"/>
        </w:rPr>
        <w:t>、</w:t>
      </w:r>
      <w:r>
        <w:rPr>
          <w:rFonts w:hint="eastAsia" w:eastAsia="仿宋_GB2312"/>
          <w:color w:val="auto"/>
          <w:sz w:val="28"/>
          <w:szCs w:val="28"/>
          <w:highlight w:val="none"/>
          <w:lang w:val="en-US" w:eastAsia="zh-CN"/>
        </w:rPr>
        <w:t>3</w:t>
      </w:r>
      <w:r>
        <w:rPr>
          <w:rFonts w:hint="eastAsia" w:ascii="仿宋_GB2312" w:eastAsia="仿宋_GB2312"/>
          <w:color w:val="auto"/>
          <w:sz w:val="28"/>
          <w:szCs w:val="28"/>
          <w:highlight w:val="none"/>
          <w:lang w:val="en-US" w:eastAsia="zh-CN"/>
        </w:rPr>
        <w:t>个村卫生室</w:t>
      </w:r>
      <w:r>
        <w:rPr>
          <w:rFonts w:hint="eastAsia" w:ascii="仿宋_GB2312" w:hAnsi="仿宋" w:eastAsia="仿宋_GB2312"/>
          <w:color w:val="auto"/>
          <w:sz w:val="28"/>
          <w:szCs w:val="28"/>
          <w:highlight w:val="none"/>
        </w:rPr>
        <w:t>、</w:t>
      </w:r>
      <w:r>
        <w:rPr>
          <w:rFonts w:hint="eastAsia" w:ascii="仿宋_GB2312" w:eastAsia="仿宋_GB2312"/>
          <w:color w:val="auto"/>
          <w:sz w:val="28"/>
          <w:szCs w:val="28"/>
          <w:highlight w:val="none"/>
          <w:lang w:val="en-US" w:eastAsia="zh-CN"/>
        </w:rPr>
        <w:t>医生办、护士办、中医科</w:t>
      </w:r>
      <w:r>
        <w:rPr>
          <w:rFonts w:hint="eastAsia" w:ascii="仿宋_GB2312" w:hAnsi="仿宋" w:eastAsia="仿宋_GB2312"/>
          <w:color w:val="auto"/>
          <w:sz w:val="28"/>
          <w:szCs w:val="28"/>
          <w:highlight w:val="none"/>
        </w:rPr>
        <w:t>等。</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宋体" w:eastAsia="仿宋_GB2312"/>
          <w:color w:val="auto"/>
          <w:sz w:val="28"/>
          <w:szCs w:val="28"/>
          <w:highlight w:val="none"/>
          <w:lang w:eastAsia="zh-CN"/>
        </w:rPr>
        <w:t>和静县</w:t>
      </w:r>
      <w:r>
        <w:rPr>
          <w:rFonts w:hint="eastAsia" w:hAnsi="宋体" w:eastAsia="仿宋_GB2312"/>
          <w:color w:val="auto"/>
          <w:sz w:val="28"/>
          <w:szCs w:val="28"/>
          <w:highlight w:val="none"/>
          <w:lang w:eastAsia="zh-CN"/>
        </w:rPr>
        <w:t>阿拉沟乡</w:t>
      </w:r>
      <w:r>
        <w:rPr>
          <w:rFonts w:hint="eastAsia" w:ascii="仿宋_GB2312" w:hAnsi="宋体" w:eastAsia="仿宋_GB2312"/>
          <w:color w:val="auto"/>
          <w:sz w:val="28"/>
          <w:szCs w:val="28"/>
          <w:highlight w:val="none"/>
          <w:lang w:eastAsia="zh-CN"/>
        </w:rPr>
        <w:t>卫生院</w:t>
      </w:r>
      <w:r>
        <w:rPr>
          <w:rFonts w:hint="eastAsia" w:ascii="仿宋_GB2312" w:hAnsi="宋体" w:eastAsia="仿宋_GB2312"/>
          <w:color w:val="auto"/>
          <w:sz w:val="28"/>
          <w:szCs w:val="28"/>
          <w:highlight w:val="none"/>
        </w:rPr>
        <w:t>编制数</w:t>
      </w:r>
      <w:r>
        <w:rPr>
          <w:rFonts w:hint="eastAsia" w:ascii="仿宋_GB2312" w:hAnsi="宋体" w:eastAsia="仿宋_GB2312"/>
          <w:color w:val="auto"/>
          <w:sz w:val="28"/>
          <w:szCs w:val="28"/>
          <w:highlight w:val="none"/>
          <w:lang w:val="en-US" w:eastAsia="zh-CN"/>
        </w:rPr>
        <w:t>共</w:t>
      </w:r>
      <w:r>
        <w:rPr>
          <w:rFonts w:hint="eastAsia" w:hAnsi="宋体" w:eastAsia="仿宋_GB2312"/>
          <w:color w:val="auto"/>
          <w:sz w:val="28"/>
          <w:szCs w:val="28"/>
          <w:highlight w:val="none"/>
          <w:lang w:val="en-US" w:eastAsia="zh-CN"/>
        </w:rPr>
        <w:t>8</w:t>
      </w:r>
      <w:r>
        <w:rPr>
          <w:rFonts w:hint="eastAsia" w:ascii="仿宋_GB2312" w:hAnsi="宋体" w:eastAsia="仿宋_GB2312"/>
          <w:color w:val="auto"/>
          <w:sz w:val="28"/>
          <w:szCs w:val="28"/>
          <w:highlight w:val="none"/>
        </w:rPr>
        <w:t>人，</w:t>
      </w:r>
      <w:r>
        <w:rPr>
          <w:rFonts w:hint="eastAsia"/>
          <w:color w:val="auto"/>
          <w:szCs w:val="28"/>
          <w:highlight w:val="none"/>
        </w:rPr>
        <w:t>其中：行政编制</w:t>
      </w:r>
      <w:r>
        <w:rPr>
          <w:rFonts w:hint="eastAsia"/>
          <w:color w:val="auto"/>
          <w:szCs w:val="28"/>
          <w:highlight w:val="none"/>
          <w:lang w:val="en-US" w:eastAsia="zh-CN"/>
        </w:rPr>
        <w:t>0</w:t>
      </w:r>
      <w:r>
        <w:rPr>
          <w:rFonts w:hint="eastAsia"/>
          <w:color w:val="auto"/>
          <w:szCs w:val="28"/>
          <w:highlight w:val="none"/>
        </w:rPr>
        <w:t>人，事业编制</w:t>
      </w:r>
      <w:r>
        <w:rPr>
          <w:rFonts w:hint="eastAsia"/>
          <w:color w:val="auto"/>
          <w:szCs w:val="28"/>
          <w:highlight w:val="none"/>
          <w:lang w:val="en-US" w:eastAsia="zh-CN"/>
        </w:rPr>
        <w:t>8</w:t>
      </w:r>
      <w:r>
        <w:rPr>
          <w:rFonts w:hint="eastAsia"/>
          <w:color w:val="auto"/>
          <w:szCs w:val="28"/>
          <w:highlight w:val="none"/>
        </w:rPr>
        <w:t>人</w:t>
      </w:r>
      <w:r>
        <w:rPr>
          <w:rFonts w:hint="eastAsia"/>
          <w:color w:val="auto"/>
          <w:szCs w:val="28"/>
          <w:highlight w:val="none"/>
          <w:lang w:eastAsia="zh-CN"/>
        </w:rPr>
        <w:t>，</w:t>
      </w:r>
      <w:r>
        <w:rPr>
          <w:rFonts w:hint="eastAsia"/>
          <w:color w:val="auto"/>
          <w:szCs w:val="28"/>
          <w:highlight w:val="none"/>
        </w:rPr>
        <w:t>工勤</w:t>
      </w:r>
      <w:r>
        <w:rPr>
          <w:rFonts w:hint="eastAsia"/>
          <w:color w:val="auto"/>
          <w:szCs w:val="28"/>
          <w:highlight w:val="none"/>
          <w:lang w:val="en-US" w:eastAsia="zh-CN"/>
        </w:rPr>
        <w:t>0人</w:t>
      </w:r>
      <w:r>
        <w:rPr>
          <w:rFonts w:hint="eastAsia"/>
          <w:color w:val="auto"/>
          <w:szCs w:val="28"/>
          <w:highlight w:val="none"/>
          <w:lang w:eastAsia="zh-CN"/>
        </w:rPr>
        <w:t>。</w:t>
      </w:r>
      <w:r>
        <w:rPr>
          <w:rFonts w:hint="eastAsia"/>
          <w:color w:val="auto"/>
          <w:szCs w:val="28"/>
          <w:highlight w:val="none"/>
        </w:rPr>
        <w:t>年初预算实有在职人员</w:t>
      </w:r>
      <w:r>
        <w:rPr>
          <w:rFonts w:hint="eastAsia"/>
          <w:color w:val="auto"/>
          <w:szCs w:val="28"/>
          <w:highlight w:val="none"/>
          <w:lang w:val="en-US" w:eastAsia="zh-CN"/>
        </w:rPr>
        <w:t>7</w:t>
      </w:r>
      <w:r>
        <w:rPr>
          <w:rFonts w:hint="eastAsia"/>
          <w:color w:val="auto"/>
          <w:szCs w:val="28"/>
          <w:highlight w:val="none"/>
        </w:rPr>
        <w:t>人，退休人员</w:t>
      </w:r>
      <w:r>
        <w:rPr>
          <w:rFonts w:hint="eastAsia"/>
          <w:color w:val="auto"/>
          <w:szCs w:val="28"/>
          <w:highlight w:val="none"/>
          <w:lang w:val="en-US" w:eastAsia="zh-CN"/>
        </w:rPr>
        <w:t>3</w:t>
      </w:r>
      <w:r>
        <w:rPr>
          <w:rFonts w:hint="eastAsia"/>
          <w:color w:val="auto"/>
          <w:szCs w:val="28"/>
          <w:highlight w:val="none"/>
        </w:rPr>
        <w:t>人。年末实有在职人数</w:t>
      </w:r>
      <w:r>
        <w:rPr>
          <w:rFonts w:hint="eastAsia"/>
          <w:color w:val="auto"/>
          <w:szCs w:val="28"/>
          <w:highlight w:val="none"/>
          <w:lang w:val="en-US" w:eastAsia="zh-CN"/>
        </w:rPr>
        <w:t>7</w:t>
      </w:r>
      <w:r>
        <w:rPr>
          <w:rFonts w:hint="eastAsia"/>
          <w:color w:val="auto"/>
          <w:szCs w:val="28"/>
          <w:highlight w:val="none"/>
        </w:rPr>
        <w:t>人</w:t>
      </w:r>
      <w:r>
        <w:rPr>
          <w:rFonts w:hint="eastAsia"/>
          <w:color w:val="auto"/>
          <w:szCs w:val="28"/>
          <w:highlight w:val="none"/>
          <w:lang w:val="en-US" w:eastAsia="zh-CN"/>
        </w:rPr>
        <w:t>，</w:t>
      </w:r>
      <w:r>
        <w:rPr>
          <w:rFonts w:hint="eastAsia"/>
          <w:color w:val="auto"/>
          <w:szCs w:val="28"/>
          <w:highlight w:val="none"/>
        </w:rPr>
        <w:t>退休人员</w:t>
      </w:r>
      <w:r>
        <w:rPr>
          <w:rFonts w:hint="eastAsia"/>
          <w:color w:val="auto"/>
          <w:szCs w:val="28"/>
          <w:highlight w:val="none"/>
          <w:lang w:val="en-US" w:eastAsia="zh-CN"/>
        </w:rPr>
        <w:t>3</w:t>
      </w:r>
      <w:r>
        <w:rPr>
          <w:rFonts w:hint="eastAsia"/>
          <w:color w:val="auto"/>
          <w:szCs w:val="28"/>
          <w:highlight w:val="none"/>
        </w:rPr>
        <w:t>人。</w:t>
      </w:r>
    </w:p>
    <w:p>
      <w:pPr>
        <w:bidi w:val="0"/>
        <w:rPr>
          <w:rFonts w:hint="eastAsia"/>
          <w:color w:val="auto"/>
          <w:highlight w:val="none"/>
          <w:lang w:val="en-US" w:eastAsia="zh-CN"/>
        </w:rPr>
      </w:pP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ind w:firstLine="560"/>
        <w:rPr>
          <w:rFonts w:hint="eastAsia"/>
          <w:color w:val="auto"/>
          <w:szCs w:val="28"/>
          <w:highlight w:val="none"/>
          <w:lang w:val="en-US" w:eastAsia="zh-CN"/>
        </w:rPr>
      </w:pPr>
      <w:r>
        <w:rPr>
          <w:rFonts w:hint="eastAsia" w:cs="Times New Roman"/>
          <w:color w:val="auto"/>
          <w:szCs w:val="28"/>
          <w:highlight w:val="none"/>
          <w:lang w:val="en-US" w:eastAsia="zh-CN"/>
        </w:rPr>
        <w:t>2023年，我单位深入学习贯彻党的十</w:t>
      </w:r>
      <w:r>
        <w:rPr>
          <w:rFonts w:hint="eastAsia"/>
          <w:color w:val="auto"/>
          <w:szCs w:val="28"/>
          <w:highlight w:val="none"/>
          <w:lang w:val="en-US" w:eastAsia="zh-CN"/>
        </w:rPr>
        <w:t>九大精神，坚持以习近平新时代中国特色社会主义思想为指引，着力解决突出问题，深入推进干部能力建设。具体如下：</w:t>
      </w:r>
    </w:p>
    <w:p>
      <w:pPr>
        <w:ind w:firstLine="560"/>
        <w:rPr>
          <w:rFonts w:hint="eastAsia"/>
          <w:color w:val="auto"/>
          <w:szCs w:val="28"/>
          <w:highlight w:val="none"/>
          <w:lang w:val="en-US" w:eastAsia="zh-CN"/>
        </w:rPr>
      </w:pPr>
      <w:r>
        <w:rPr>
          <w:rFonts w:hint="eastAsia"/>
          <w:color w:val="auto"/>
          <w:szCs w:val="28"/>
          <w:highlight w:val="none"/>
          <w:lang w:val="en-US" w:eastAsia="zh-CN"/>
        </w:rPr>
        <w:t>（1）深入开展工作，强化思想教育，提高整体素质务求工作实效</w:t>
      </w:r>
    </w:p>
    <w:p>
      <w:pPr>
        <w:rPr>
          <w:rFonts w:hint="eastAsia"/>
          <w:color w:val="auto"/>
          <w:szCs w:val="28"/>
          <w:highlight w:val="none"/>
          <w:lang w:val="en-US" w:eastAsia="zh-CN"/>
        </w:rPr>
      </w:pPr>
      <w:r>
        <w:rPr>
          <w:rFonts w:hint="eastAsia"/>
          <w:color w:val="auto"/>
          <w:szCs w:val="28"/>
          <w:highlight w:val="none"/>
          <w:lang w:val="en-US" w:eastAsia="zh-CN"/>
        </w:rPr>
        <w:t xml:space="preserve">认真贯彻落实平安医院创建工作的要求，及时成立了以院长为组长的工作领导小组，设立了办公室，进一步完善我院治安综合治理工作和平安医院建设工作机制，全面推进治安防控体系建设，行程各个科室、部门齐抓共管协调建设平安工作，保障“平安医院”创建工作顺利开展。认真开展医德医风教育，引导全院医务人员，努力发扬人道主义精神和“严谨、求精、务实、奉献”的精神，大力弘扬白求恩精神、“病人至上、创优服务、凝聚力量、共建和谐”的精神。在医疗服务过程中真正体现“以人为本”的思想，从而做到尊重病人、关爱病人、方便病人、服务病人。 </w:t>
      </w:r>
    </w:p>
    <w:p>
      <w:pPr>
        <w:ind w:firstLine="560"/>
        <w:rPr>
          <w:rFonts w:hint="eastAsia"/>
          <w:color w:val="auto"/>
          <w:szCs w:val="28"/>
          <w:highlight w:val="none"/>
          <w:lang w:val="en-US" w:eastAsia="zh-CN"/>
        </w:rPr>
      </w:pPr>
      <w:r>
        <w:rPr>
          <w:rFonts w:hint="eastAsia"/>
          <w:color w:val="auto"/>
          <w:szCs w:val="28"/>
          <w:highlight w:val="none"/>
          <w:lang w:val="en-US" w:eastAsia="zh-CN"/>
        </w:rPr>
        <w:t>（2）深入开展医疗质量，提高管理水平和服务能力</w:t>
      </w:r>
    </w:p>
    <w:p>
      <w:pPr>
        <w:ind w:firstLine="560"/>
        <w:rPr>
          <w:rFonts w:hint="eastAsia"/>
          <w:color w:val="auto"/>
          <w:szCs w:val="28"/>
          <w:highlight w:val="none"/>
          <w:lang w:val="en-US" w:eastAsia="zh-CN"/>
        </w:rPr>
      </w:pPr>
      <w:r>
        <w:rPr>
          <w:rFonts w:hint="eastAsia"/>
          <w:color w:val="auto"/>
          <w:szCs w:val="28"/>
          <w:highlight w:val="none"/>
          <w:lang w:val="en-US" w:eastAsia="zh-CN"/>
        </w:rPr>
        <w:t>成立领导小组，制定医院工作实施方案，贯彻落实“安全第一、预防为主、综合治理”的方针，大力开展卫生法律法规和医疗安全宣传教育，不断强化“三基三严”培训和考核工作，努力提高医务人员的理论水平和业务素质，增强医务人员法律、责任、质量意识和安全意识，全面提升医院质量安全管理能力。</w:t>
      </w:r>
    </w:p>
    <w:p>
      <w:pPr>
        <w:ind w:firstLine="560"/>
        <w:rPr>
          <w:rFonts w:hint="eastAsia"/>
          <w:color w:val="auto"/>
          <w:szCs w:val="28"/>
          <w:highlight w:val="none"/>
          <w:lang w:val="en-US" w:eastAsia="zh-CN"/>
        </w:rPr>
      </w:pPr>
      <w:r>
        <w:rPr>
          <w:rFonts w:hint="eastAsia"/>
          <w:color w:val="auto"/>
          <w:szCs w:val="28"/>
          <w:highlight w:val="none"/>
          <w:lang w:val="en-US" w:eastAsia="zh-CN"/>
        </w:rPr>
        <w:t xml:space="preserve"> (3）加强质量管理、保障医疗安全</w:t>
      </w:r>
    </w:p>
    <w:p>
      <w:pPr>
        <w:ind w:firstLine="560"/>
        <w:rPr>
          <w:rFonts w:hint="eastAsia"/>
          <w:color w:val="auto"/>
          <w:szCs w:val="28"/>
          <w:highlight w:val="none"/>
          <w:lang w:val="en-US" w:eastAsia="zh-CN"/>
        </w:rPr>
      </w:pPr>
      <w:r>
        <w:rPr>
          <w:rFonts w:hint="eastAsia"/>
          <w:color w:val="auto"/>
          <w:szCs w:val="28"/>
          <w:highlight w:val="none"/>
          <w:lang w:val="en-US" w:eastAsia="zh-CN"/>
        </w:rPr>
        <w:t>　规范医务人员的医疗行为，严格做好依法执业。组织医务人员认真学习，结合我院实际，针对工作中存在的问题开展自查自纠，并制定切实可行的整改措施加以整改，促进了医院管理工作制度化、规范化、科学化。强化“三基三严”训练，认真落实核心制度，有计划、有目的的开展对医护人员进行“三基三严”训练和考核，组织业务学习，传输新的知识，训练业务技能。紧紧围绕加强“三基三严”训练、落实核心制度等重点工作，开展理论知识学习与考试、业务技术训练与比武工作，在全院营造了重学习、重安全、重质量、重技术、重服务、重实效的良好氛围。</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我单位年初预算数为125.65万元，实际预算执行数125.65万元，预算执行率为100%。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全年预算数为166.71万元，全年实际支出资金166.71万元，预算执行率为100%。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125.65</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41.06</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166.71</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24</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166.71</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152.12</w:t>
      </w:r>
      <w:r>
        <w:rPr>
          <w:rFonts w:hint="default"/>
          <w:color w:val="auto"/>
          <w:highlight w:val="none"/>
          <w:lang w:val="en-US" w:eastAsia="zh-CN"/>
        </w:rPr>
        <w:t>万元，资金的使用方向为我单位机关人员经费支出</w:t>
      </w:r>
      <w:r>
        <w:rPr>
          <w:rFonts w:hint="eastAsia"/>
          <w:color w:val="auto"/>
          <w:highlight w:val="none"/>
          <w:lang w:val="en-US" w:eastAsia="zh-CN"/>
        </w:rPr>
        <w:t>122.74</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29.39</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14.59</w:t>
      </w:r>
      <w:r>
        <w:rPr>
          <w:rFonts w:hint="default"/>
          <w:color w:val="auto"/>
          <w:highlight w:val="none"/>
          <w:lang w:val="en-US" w:eastAsia="zh-CN"/>
        </w:rPr>
        <w:t>万元，主要用于基本药物制度补助项目、</w:t>
      </w:r>
      <w:r>
        <w:rPr>
          <w:rFonts w:hint="eastAsia"/>
          <w:color w:val="auto"/>
          <w:highlight w:val="none"/>
          <w:lang w:val="en-US" w:eastAsia="zh-CN"/>
        </w:rPr>
        <w:t>基本公共卫生服务</w:t>
      </w:r>
      <w:r>
        <w:rPr>
          <w:rFonts w:hint="default"/>
          <w:color w:val="auto"/>
          <w:highlight w:val="none"/>
          <w:lang w:val="en-US" w:eastAsia="zh-CN"/>
        </w:rPr>
        <w:t>项目、重大传染病防治补助项目</w:t>
      </w:r>
      <w:r>
        <w:rPr>
          <w:rFonts w:hint="eastAsia"/>
          <w:color w:val="auto"/>
          <w:highlight w:val="none"/>
          <w:lang w:val="en-US" w:eastAsia="zh-CN"/>
        </w:rPr>
        <w:t>、突发公共卫生事件应急处理项目、地方公共卫生服务补助（全民健康体检）</w:t>
      </w:r>
      <w:r>
        <w:rPr>
          <w:rFonts w:hint="default"/>
          <w:color w:val="auto"/>
          <w:highlight w:val="none"/>
          <w:lang w:val="en-US" w:eastAsia="zh-CN"/>
        </w:rPr>
        <w:t>等项目支出。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152.12万元，全年实际支出152.12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122.74万元，主要包括：基本工资、津贴补贴、奖金、绩效工资、机关事业单位基本养老保险缴费、职业年金缴费、职工基本医疗保险缴费、其他社会保障缴费、住房公积金、其他工资福利支出、生活补助。</w:t>
      </w:r>
    </w:p>
    <w:p>
      <w:pPr>
        <w:bidi w:val="0"/>
        <w:rPr>
          <w:rFonts w:hint="eastAsia"/>
          <w:color w:val="auto"/>
          <w:highlight w:val="none"/>
          <w:lang w:val="en-US" w:eastAsia="zh-CN"/>
        </w:rPr>
      </w:pPr>
      <w:r>
        <w:rPr>
          <w:rFonts w:hint="eastAsia"/>
          <w:color w:val="auto"/>
          <w:highlight w:val="none"/>
          <w:lang w:val="en-US" w:eastAsia="zh-CN"/>
        </w:rPr>
        <w:t>公用经费支出29.39万元，主要包括：办公费、印刷费、咨询费、电费、邮电费、取暖费、维修（护）费、专用材料费、其他交通费等。</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项目支出预算14.59</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其中：上级专项资金11.72万元，本级财政资金2.87万元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14.59万元，其中基本药物制度补助资金3.35万元、基本公共卫生服务配套资金9.86万元、重大传染病防治补助资金1.38万元。项目资金全部通过财政国库集中支付方式直接拨给项目实施单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b w:val="0"/>
          <w:bCs w:val="0"/>
          <w:color w:val="auto"/>
          <w:szCs w:val="28"/>
          <w:highlight w:val="none"/>
          <w:lang w:val="en-US" w:eastAsia="zh-CN"/>
        </w:rPr>
      </w:pPr>
      <w:r>
        <w:rPr>
          <w:rFonts w:hint="eastAsia"/>
          <w:color w:val="auto"/>
          <w:highlight w:val="none"/>
          <w:lang w:val="en-US" w:eastAsia="zh-CN"/>
        </w:rPr>
        <w:t>（2）项目实施组织管理情况。我单位项目实施和资金使用分配坚持集体决策。对基本公共卫生服务配套资金制订工作方案，明确时间节点，开展项目规划设计、部署工作，认真落实项目任务。工作中突出重点，高标准规划、精细设计，通过政府采购，确定供货单位。该项目</w:t>
      </w:r>
      <w:r>
        <w:rPr>
          <w:rFonts w:hint="eastAsia" w:ascii="仿宋" w:hAnsi="仿宋" w:eastAsia="仿宋" w:cs="仿宋"/>
          <w:b w:val="0"/>
          <w:bCs w:val="0"/>
          <w:color w:val="auto"/>
          <w:szCs w:val="28"/>
          <w:highlight w:val="none"/>
          <w:lang w:val="en-US" w:eastAsia="zh-CN"/>
        </w:rPr>
        <w:t>有效预防和控制主要传染病及慢性病，使城乡居民逐步享有均等化的公共卫生服务。</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度安排项目支出资金14.59万元，</w:t>
      </w:r>
      <w:r>
        <w:rPr>
          <w:rFonts w:hint="eastAsia"/>
          <w:color w:val="auto"/>
          <w:highlight w:val="none"/>
          <w:lang w:eastAsia="zh-CN"/>
        </w:rPr>
        <w:t>实际</w:t>
      </w:r>
      <w:r>
        <w:rPr>
          <w:rFonts w:hint="eastAsia"/>
          <w:color w:val="auto"/>
          <w:highlight w:val="none"/>
          <w:lang w:val="en-US" w:eastAsia="zh-CN"/>
        </w:rPr>
        <w:t>支出14.59</w:t>
      </w:r>
      <w:r>
        <w:rPr>
          <w:rFonts w:hint="eastAsia"/>
          <w:color w:val="auto"/>
          <w:highlight w:val="none"/>
          <w:lang w:eastAsia="zh-CN"/>
        </w:rPr>
        <w:t>万元，</w:t>
      </w:r>
      <w:r>
        <w:rPr>
          <w:rFonts w:hint="eastAsia"/>
          <w:color w:val="auto"/>
          <w:highlight w:val="none"/>
          <w:lang w:val="en-US" w:eastAsia="zh-CN"/>
        </w:rPr>
        <w:t>其中：上级专项资金支出11.72万元，本级财政安排项目资金支出2.87万元，项目预算资金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包括基层医疗卫生机构支出</w:t>
      </w:r>
      <w:r>
        <w:rPr>
          <w:rFonts w:hint="eastAsia"/>
          <w:color w:val="auto"/>
          <w:highlight w:val="none"/>
          <w:lang w:val="en-US" w:eastAsia="zh-CN"/>
        </w:rPr>
        <w:t>3.35</w:t>
      </w:r>
      <w:r>
        <w:rPr>
          <w:rFonts w:hint="default"/>
          <w:color w:val="auto"/>
          <w:highlight w:val="none"/>
          <w:lang w:val="en-US" w:eastAsia="zh-CN"/>
        </w:rPr>
        <w:t>万元，公共卫生支出</w:t>
      </w:r>
      <w:r>
        <w:rPr>
          <w:rFonts w:hint="eastAsia"/>
          <w:color w:val="auto"/>
          <w:highlight w:val="none"/>
          <w:lang w:val="en-US" w:eastAsia="zh-CN"/>
        </w:rPr>
        <w:t>11.24</w:t>
      </w:r>
      <w:r>
        <w:rPr>
          <w:rFonts w:hint="default"/>
          <w:color w:val="auto"/>
          <w:highlight w:val="none"/>
          <w:lang w:val="en-US" w:eastAsia="zh-CN"/>
        </w:rPr>
        <w:t>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eastAsia"/>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13</w:t>
      </w:r>
      <w:r>
        <w:rPr>
          <w:rFonts w:hint="eastAsia"/>
          <w:color w:val="auto"/>
          <w:highlight w:val="none"/>
        </w:rPr>
        <w:t>个，三级指标</w:t>
      </w:r>
      <w:r>
        <w:rPr>
          <w:rFonts w:hint="eastAsia"/>
          <w:color w:val="auto"/>
          <w:highlight w:val="none"/>
          <w:lang w:val="en-US" w:eastAsia="zh-CN"/>
        </w:rPr>
        <w:t>13</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13</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2"/>
        <w:rPr>
          <w:rFonts w:hint="eastAsia"/>
          <w:color w:val="auto"/>
          <w:highlight w:val="none"/>
          <w:lang w:val="en-US" w:eastAsia="zh-CN"/>
        </w:rPr>
      </w:pPr>
      <w:r>
        <w:rPr>
          <w:rFonts w:hint="eastAsia"/>
          <w:color w:val="auto"/>
          <w:highlight w:val="none"/>
          <w:lang w:val="en-US" w:eastAsia="zh-CN"/>
        </w:rPr>
        <w:t>（一）“项目支出预算执行率指标完成情况分析</w:t>
      </w:r>
    </w:p>
    <w:p>
      <w:pPr>
        <w:pStyle w:val="2"/>
        <w:rPr>
          <w:rFonts w:hint="eastAsia"/>
          <w:b w:val="0"/>
          <w:bCs w:val="0"/>
          <w:color w:val="auto"/>
          <w:highlight w:val="none"/>
          <w:lang w:val="en-US" w:eastAsia="zh-CN"/>
        </w:rPr>
      </w:pPr>
      <w:r>
        <w:rPr>
          <w:rFonts w:hint="eastAsia"/>
          <w:b w:val="0"/>
          <w:bCs w:val="0"/>
          <w:color w:val="auto"/>
          <w:highlight w:val="none"/>
          <w:lang w:val="en-US" w:eastAsia="zh-CN"/>
        </w:rPr>
        <w:t>项目支出预算执行率，控制率指标年初设定目标是=100%，年中绩效运行监控时完成值92%，年终实际完成值是100%，指标完成率是100%，达到了项目资金任务足额支付预期目标。偏差原因：无偏差。</w:t>
      </w:r>
    </w:p>
    <w:p>
      <w:pPr>
        <w:pStyle w:val="4"/>
        <w:numPr>
          <w:ilvl w:val="0"/>
          <w:numId w:val="0"/>
        </w:numPr>
        <w:bidi w:val="0"/>
        <w:ind w:firstLine="643" w:firstLineChars="200"/>
        <w:rPr>
          <w:color w:val="auto"/>
          <w:highlight w:val="none"/>
        </w:rPr>
      </w:pPr>
      <w:r>
        <w:rPr>
          <w:rFonts w:hint="eastAsia"/>
          <w:color w:val="auto"/>
          <w:highlight w:val="none"/>
          <w:lang w:val="en-US" w:eastAsia="zh-CN"/>
        </w:rPr>
        <w:t>（二）“三公经费”控制率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“三公经费”控制率指标年初设定目标是=100%，年中绩效运行监控时完成值100%，年终实际完成值是100%，指标完成率是100%，达到了“三公经费”合理控制的预期目标。偏差原因：无偏差。</w:t>
      </w:r>
    </w:p>
    <w:p>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（三）在职人员经费保障人数指标完成情况分析</w:t>
      </w:r>
    </w:p>
    <w:p>
      <w:pPr>
        <w:pStyle w:val="4"/>
        <w:numPr>
          <w:ilvl w:val="0"/>
          <w:numId w:val="0"/>
        </w:numPr>
        <w:bidi w:val="0"/>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在职人员经费保障人数指标年初设定目标是&gt;=7人，年中绩效运行监控时完成值</w:t>
      </w:r>
      <w:r>
        <w:rPr>
          <w:rFonts w:hint="eastAsia" w:cs="仿宋_GB2312"/>
          <w:b w:val="0"/>
          <w:bCs w:val="0"/>
          <w:color w:val="auto"/>
          <w:kern w:val="2"/>
          <w:sz w:val="28"/>
          <w:szCs w:val="24"/>
          <w:highlight w:val="none"/>
          <w:lang w:val="en-US" w:eastAsia="zh-CN" w:bidi="ar-SA"/>
        </w:rPr>
        <w:t>7</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7人</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%，达到了职工人员工资按时发放、社保按时缴纳的预期目标。偏差原因：无偏差。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（四）门诊就诊患者人数指标完成情况分析</w:t>
      </w:r>
    </w:p>
    <w:p>
      <w:pPr>
        <w:ind w:left="0" w:leftChars="0" w:firstLine="560" w:firstLineChars="200"/>
        <w:rPr>
          <w:rFonts w:hint="default"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门诊就诊人次指标年初设定目标是&gt;=</w:t>
      </w:r>
      <w:r>
        <w:rPr>
          <w:rFonts w:hint="eastAsia" w:cs="仿宋_GB2312"/>
          <w:b w:val="0"/>
          <w:bCs w:val="0"/>
          <w:color w:val="auto"/>
          <w:kern w:val="2"/>
          <w:sz w:val="28"/>
          <w:szCs w:val="24"/>
          <w:highlight w:val="none"/>
          <w:lang w:val="en-US" w:eastAsia="zh-CN" w:bidi="ar-SA"/>
        </w:rPr>
        <w:t>1500</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2284</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4403</w:t>
      </w:r>
      <w:r>
        <w:rPr>
          <w:rFonts w:hint="eastAsia" w:ascii="仿宋_GB2312" w:hAnsi="仿宋_GB2312" w:eastAsia="仿宋" w:cs="仿宋_GB2312"/>
          <w:b w:val="0"/>
          <w:bCs w:val="0"/>
          <w:color w:val="auto"/>
          <w:kern w:val="2"/>
          <w:sz w:val="28"/>
          <w:szCs w:val="24"/>
          <w:highlight w:val="none"/>
          <w:lang w:val="en-US" w:eastAsia="zh-CN" w:bidi="ar-SA"/>
        </w:rPr>
        <w:t>人，指标完成率是</w:t>
      </w:r>
      <w:r>
        <w:rPr>
          <w:rFonts w:hint="eastAsia" w:cs="仿宋_GB2312"/>
          <w:b w:val="0"/>
          <w:bCs w:val="0"/>
          <w:color w:val="auto"/>
          <w:kern w:val="2"/>
          <w:sz w:val="28"/>
          <w:szCs w:val="24"/>
          <w:highlight w:val="none"/>
          <w:lang w:val="en-US" w:eastAsia="zh-CN" w:bidi="ar-SA"/>
        </w:rPr>
        <w:t>293.53</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（五）基层医务人员培训人数指标完成情况分析</w:t>
      </w:r>
    </w:p>
    <w:p>
      <w:pPr>
        <w:numPr>
          <w:ilvl w:val="0"/>
          <w:numId w:val="0"/>
        </w:numPr>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药品差价政策执行率指标年初设定目标是&gt;=</w:t>
      </w:r>
      <w:r>
        <w:rPr>
          <w:rFonts w:hint="eastAsia" w:cs="仿宋_GB2312"/>
          <w:b w:val="0"/>
          <w:bCs w:val="0"/>
          <w:color w:val="auto"/>
          <w:kern w:val="2"/>
          <w:sz w:val="28"/>
          <w:szCs w:val="24"/>
          <w:highlight w:val="none"/>
          <w:lang w:val="en-US" w:eastAsia="zh-CN" w:bidi="ar-SA"/>
        </w:rPr>
        <w:t>10</w:t>
      </w:r>
      <w:r>
        <w:rPr>
          <w:rFonts w:hint="eastAsia" w:ascii="仿宋_GB2312" w:hAnsi="仿宋_GB2312" w:eastAsia="仿宋" w:cs="仿宋_GB2312"/>
          <w:b w:val="0"/>
          <w:bCs w:val="0"/>
          <w:color w:val="auto"/>
          <w:kern w:val="2"/>
          <w:sz w:val="28"/>
          <w:szCs w:val="24"/>
          <w:highlight w:val="none"/>
          <w:lang w:val="en-US" w:eastAsia="zh-CN" w:bidi="ar-SA"/>
        </w:rPr>
        <w:t>人次，年中绩效运行监控时完成值</w:t>
      </w:r>
      <w:r>
        <w:rPr>
          <w:rFonts w:hint="eastAsia" w:cs="仿宋_GB2312"/>
          <w:b w:val="0"/>
          <w:bCs w:val="0"/>
          <w:color w:val="auto"/>
          <w:kern w:val="2"/>
          <w:sz w:val="28"/>
          <w:szCs w:val="24"/>
          <w:highlight w:val="none"/>
          <w:lang w:val="en-US" w:eastAsia="zh-CN" w:bidi="ar-SA"/>
        </w:rPr>
        <w:t>8</w:t>
      </w:r>
      <w:r>
        <w:rPr>
          <w:rFonts w:hint="eastAsia" w:ascii="仿宋_GB2312" w:hAnsi="仿宋_GB2312" w:eastAsia="仿宋" w:cs="仿宋_GB2312"/>
          <w:b w:val="0"/>
          <w:bCs w:val="0"/>
          <w:color w:val="auto"/>
          <w:kern w:val="2"/>
          <w:sz w:val="28"/>
          <w:szCs w:val="24"/>
          <w:highlight w:val="none"/>
          <w:lang w:val="en-US" w:eastAsia="zh-CN" w:bidi="ar-SA"/>
        </w:rPr>
        <w:t>人次，年终实际完成值是</w:t>
      </w:r>
      <w:r>
        <w:rPr>
          <w:rFonts w:hint="eastAsia" w:cs="仿宋_GB2312"/>
          <w:b w:val="0"/>
          <w:bCs w:val="0"/>
          <w:color w:val="auto"/>
          <w:kern w:val="2"/>
          <w:sz w:val="28"/>
          <w:szCs w:val="24"/>
          <w:highlight w:val="none"/>
          <w:lang w:val="en-US" w:eastAsia="zh-CN" w:bidi="ar-SA"/>
        </w:rPr>
        <w:t>10</w:t>
      </w:r>
      <w:r>
        <w:rPr>
          <w:rFonts w:hint="eastAsia" w:ascii="仿宋_GB2312" w:hAnsi="仿宋_GB2312" w:eastAsia="仿宋" w:cs="仿宋_GB2312"/>
          <w:b w:val="0"/>
          <w:bCs w:val="0"/>
          <w:color w:val="auto"/>
          <w:kern w:val="2"/>
          <w:sz w:val="28"/>
          <w:szCs w:val="24"/>
          <w:highlight w:val="none"/>
          <w:lang w:val="en-US" w:eastAsia="zh-CN" w:bidi="ar-SA"/>
        </w:rPr>
        <w:t>人次，指标完成率是100%，达到</w:t>
      </w:r>
      <w:r>
        <w:rPr>
          <w:rFonts w:hint="eastAsia" w:cs="仿宋_GB2312"/>
          <w:b w:val="0"/>
          <w:bCs w:val="0"/>
          <w:color w:val="auto"/>
          <w:kern w:val="2"/>
          <w:sz w:val="28"/>
          <w:szCs w:val="24"/>
          <w:highlight w:val="none"/>
          <w:lang w:val="en-US" w:eastAsia="zh-CN" w:bidi="ar-SA"/>
        </w:rPr>
        <w:t>了提升医务人员自身职业技能水平的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（六）提供医疗与护理保健服务率指标完成情况分析</w:t>
      </w:r>
    </w:p>
    <w:p>
      <w:pPr>
        <w:pStyle w:val="2"/>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提供医疗与护理保健服务率指标年初设定目标是&gt;=</w:t>
      </w:r>
      <w:r>
        <w:rPr>
          <w:rFonts w:hint="eastAsia" w:cs="仿宋_GB2312"/>
          <w:b w:val="0"/>
          <w:bCs w:val="0"/>
          <w:color w:val="auto"/>
          <w:kern w:val="2"/>
          <w:sz w:val="28"/>
          <w:szCs w:val="24"/>
          <w:highlight w:val="none"/>
          <w:lang w:val="en-US" w:eastAsia="zh-CN" w:bidi="ar-SA"/>
        </w:rPr>
        <w:t>90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90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提高了患者就医医疗与服务水平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pPr>
        <w:pStyle w:val="4"/>
        <w:numPr>
          <w:ilvl w:val="0"/>
          <w:numId w:val="0"/>
        </w:numPr>
        <w:bidi w:val="0"/>
        <w:spacing w:before="0" w:beforeLines="0" w:line="240" w:lineRule="auto"/>
        <w:ind w:left="560" w:leftChars="0"/>
        <w:rPr>
          <w:rFonts w:hint="eastAsia"/>
          <w:color w:val="auto"/>
          <w:highlight w:val="none"/>
          <w:lang w:val="en-US" w:eastAsia="zh-CN"/>
        </w:rPr>
      </w:pPr>
      <w:r>
        <w:rPr>
          <w:rFonts w:hint="eastAsia"/>
          <w:color w:val="auto"/>
          <w:highlight w:val="none"/>
          <w:lang w:val="en-US" w:eastAsia="zh-CN"/>
        </w:rPr>
        <w:t>（七）人员经费足额发放率指标完成情况分析</w:t>
      </w:r>
    </w:p>
    <w:p>
      <w:pPr>
        <w:rPr>
          <w:rFonts w:hint="eastAsia"/>
          <w:color w:val="auto"/>
          <w:highlight w:val="none"/>
          <w:lang w:val="en-US" w:eastAsia="zh-CN"/>
        </w:rPr>
      </w:pPr>
    </w:p>
    <w:p>
      <w:pPr>
        <w:rPr>
          <w:rFonts w:hint="eastAsia" w:cs="仿宋_GB2312"/>
          <w:b w:val="0"/>
          <w:bCs w:val="0"/>
          <w:color w:val="auto"/>
          <w:kern w:val="2"/>
          <w:sz w:val="28"/>
          <w:szCs w:val="24"/>
          <w:highlight w:val="none"/>
          <w:lang w:val="en-US" w:eastAsia="zh-CN" w:bidi="ar-SA"/>
        </w:rPr>
      </w:pPr>
      <w:r>
        <w:rPr>
          <w:rFonts w:hint="eastAsia"/>
          <w:color w:val="auto"/>
          <w:highlight w:val="none"/>
          <w:lang w:val="en-US" w:eastAsia="zh-CN"/>
        </w:rPr>
        <w:t>人员经费足额发放率</w:t>
      </w:r>
      <w:r>
        <w:rPr>
          <w:rFonts w:hint="eastAsia" w:ascii="仿宋_GB2312" w:hAnsi="仿宋_GB2312" w:eastAsia="仿宋" w:cs="仿宋_GB2312"/>
          <w:b w:val="0"/>
          <w:bCs w:val="0"/>
          <w:color w:val="auto"/>
          <w:kern w:val="2"/>
          <w:sz w:val="28"/>
          <w:szCs w:val="24"/>
          <w:highlight w:val="none"/>
          <w:lang w:val="en-US" w:eastAsia="zh-CN" w:bidi="ar-SA"/>
        </w:rPr>
        <w:t>指标年初设定目标是=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达到了保障在职人员工资按时发放，社会保险及医疗保险按时足额缴纳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（八）药品差价政策执行率指标完成情况分析</w:t>
      </w:r>
    </w:p>
    <w:p>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药品差价政策执行率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实现了药品价格公开，</w:t>
      </w:r>
      <w:r>
        <w:rPr>
          <w:rFonts w:hint="eastAsia" w:ascii="仿宋" w:hAnsi="仿宋" w:eastAsia="仿宋" w:cs="Times New Roman"/>
          <w:color w:val="auto"/>
          <w:kern w:val="2"/>
          <w:sz w:val="28"/>
          <w:szCs w:val="24"/>
          <w:highlight w:val="none"/>
          <w:lang w:val="en-US" w:eastAsia="zh-CN" w:bidi="ar-SA"/>
        </w:rPr>
        <w:t>减轻患者医药费用负担，使群众得到更多的实惠</w:t>
      </w:r>
      <w:r>
        <w:rPr>
          <w:rFonts w:hint="eastAsia"/>
          <w:color w:val="auto"/>
          <w:highlight w:val="none"/>
          <w:lang w:val="en-US" w:eastAsia="zh-CN"/>
        </w:rPr>
        <w:t>的预期目标。偏差原因：无偏差。</w:t>
      </w:r>
    </w:p>
    <w:p>
      <w:pPr>
        <w:pStyle w:val="2"/>
        <w:numPr>
          <w:ilvl w:val="0"/>
          <w:numId w:val="0"/>
        </w:numPr>
        <w:ind w:left="560" w:leftChars="0"/>
        <w:rPr>
          <w:rFonts w:hint="eastAsia"/>
          <w:color w:val="auto"/>
          <w:highlight w:val="none"/>
          <w:lang w:val="en-US" w:eastAsia="zh-CN"/>
        </w:rPr>
      </w:pPr>
      <w:r>
        <w:rPr>
          <w:rFonts w:hint="eastAsia"/>
          <w:color w:val="auto"/>
          <w:highlight w:val="none"/>
          <w:lang w:val="en-US" w:eastAsia="zh-CN"/>
        </w:rPr>
        <w:t>（九）辖区基本公共卫生服务覆盖率指标完成情况分析</w:t>
      </w:r>
    </w:p>
    <w:p>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辖区基本公共卫生服务覆盖率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实现了基本公共卫生服务全覆盖</w:t>
      </w:r>
      <w:r>
        <w:rPr>
          <w:rFonts w:hint="eastAsia"/>
          <w:color w:val="auto"/>
          <w:highlight w:val="none"/>
          <w:lang w:val="en-US" w:eastAsia="zh-CN"/>
        </w:rPr>
        <w:t>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（十）医保政策知晓率指标完成情况分析</w:t>
      </w:r>
    </w:p>
    <w:p>
      <w:pPr>
        <w:bidi w:val="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医保政策知晓率指标年初设定目标是&gt;=90%，年中绩效运行监控时完成值</w:t>
      </w:r>
      <w:r>
        <w:rPr>
          <w:rFonts w:hint="eastAsia"/>
          <w:color w:val="auto"/>
          <w:highlight w:val="none"/>
          <w:lang w:val="en-US" w:eastAsia="zh-CN"/>
        </w:rPr>
        <w:t>100%</w:t>
      </w:r>
      <w:r>
        <w:rPr>
          <w:rFonts w:hint="eastAsia" w:ascii="仿宋_GB2312" w:hAnsi="仿宋_GB2312" w:eastAsia="仿宋" w:cs="仿宋_GB2312"/>
          <w:b w:val="0"/>
          <w:bCs w:val="0"/>
          <w:color w:val="auto"/>
          <w:kern w:val="2"/>
          <w:sz w:val="28"/>
          <w:szCs w:val="24"/>
          <w:highlight w:val="none"/>
          <w:lang w:val="en-US" w:eastAsia="zh-CN" w:bidi="ar-SA"/>
        </w:rPr>
        <w:t>，年终实际完成值是90%，指标完成率是100%，提高了居民对医保政策的理解和信任的预期目标。偏差原因：无偏差。</w:t>
      </w:r>
    </w:p>
    <w:p>
      <w:pPr>
        <w:pStyle w:val="2"/>
        <w:numPr>
          <w:ilvl w:val="0"/>
          <w:numId w:val="0"/>
        </w:numPr>
        <w:ind w:firstLine="643" w:firstLineChars="200"/>
        <w:rPr>
          <w:rFonts w:hint="eastAsia"/>
          <w:color w:val="auto"/>
          <w:highlight w:val="none"/>
          <w:lang w:val="en-US" w:eastAsia="zh-CN"/>
        </w:rPr>
      </w:pPr>
      <w:r>
        <w:rPr>
          <w:rFonts w:hint="eastAsia" w:ascii="Arial" w:hAnsi="Arial" w:eastAsia="楷体_GB2312" w:cs="仿宋_GB2312"/>
          <w:b/>
          <w:bCs w:val="0"/>
          <w:color w:val="auto"/>
          <w:kern w:val="2"/>
          <w:sz w:val="32"/>
          <w:szCs w:val="24"/>
          <w:highlight w:val="none"/>
          <w:lang w:val="en-US" w:eastAsia="zh-CN" w:bidi="ar-SA"/>
        </w:rPr>
        <w:t>（十一）</w:t>
      </w:r>
      <w:r>
        <w:rPr>
          <w:rFonts w:hint="eastAsia"/>
          <w:color w:val="auto"/>
          <w:highlight w:val="none"/>
          <w:lang w:val="en-US" w:eastAsia="zh-CN"/>
        </w:rPr>
        <w:t>提升本辖区居民健康水平指标完成情况分析</w:t>
      </w:r>
    </w:p>
    <w:p>
      <w:pPr>
        <w:bidi w:val="0"/>
        <w:rPr>
          <w:rFonts w:hint="eastAsia"/>
          <w:color w:val="auto"/>
          <w:highlight w:val="none"/>
          <w:lang w:val="en-US" w:eastAsia="zh-CN"/>
        </w:rPr>
      </w:pPr>
      <w:r>
        <w:rPr>
          <w:rFonts w:hint="eastAsia"/>
          <w:color w:val="auto"/>
          <w:highlight w:val="none"/>
          <w:lang w:val="en-US" w:eastAsia="zh-CN"/>
        </w:rPr>
        <w:t>提升本辖区居民健康水平指标年初设定目标是&gt;=90%，年中绩效运行监控时完成值未达监控节点，年终实际完成值是90%，指标完成率是100%，提高了本辖区居民健康水平的预期目标。偏差原因：无偏差。</w:t>
      </w:r>
    </w:p>
    <w:p>
      <w:pPr>
        <w:rPr>
          <w:rFonts w:hint="eastAsia"/>
          <w:color w:val="auto"/>
          <w:highlight w:val="none"/>
          <w:lang w:val="en-US" w:eastAsia="zh-CN"/>
        </w:rPr>
      </w:pP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（十二）居民满意度指标完成情况分析</w:t>
      </w:r>
    </w:p>
    <w:p>
      <w:pPr>
        <w:bidi w:val="0"/>
        <w:rPr>
          <w:rFonts w:hint="eastAsia"/>
          <w:color w:val="auto"/>
          <w:highlight w:val="none"/>
          <w:lang w:val="en-US" w:eastAsia="zh-CN"/>
        </w:rPr>
      </w:pPr>
      <w:r>
        <w:rPr>
          <w:rFonts w:hint="eastAsia"/>
          <w:color w:val="auto"/>
          <w:highlight w:val="none"/>
          <w:lang w:val="en-US" w:eastAsia="zh-CN"/>
        </w:rPr>
        <w:t>居民满意度指标年初设定目标是&gt;=90%，年中绩效运行监控时完成值未达监控节点，年终实际完成值是90%，指标完成率是100%，提升了患者满意度和就诊体验的预期目标。偏差原因：无偏差。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（十三）职工满意度指标完成情况分析</w:t>
      </w:r>
    </w:p>
    <w:p>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职工满意度指标年初设定目标是&gt;=95%，年中绩效运行监控时完成值未达监控节点，年终实际完成值是95%，指标完成率是100%，增强了员工的积极性，提高了工作效率，减少人员流失的预期目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w:t>
      </w:r>
      <w:bookmarkStart w:id="6" w:name="_GoBack"/>
      <w:bookmarkEnd w:id="6"/>
      <w:r>
        <w:rPr>
          <w:rFonts w:hint="eastAsia"/>
          <w:color w:val="auto"/>
          <w:highlight w:val="none"/>
          <w:lang w:eastAsia="zh-CN"/>
        </w:rPr>
        <w:t>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spacing w:line="560" w:lineRule="exact"/>
        <w:ind w:firstLine="560" w:firstLineChars="200"/>
        <w:rPr>
          <w:rFonts w:hint="default"/>
          <w:color w:val="auto"/>
          <w:highlight w:val="none"/>
          <w:lang w:eastAsia="zh-CN"/>
        </w:rPr>
      </w:pPr>
      <w:bookmarkStart w:id="4" w:name="_Toc22800_WPSOffice_Level1"/>
      <w:r>
        <w:rPr>
          <w:rFonts w:hint="default"/>
          <w:color w:val="auto"/>
          <w:highlight w:val="none"/>
          <w:lang w:eastAsia="zh-CN"/>
        </w:rPr>
        <w:t>2023年，</w:t>
      </w:r>
      <w:r>
        <w:rPr>
          <w:rFonts w:hint="default"/>
          <w:color w:val="auto"/>
          <w:highlight w:val="none"/>
          <w:lang w:val="en-US" w:eastAsia="zh-CN"/>
        </w:rPr>
        <w:t>和静县</w:t>
      </w:r>
      <w:r>
        <w:rPr>
          <w:rFonts w:hint="eastAsia"/>
          <w:color w:val="auto"/>
          <w:highlight w:val="none"/>
          <w:lang w:val="en-US" w:eastAsia="zh-CN"/>
        </w:rPr>
        <w:t>阿拉沟乡卫生院</w:t>
      </w:r>
      <w:r>
        <w:rPr>
          <w:rFonts w:hint="default"/>
          <w:color w:val="auto"/>
          <w:highlight w:val="none"/>
          <w:lang w:eastAsia="zh-CN"/>
        </w:rPr>
        <w:t>坚持以习近平新时代中国特色社会主义重要思想为指导，深入贯彻党的</w:t>
      </w:r>
      <w:r>
        <w:rPr>
          <w:rFonts w:hint="default"/>
          <w:color w:val="auto"/>
          <w:highlight w:val="none"/>
          <w:lang w:val="en-US" w:eastAsia="zh-CN"/>
        </w:rPr>
        <w:t>二十</w:t>
      </w:r>
      <w:r>
        <w:rPr>
          <w:rFonts w:hint="default"/>
          <w:color w:val="auto"/>
          <w:highlight w:val="none"/>
          <w:lang w:eastAsia="zh-CN"/>
        </w:rPr>
        <w:t>大精神</w:t>
      </w:r>
      <w:r>
        <w:rPr>
          <w:rFonts w:hint="eastAsia"/>
          <w:color w:val="auto"/>
          <w:highlight w:val="none"/>
          <w:lang w:eastAsia="zh-CN"/>
        </w:rPr>
        <w:t>，</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w:t>
      </w:r>
      <w:r>
        <w:rPr>
          <w:rFonts w:hint="eastAsia"/>
          <w:color w:val="auto"/>
          <w:highlight w:val="none"/>
          <w:lang w:val="en-US" w:eastAsia="zh-CN"/>
        </w:rPr>
        <w:t>我辖区居民</w:t>
      </w:r>
      <w:r>
        <w:rPr>
          <w:rFonts w:hint="default"/>
          <w:color w:val="auto"/>
          <w:highlight w:val="none"/>
          <w:lang w:eastAsia="zh-CN"/>
        </w:rPr>
        <w:t>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p>
    <w:p>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spacing w:line="360" w:lineRule="auto"/>
        <w:ind w:firstLine="560" w:firstLineChars="200"/>
        <w:jc w:val="left"/>
        <w:rPr>
          <w:rFonts w:ascii="Times New Roman" w:hAnsi="Times New Roman" w:cs="Times New Roman"/>
          <w:color w:val="auto"/>
          <w:kern w:val="0"/>
          <w:szCs w:val="28"/>
          <w:highlight w:val="none"/>
        </w:rPr>
      </w:pPr>
      <w:bookmarkStart w:id="5" w:name="_Toc29546_WPSOffice_Level1"/>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pPr>
        <w:numPr>
          <w:ilvl w:val="0"/>
          <w:numId w:val="1"/>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pPr>
        <w:pStyle w:val="3"/>
        <w:ind w:firstLine="643"/>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年初预算的编制未细化到每个科室，医院属于业务型单位，突发公共事件、紧急采购、临时维修、培训学习等项目较多，因此对于追加的预算资金，没有进行预算分解，涉及追加预算资金的预算管理仅从总额进行控制。</w:t>
      </w:r>
    </w:p>
    <w:p>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5EAF67"/>
    <w:multiLevelType w:val="singleLevel"/>
    <w:tmpl w:val="F05EAF6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892162"/>
    <w:rsid w:val="04DB4953"/>
    <w:rsid w:val="04FE37DC"/>
    <w:rsid w:val="04FF0482"/>
    <w:rsid w:val="05062887"/>
    <w:rsid w:val="05464D81"/>
    <w:rsid w:val="0575419C"/>
    <w:rsid w:val="05F70F85"/>
    <w:rsid w:val="0607573C"/>
    <w:rsid w:val="06547701"/>
    <w:rsid w:val="072B19D6"/>
    <w:rsid w:val="07F75BB0"/>
    <w:rsid w:val="084208C4"/>
    <w:rsid w:val="098A3C0A"/>
    <w:rsid w:val="09A24E4E"/>
    <w:rsid w:val="0A9A7091"/>
    <w:rsid w:val="0ABB584A"/>
    <w:rsid w:val="0C48260B"/>
    <w:rsid w:val="0C6738B8"/>
    <w:rsid w:val="0CE47028"/>
    <w:rsid w:val="0E7D784C"/>
    <w:rsid w:val="0FBC1346"/>
    <w:rsid w:val="10300946"/>
    <w:rsid w:val="10A122E9"/>
    <w:rsid w:val="10FE60D7"/>
    <w:rsid w:val="13477178"/>
    <w:rsid w:val="134F7771"/>
    <w:rsid w:val="13DE58D8"/>
    <w:rsid w:val="13E513B9"/>
    <w:rsid w:val="14FB46BE"/>
    <w:rsid w:val="158C5316"/>
    <w:rsid w:val="15B904C0"/>
    <w:rsid w:val="165C118C"/>
    <w:rsid w:val="17125CEF"/>
    <w:rsid w:val="172D035F"/>
    <w:rsid w:val="175D58E3"/>
    <w:rsid w:val="17E51656"/>
    <w:rsid w:val="18061B60"/>
    <w:rsid w:val="18906761"/>
    <w:rsid w:val="190C3DF8"/>
    <w:rsid w:val="19AA4D08"/>
    <w:rsid w:val="19B9393C"/>
    <w:rsid w:val="19F83E30"/>
    <w:rsid w:val="1B403139"/>
    <w:rsid w:val="1C6D319F"/>
    <w:rsid w:val="1D13631D"/>
    <w:rsid w:val="1D384A93"/>
    <w:rsid w:val="1D4D74D6"/>
    <w:rsid w:val="1DE32CFD"/>
    <w:rsid w:val="1F1A602A"/>
    <w:rsid w:val="1F2854B6"/>
    <w:rsid w:val="209329A5"/>
    <w:rsid w:val="217D20CE"/>
    <w:rsid w:val="21C67E02"/>
    <w:rsid w:val="21C768CD"/>
    <w:rsid w:val="22E14253"/>
    <w:rsid w:val="23931BB2"/>
    <w:rsid w:val="23F209A3"/>
    <w:rsid w:val="2403516E"/>
    <w:rsid w:val="24E71FCC"/>
    <w:rsid w:val="256A2A9E"/>
    <w:rsid w:val="25B65683"/>
    <w:rsid w:val="26BF16F1"/>
    <w:rsid w:val="27F7226E"/>
    <w:rsid w:val="2805537E"/>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1A3077"/>
    <w:rsid w:val="33291F9F"/>
    <w:rsid w:val="332E3A59"/>
    <w:rsid w:val="33A83F87"/>
    <w:rsid w:val="340D2D0F"/>
    <w:rsid w:val="348F1A9E"/>
    <w:rsid w:val="355C2B3F"/>
    <w:rsid w:val="356B4AF0"/>
    <w:rsid w:val="35F12468"/>
    <w:rsid w:val="36851B5C"/>
    <w:rsid w:val="36E667CE"/>
    <w:rsid w:val="36FE0561"/>
    <w:rsid w:val="3714684D"/>
    <w:rsid w:val="37661A13"/>
    <w:rsid w:val="377A54BF"/>
    <w:rsid w:val="379871D0"/>
    <w:rsid w:val="37BA58BB"/>
    <w:rsid w:val="37D360CA"/>
    <w:rsid w:val="3882287D"/>
    <w:rsid w:val="38CB5066"/>
    <w:rsid w:val="38CD161E"/>
    <w:rsid w:val="38E054C9"/>
    <w:rsid w:val="3A565DE9"/>
    <w:rsid w:val="3AB111F7"/>
    <w:rsid w:val="3AC36A27"/>
    <w:rsid w:val="3B4A33FA"/>
    <w:rsid w:val="3B4A3407"/>
    <w:rsid w:val="3BA26036"/>
    <w:rsid w:val="3CCA58BE"/>
    <w:rsid w:val="3F301058"/>
    <w:rsid w:val="3FD85816"/>
    <w:rsid w:val="417A34F9"/>
    <w:rsid w:val="418810F4"/>
    <w:rsid w:val="41A37673"/>
    <w:rsid w:val="42503F5E"/>
    <w:rsid w:val="42C30950"/>
    <w:rsid w:val="43F63628"/>
    <w:rsid w:val="44EB17AA"/>
    <w:rsid w:val="459B4F7E"/>
    <w:rsid w:val="45A65C7F"/>
    <w:rsid w:val="45F13359"/>
    <w:rsid w:val="468C2A4A"/>
    <w:rsid w:val="46AD2493"/>
    <w:rsid w:val="46EC7F14"/>
    <w:rsid w:val="471276CB"/>
    <w:rsid w:val="47CA7D9C"/>
    <w:rsid w:val="47DB3D58"/>
    <w:rsid w:val="480D0379"/>
    <w:rsid w:val="48194880"/>
    <w:rsid w:val="48AF4C7F"/>
    <w:rsid w:val="4A5B46DD"/>
    <w:rsid w:val="4A6F6A56"/>
    <w:rsid w:val="4A7162AD"/>
    <w:rsid w:val="4A81677A"/>
    <w:rsid w:val="4AD43BE1"/>
    <w:rsid w:val="4B3B5348"/>
    <w:rsid w:val="4D2143D5"/>
    <w:rsid w:val="4DA177B2"/>
    <w:rsid w:val="4DA370C6"/>
    <w:rsid w:val="4DF36D4F"/>
    <w:rsid w:val="4E50267E"/>
    <w:rsid w:val="4F2E6E63"/>
    <w:rsid w:val="4F5B577E"/>
    <w:rsid w:val="501B7C76"/>
    <w:rsid w:val="504D5CCF"/>
    <w:rsid w:val="50744D49"/>
    <w:rsid w:val="511A2CA6"/>
    <w:rsid w:val="533A7469"/>
    <w:rsid w:val="53526129"/>
    <w:rsid w:val="538B4CD8"/>
    <w:rsid w:val="53A21BCD"/>
    <w:rsid w:val="541D74A6"/>
    <w:rsid w:val="54394F3D"/>
    <w:rsid w:val="54A84FC1"/>
    <w:rsid w:val="54E12281"/>
    <w:rsid w:val="55570796"/>
    <w:rsid w:val="565F61A9"/>
    <w:rsid w:val="56AD4B11"/>
    <w:rsid w:val="57232FC4"/>
    <w:rsid w:val="572D2326"/>
    <w:rsid w:val="57365691"/>
    <w:rsid w:val="57B764DE"/>
    <w:rsid w:val="59EE1E48"/>
    <w:rsid w:val="5A490F5C"/>
    <w:rsid w:val="5A9E4667"/>
    <w:rsid w:val="5B805E16"/>
    <w:rsid w:val="5BD21464"/>
    <w:rsid w:val="5BDE2B83"/>
    <w:rsid w:val="5C777282"/>
    <w:rsid w:val="61635F72"/>
    <w:rsid w:val="618606C5"/>
    <w:rsid w:val="6224402D"/>
    <w:rsid w:val="62516C98"/>
    <w:rsid w:val="636649C5"/>
    <w:rsid w:val="6384067A"/>
    <w:rsid w:val="638D125E"/>
    <w:rsid w:val="6396333E"/>
    <w:rsid w:val="63E114D3"/>
    <w:rsid w:val="64033FC2"/>
    <w:rsid w:val="65B174D2"/>
    <w:rsid w:val="66951451"/>
    <w:rsid w:val="680E0276"/>
    <w:rsid w:val="690031C6"/>
    <w:rsid w:val="6A2B751B"/>
    <w:rsid w:val="6AD46D46"/>
    <w:rsid w:val="6B07083C"/>
    <w:rsid w:val="6B623CC4"/>
    <w:rsid w:val="6B6C65E0"/>
    <w:rsid w:val="6C2B67AC"/>
    <w:rsid w:val="6CB31465"/>
    <w:rsid w:val="6DE07909"/>
    <w:rsid w:val="6E0C3182"/>
    <w:rsid w:val="6E58438A"/>
    <w:rsid w:val="6E7066F8"/>
    <w:rsid w:val="6E9D5508"/>
    <w:rsid w:val="6F871359"/>
    <w:rsid w:val="7012558D"/>
    <w:rsid w:val="711B7F18"/>
    <w:rsid w:val="71EB22B3"/>
    <w:rsid w:val="72010FA6"/>
    <w:rsid w:val="730542C9"/>
    <w:rsid w:val="733F48EB"/>
    <w:rsid w:val="74212849"/>
    <w:rsid w:val="744C1D4E"/>
    <w:rsid w:val="74602D6B"/>
    <w:rsid w:val="748A4F72"/>
    <w:rsid w:val="74934EEE"/>
    <w:rsid w:val="74961819"/>
    <w:rsid w:val="750202C6"/>
    <w:rsid w:val="75664078"/>
    <w:rsid w:val="761E4132"/>
    <w:rsid w:val="77707769"/>
    <w:rsid w:val="78061A79"/>
    <w:rsid w:val="78713799"/>
    <w:rsid w:val="79181486"/>
    <w:rsid w:val="7A015F2D"/>
    <w:rsid w:val="7AFE508C"/>
    <w:rsid w:val="7B2561EC"/>
    <w:rsid w:val="7B587F11"/>
    <w:rsid w:val="7BC003CA"/>
    <w:rsid w:val="7CBF4BB4"/>
    <w:rsid w:val="7E53749D"/>
    <w:rsid w:val="7E5D346D"/>
    <w:rsid w:val="7EEF3669"/>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2590</Words>
  <Characters>2809</Characters>
  <Lines>7</Lines>
  <Paragraphs>2</Paragraphs>
  <TotalTime>8</TotalTime>
  <ScaleCrop>false</ScaleCrop>
  <LinksUpToDate>false</LinksUpToDate>
  <CharactersWithSpaces>2809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2024-08-11T07:08:43Z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