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rPr>
          <w:rFonts w:hint="eastAsia"/>
          <w:lang w:val="en-US" w:eastAsia="zh-CN"/>
        </w:rPr>
      </w:pPr>
      <w:bookmarkStart w:id="0" w:name="_Toc23945_WPSOffice_Level1"/>
      <w:r>
        <w:rPr>
          <w:rFonts w:hint="eastAsia" w:ascii="黑体" w:hAnsi="黑体" w:eastAsia="黑体" w:cs="黑体"/>
          <w:color w:val="auto"/>
          <w:sz w:val="44"/>
          <w:szCs w:val="44"/>
          <w:highlight w:val="none"/>
          <w:lang w:val="en-US" w:eastAsia="zh-CN"/>
        </w:rPr>
        <w:t>部门单位整体支出绩效自评报告</w:t>
      </w:r>
    </w:p>
    <w:p>
      <w:pPr>
        <w:pStyle w:val="3"/>
        <w:bidi w:val="0"/>
        <w:ind w:left="0" w:leftChars="0" w:firstLine="0" w:firstLineChars="0"/>
        <w:rPr>
          <w:rFonts w:hint="eastAsia"/>
          <w:color w:val="auto"/>
          <w:highlight w:val="none"/>
        </w:rPr>
      </w:pPr>
      <w:r>
        <w:rPr>
          <w:rFonts w:hint="eastAsia"/>
          <w:color w:val="auto"/>
          <w:highlight w:val="none"/>
          <w:lang w:val="en-US" w:eastAsia="zh-CN"/>
        </w:rPr>
        <w:t>一、</w:t>
      </w:r>
      <w:r>
        <w:rPr>
          <w:rFonts w:hint="eastAsia"/>
          <w:color w:val="auto"/>
          <w:highlight w:val="none"/>
        </w:rPr>
        <w:t>基本概况</w:t>
      </w:r>
    </w:p>
    <w:p>
      <w:pPr>
        <w:pStyle w:val="4"/>
        <w:bidi w:val="0"/>
        <w:rPr>
          <w:rFonts w:hint="eastAsia"/>
          <w:color w:val="auto"/>
          <w:highlight w:val="none"/>
          <w:lang w:val="en-US" w:eastAsia="zh-CN"/>
        </w:rPr>
      </w:pPr>
      <w:r>
        <w:rPr>
          <w:rFonts w:hint="eastAsia"/>
          <w:color w:val="auto"/>
          <w:highlight w:val="none"/>
        </w:rPr>
        <w:t>（一）</w:t>
      </w:r>
      <w:r>
        <w:rPr>
          <w:rFonts w:hint="eastAsia"/>
          <w:color w:val="auto"/>
          <w:highlight w:val="none"/>
          <w:lang w:val="en-US" w:eastAsia="zh-CN"/>
        </w:rPr>
        <w:t>部门</w:t>
      </w:r>
      <w:r>
        <w:rPr>
          <w:rFonts w:hint="eastAsia"/>
          <w:color w:val="auto"/>
          <w:highlight w:val="none"/>
        </w:rPr>
        <w:t>单位基本情况</w:t>
      </w:r>
    </w:p>
    <w:bookmarkEnd w:id="0"/>
    <w:p>
      <w:pPr>
        <w:pStyle w:val="2"/>
        <w:bidi w:val="0"/>
        <w:ind w:left="0" w:leftChars="0" w:firstLine="0" w:firstLineChars="0"/>
        <w:rPr>
          <w:rFonts w:hint="eastAsia"/>
          <w:color w:val="auto"/>
          <w:highlight w:val="none"/>
          <w:lang w:val="en-US" w:eastAsia="zh-CN"/>
        </w:rPr>
      </w:pPr>
      <w:r>
        <w:rPr>
          <w:rFonts w:hint="eastAsia"/>
          <w:color w:val="auto"/>
          <w:highlight w:val="none"/>
          <w:lang w:val="en-US" w:eastAsia="zh-CN"/>
        </w:rPr>
        <w:t>1.部门主要职能</w:t>
      </w:r>
    </w:p>
    <w:p>
      <w:pPr>
        <w:pStyle w:val="2"/>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统计局为参照公务员管理的正科级单位，主要职责是：组织领导和统一协调全县统计工作，提供国民经济核算资料，组织实施全县人口、经济、农业等国情国力普查和重大专项调查；组织实施农林牧渔业、工业、建筑业、批发和零售业、住宿和餐饮业、房地产业、租赁和商务服务业、居民服务和其他服务业、文化体育和娱乐业以及装卸搬运和其他运输服务业、仓储业、计算机服务业、软件业、科技交流和推广服务业、社会福利业、旅游、交通运输、邮政、教育、卫生、社会保障、公用事业、能源、投资、消费、价格、收入、科技、人口、劳动力、社会发展基本情况、环境基本情况等统计调查，收集、汇总、整理和提供有关调查的统计数据，综合整理和提供资源环境、城乡建设、对外经济等全县性基本统计数据。</w:t>
      </w:r>
    </w:p>
    <w:p>
      <w:pPr>
        <w:pStyle w:val="2"/>
        <w:bidi w:val="0"/>
        <w:rPr>
          <w:rFonts w:hint="eastAsia"/>
          <w:color w:val="auto"/>
          <w:highlight w:val="none"/>
          <w:lang w:val="en-US" w:eastAsia="zh-CN"/>
        </w:rPr>
      </w:pPr>
      <w:r>
        <w:rPr>
          <w:rFonts w:hint="eastAsia"/>
          <w:color w:val="auto"/>
          <w:highlight w:val="none"/>
          <w:lang w:val="en-US" w:eastAsia="zh-CN"/>
        </w:rPr>
        <w:t>2.部门机构设置及人员构成</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和静县统计局无下属预算单位，下设1个处室，分别是：综合办公室。和静县统计局人员编制数共9人，其中：行政编制7人，事业编制1人，工勤1人。年初预算实有在职人员8人，退休人员6人。</w:t>
      </w:r>
    </w:p>
    <w:p>
      <w:pPr>
        <w:pStyle w:val="4"/>
        <w:bidi w:val="0"/>
        <w:outlineLvl w:val="1"/>
        <w:rPr>
          <w:rFonts w:hint="eastAsia"/>
          <w:color w:val="auto"/>
          <w:highlight w:val="none"/>
          <w:lang w:val="en-US" w:eastAsia="zh-CN"/>
        </w:rPr>
      </w:pPr>
      <w:r>
        <w:rPr>
          <w:rFonts w:hint="eastAsia"/>
          <w:color w:val="auto"/>
          <w:highlight w:val="none"/>
          <w:lang w:val="en-US" w:eastAsia="zh-CN"/>
        </w:rPr>
        <w:t>（二）部门单位年度重点工作</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2023年，我单位深入学习贯彻党的二十大精神，坚持以习近平新时代中国特色社会主义思想为指引，着力解决突出问题，深入推进干部能力建设。具体如下：</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（1）聚焦“两个维护”，把政治建设摆在首位、落到实处。推动党员干部坚决落实“两个维护”；深入学习贯彻习近平新时代中国特色社会主义思想和党的二十大精神。</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（2）做好常规统计业务工作，防范和惩治统计造假、弄虚作假，加强统计基础能力建设，提升数据质量及公信力。</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（3）加大统计信息分析写作力度，做好统计预测监测工作。</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（4）组织全县统计干部的继续教育、统计专业知识培训</w:t>
      </w:r>
    </w:p>
    <w:p>
      <w:pPr>
        <w:pStyle w:val="4"/>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（5）搜集、整理、提供全县性的基本统计资料，并对国民经济、社会发展和科技进步情况进行统计调查、统计分析。</w:t>
      </w:r>
    </w:p>
    <w:p>
      <w:pPr>
        <w:pStyle w:val="4"/>
        <w:numPr>
          <w:ilvl w:val="0"/>
          <w:numId w:val="1"/>
        </w:numPr>
        <w:bidi w:val="0"/>
        <w:rPr>
          <w:rFonts w:hint="eastAsia" w:ascii="Times New Roman" w:hAnsi="Times New Roman" w:eastAsia="仿宋" w:cs="Times New Roman"/>
          <w:b w:val="0"/>
          <w:bCs/>
          <w:color w:val="auto"/>
          <w:kern w:val="2"/>
          <w:sz w:val="28"/>
          <w:szCs w:val="24"/>
          <w:highlight w:val="none"/>
          <w:lang w:val="en-US" w:eastAsia="zh-CN" w:bidi="ar-SA"/>
        </w:rPr>
      </w:pPr>
      <w:r>
        <w:rPr>
          <w:rFonts w:hint="eastAsia" w:ascii="Times New Roman" w:hAnsi="Times New Roman" w:eastAsia="仿宋" w:cs="Times New Roman"/>
          <w:b w:val="0"/>
          <w:bCs/>
          <w:color w:val="auto"/>
          <w:kern w:val="2"/>
          <w:sz w:val="28"/>
          <w:szCs w:val="24"/>
          <w:highlight w:val="none"/>
          <w:lang w:val="en-US" w:eastAsia="zh-CN" w:bidi="ar-SA"/>
        </w:rPr>
        <w:t>开展和静县第五次全国经济普查单位清查工作，为2024年正式登记奠定基础。</w:t>
      </w:r>
    </w:p>
    <w:p>
      <w:pPr>
        <w:pStyle w:val="4"/>
        <w:numPr>
          <w:ilvl w:val="0"/>
          <w:numId w:val="0"/>
        </w:numPr>
        <w:bidi w:val="0"/>
        <w:rPr>
          <w:rFonts w:hint="default"/>
          <w:color w:val="auto"/>
          <w:highlight w:val="none"/>
          <w:lang w:val="en-US" w:eastAsia="zh-CN"/>
        </w:rPr>
      </w:pPr>
      <w:r>
        <w:rPr>
          <w:rFonts w:hint="eastAsia"/>
          <w:color w:val="auto"/>
          <w:highlight w:val="none"/>
          <w:lang w:val="en-US" w:eastAsia="zh-CN"/>
        </w:rPr>
        <w:t>（三）部门单位整体预算规模及安排情况</w:t>
      </w:r>
    </w:p>
    <w:p>
      <w:pPr>
        <w:bidi w:val="0"/>
        <w:rPr>
          <w:rFonts w:hint="eastAsia" w:ascii="仿宋_GB2312" w:hAnsi="仿宋_GB2312" w:eastAsia="仿宋" w:cs="仿宋_GB2312"/>
          <w:b/>
          <w:bCs/>
          <w:color w:val="auto"/>
          <w:kern w:val="2"/>
          <w:sz w:val="30"/>
          <w:szCs w:val="32"/>
          <w:highlight w:val="none"/>
          <w:lang w:val="en-US" w:eastAsia="zh-CN" w:bidi="ar-SA"/>
        </w:rPr>
      </w:pPr>
      <w:r>
        <w:rPr>
          <w:rFonts w:hint="eastAsia" w:ascii="仿宋_GB2312" w:hAnsi="仿宋_GB2312" w:eastAsia="仿宋" w:cs="仿宋_GB2312"/>
          <w:b/>
          <w:bCs/>
          <w:color w:val="auto"/>
          <w:kern w:val="2"/>
          <w:sz w:val="30"/>
          <w:szCs w:val="32"/>
          <w:highlight w:val="none"/>
          <w:lang w:val="en-US" w:eastAsia="zh-CN" w:bidi="ar-SA"/>
        </w:rPr>
        <w:t>1.预算执行情况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（1）年初预算执行情况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我单位年初预算数为164.76万元，实际预算执行数164.76万元，预算执行率为100%。</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（2）全年预算执行情况</w:t>
      </w:r>
    </w:p>
    <w:p>
      <w:pPr>
        <w:bidi w:val="0"/>
        <w:rPr>
          <w:rFonts w:hint="eastAsia" w:ascii="Times New Roman" w:hAnsi="Times New Roman" w:cs="Times New Roman"/>
          <w:bCs/>
          <w:color w:val="auto"/>
          <w:highlight w:val="none"/>
          <w:lang w:val="en-US" w:eastAsia="zh-CN"/>
        </w:rPr>
      </w:pPr>
      <w:r>
        <w:rPr>
          <w:rFonts w:hint="eastAsia" w:ascii="Times New Roman" w:hAnsi="Times New Roman" w:cs="Times New Roman"/>
          <w:bCs/>
          <w:color w:val="auto"/>
          <w:highlight w:val="none"/>
          <w:lang w:val="en-US" w:eastAsia="zh-CN"/>
        </w:rPr>
        <w:t>全年预算数为221.39万元，全年实际支出资金221.39万元，预算执行率为100%。</w:t>
      </w:r>
    </w:p>
    <w:p>
      <w:pPr>
        <w:pStyle w:val="2"/>
        <w:bidi w:val="0"/>
        <w:rPr>
          <w:rFonts w:hint="eastAsia"/>
          <w:color w:val="auto"/>
          <w:highlight w:val="none"/>
          <w:lang w:val="en-US" w:eastAsia="zh-CN"/>
        </w:rPr>
      </w:pPr>
      <w:r>
        <w:rPr>
          <w:rFonts w:hint="eastAsia"/>
          <w:color w:val="auto"/>
          <w:highlight w:val="none"/>
          <w:lang w:val="en-US" w:eastAsia="zh-CN"/>
        </w:rPr>
        <w:t>2.预算调整（追加减）情况</w:t>
      </w:r>
    </w:p>
    <w:p>
      <w:pPr>
        <w:bidi w:val="0"/>
        <w:rPr>
          <w:rFonts w:hint="eastAsia" w:ascii="Times New Roman" w:hAnsi="Times New Roman" w:cs="Times New Roman"/>
          <w:bCs/>
          <w:color w:val="auto"/>
          <w:highlight w:val="none"/>
          <w:lang w:eastAsia="zh-CN"/>
        </w:rPr>
      </w:pPr>
      <w:r>
        <w:rPr>
          <w:rFonts w:hint="eastAsia" w:ascii="Times New Roman" w:hAnsi="Times New Roman" w:cs="Times New Roman"/>
          <w:bCs/>
          <w:color w:val="auto"/>
          <w:highlight w:val="none"/>
          <w:lang w:eastAsia="zh-CN"/>
        </w:rPr>
        <w:t>我单位年初批复预算数</w:t>
      </w:r>
      <w:r>
        <w:rPr>
          <w:rFonts w:hint="eastAsia" w:ascii="Times New Roman" w:hAnsi="Times New Roman" w:cs="Times New Roman"/>
          <w:bCs/>
          <w:color w:val="auto"/>
          <w:highlight w:val="none"/>
          <w:lang w:val="en-US" w:eastAsia="zh-CN"/>
        </w:rPr>
        <w:t>164.76</w:t>
      </w:r>
      <w:r>
        <w:rPr>
          <w:rFonts w:hint="eastAsia" w:ascii="Times New Roman" w:hAnsi="Times New Roman" w:cs="Times New Roman"/>
          <w:bCs/>
          <w:color w:val="auto"/>
          <w:highlight w:val="none"/>
          <w:lang w:eastAsia="zh-CN"/>
        </w:rPr>
        <w:t>万元，年中调整数</w:t>
      </w:r>
      <w:r>
        <w:rPr>
          <w:rFonts w:hint="eastAsia" w:ascii="Times New Roman" w:hAnsi="Times New Roman" w:cs="Times New Roman"/>
          <w:bCs/>
          <w:color w:val="auto"/>
          <w:highlight w:val="none"/>
          <w:lang w:val="en-US" w:eastAsia="zh-CN"/>
        </w:rPr>
        <w:t>56.63</w:t>
      </w:r>
      <w:r>
        <w:rPr>
          <w:rFonts w:hint="eastAsia" w:ascii="Times New Roman" w:hAnsi="Times New Roman" w:cs="Times New Roman"/>
          <w:bCs/>
          <w:color w:val="auto"/>
          <w:highlight w:val="none"/>
          <w:lang w:eastAsia="zh-CN"/>
        </w:rPr>
        <w:t>万元，调整后全年预算数</w:t>
      </w:r>
      <w:r>
        <w:rPr>
          <w:rFonts w:hint="eastAsia" w:ascii="Times New Roman" w:hAnsi="Times New Roman" w:cs="Times New Roman"/>
          <w:bCs/>
          <w:color w:val="auto"/>
          <w:highlight w:val="none"/>
          <w:lang w:val="en-US" w:eastAsia="zh-CN"/>
        </w:rPr>
        <w:t>221.39</w:t>
      </w:r>
      <w:r>
        <w:rPr>
          <w:rFonts w:hint="eastAsia" w:ascii="Times New Roman" w:hAnsi="Times New Roman" w:cs="Times New Roman"/>
          <w:bCs/>
          <w:color w:val="auto"/>
          <w:highlight w:val="none"/>
          <w:lang w:eastAsia="zh-CN"/>
        </w:rPr>
        <w:t>万元，预算调整率</w:t>
      </w:r>
      <w:r>
        <w:rPr>
          <w:rFonts w:hint="eastAsia" w:ascii="Times New Roman" w:hAnsi="Times New Roman" w:cs="Times New Roman"/>
          <w:bCs/>
          <w:color w:val="auto"/>
          <w:highlight w:val="none"/>
          <w:lang w:val="en-US" w:eastAsia="zh-CN"/>
        </w:rPr>
        <w:t>34.37</w:t>
      </w:r>
      <w:r>
        <w:rPr>
          <w:rFonts w:hint="eastAsia" w:ascii="Times New Roman" w:hAnsi="Times New Roman" w:cs="Times New Roman"/>
          <w:bCs/>
          <w:color w:val="auto"/>
          <w:highlight w:val="none"/>
          <w:lang w:eastAsia="zh-CN"/>
        </w:rPr>
        <w:t>%。（预算调整率=调整数/年初预算数*100%=</w:t>
      </w:r>
      <w:r>
        <w:rPr>
          <w:rFonts w:hint="eastAsia" w:ascii="Times New Roman" w:hAnsi="Times New Roman" w:cs="Times New Roman"/>
          <w:bCs/>
          <w:color w:val="auto"/>
          <w:highlight w:val="none"/>
          <w:lang w:val="en-US" w:eastAsia="zh-CN"/>
        </w:rPr>
        <w:t>34.37</w:t>
      </w:r>
      <w:r>
        <w:rPr>
          <w:rFonts w:hint="eastAsia" w:ascii="Times New Roman" w:hAnsi="Times New Roman" w:cs="Times New Roman"/>
          <w:bCs/>
          <w:color w:val="auto"/>
          <w:highlight w:val="none"/>
          <w:lang w:eastAsia="zh-CN"/>
        </w:rPr>
        <w:t>%。）</w:t>
      </w:r>
    </w:p>
    <w:p>
      <w:pPr>
        <w:pStyle w:val="2"/>
        <w:rPr>
          <w:rFonts w:hint="default"/>
          <w:color w:val="auto"/>
          <w:highlight w:val="none"/>
          <w:lang w:val="en-US" w:eastAsia="zh-CN"/>
        </w:rPr>
      </w:pPr>
      <w:r>
        <w:rPr>
          <w:rFonts w:hint="default"/>
          <w:color w:val="auto"/>
          <w:highlight w:val="none"/>
          <w:lang w:val="en-US" w:eastAsia="zh-CN"/>
        </w:rPr>
        <w:t>3.资金使用主要内容、涉及的范围</w:t>
      </w:r>
    </w:p>
    <w:p>
      <w:pPr>
        <w:bidi w:val="0"/>
        <w:rPr>
          <w:rFonts w:hint="default"/>
          <w:color w:val="auto"/>
          <w:highlight w:val="none"/>
          <w:lang w:val="en-US" w:eastAsia="zh-CN"/>
        </w:rPr>
      </w:pPr>
      <w:r>
        <w:rPr>
          <w:rFonts w:hint="default"/>
          <w:color w:val="auto"/>
          <w:highlight w:val="none"/>
          <w:lang w:val="en-US" w:eastAsia="zh-CN"/>
        </w:rPr>
        <w:t>我单位2023年度部门整体支出为</w:t>
      </w:r>
      <w:r>
        <w:rPr>
          <w:rFonts w:hint="eastAsia"/>
          <w:color w:val="auto"/>
          <w:highlight w:val="none"/>
          <w:lang w:val="en-US" w:eastAsia="zh-CN"/>
        </w:rPr>
        <w:t>221.39</w:t>
      </w:r>
      <w:r>
        <w:rPr>
          <w:rFonts w:hint="default"/>
          <w:color w:val="auto"/>
          <w:highlight w:val="none"/>
          <w:lang w:val="en-US" w:eastAsia="zh-CN"/>
        </w:rPr>
        <w:t>万元，其中：</w:t>
      </w:r>
    </w:p>
    <w:p>
      <w:pPr>
        <w:bidi w:val="0"/>
        <w:rPr>
          <w:rFonts w:hint="default"/>
          <w:color w:val="auto"/>
          <w:highlight w:val="none"/>
          <w:lang w:val="en-US" w:eastAsia="zh-CN"/>
        </w:rPr>
      </w:pPr>
      <w:r>
        <w:rPr>
          <w:rFonts w:hint="default"/>
          <w:color w:val="auto"/>
          <w:highlight w:val="none"/>
          <w:lang w:val="en-US" w:eastAsia="zh-CN"/>
        </w:rPr>
        <w:t>基本支出</w:t>
      </w:r>
      <w:r>
        <w:rPr>
          <w:rFonts w:hint="eastAsia"/>
          <w:color w:val="auto"/>
          <w:highlight w:val="none"/>
          <w:lang w:val="en-US" w:eastAsia="zh-CN"/>
        </w:rPr>
        <w:t>192.05</w:t>
      </w:r>
      <w:r>
        <w:rPr>
          <w:rFonts w:hint="default"/>
          <w:color w:val="auto"/>
          <w:highlight w:val="none"/>
          <w:lang w:val="en-US" w:eastAsia="zh-CN"/>
        </w:rPr>
        <w:t>万元，资金的使用方向为我单位机关人员经费支出</w:t>
      </w:r>
      <w:r>
        <w:rPr>
          <w:rFonts w:hint="eastAsia"/>
          <w:color w:val="auto"/>
          <w:highlight w:val="none"/>
          <w:lang w:val="en-US" w:eastAsia="zh-CN"/>
        </w:rPr>
        <w:t>171.84</w:t>
      </w:r>
      <w:r>
        <w:rPr>
          <w:rFonts w:hint="default"/>
          <w:color w:val="auto"/>
          <w:highlight w:val="none"/>
          <w:lang w:val="en-US" w:eastAsia="zh-CN"/>
        </w:rPr>
        <w:t>万元</w:t>
      </w:r>
      <w:r>
        <w:rPr>
          <w:rFonts w:hint="eastAsia"/>
          <w:color w:val="auto"/>
          <w:highlight w:val="none"/>
          <w:lang w:val="en-US" w:eastAsia="zh-CN"/>
        </w:rPr>
        <w:t>，</w:t>
      </w:r>
      <w:r>
        <w:rPr>
          <w:rFonts w:hint="default"/>
          <w:color w:val="auto"/>
          <w:highlight w:val="none"/>
          <w:lang w:val="en-US" w:eastAsia="zh-CN"/>
        </w:rPr>
        <w:t>日常公用经费支出</w:t>
      </w:r>
      <w:r>
        <w:rPr>
          <w:rFonts w:hint="eastAsia"/>
          <w:color w:val="auto"/>
          <w:highlight w:val="none"/>
          <w:lang w:val="en-US" w:eastAsia="zh-CN"/>
        </w:rPr>
        <w:t>20.21</w:t>
      </w:r>
      <w:r>
        <w:rPr>
          <w:rFonts w:hint="default"/>
          <w:color w:val="auto"/>
          <w:highlight w:val="none"/>
          <w:lang w:val="en-US" w:eastAsia="zh-CN"/>
        </w:rPr>
        <w:t>万元</w:t>
      </w:r>
      <w:r>
        <w:rPr>
          <w:rFonts w:hint="eastAsia"/>
          <w:color w:val="auto"/>
          <w:highlight w:val="none"/>
          <w:lang w:val="en-US" w:eastAsia="zh-CN"/>
        </w:rPr>
        <w:t>，主要用于保障人员工资及人员医保、社保、住房公积金等缴费，单位办公用品购买及车辆燃油费及维修，开展第五次经济普查购买宣传品印刷普查表等方面支出。</w:t>
      </w:r>
    </w:p>
    <w:p>
      <w:pPr>
        <w:bidi w:val="0"/>
        <w:rPr>
          <w:rFonts w:hint="default"/>
          <w:color w:val="auto"/>
          <w:highlight w:val="none"/>
          <w:lang w:val="en-US" w:eastAsia="zh-CN"/>
        </w:rPr>
      </w:pPr>
      <w:r>
        <w:rPr>
          <w:rFonts w:hint="default"/>
          <w:color w:val="auto"/>
          <w:highlight w:val="none"/>
          <w:lang w:val="en-US" w:eastAsia="zh-CN"/>
        </w:rPr>
        <w:t>项目支出共计</w:t>
      </w:r>
      <w:r>
        <w:rPr>
          <w:rFonts w:hint="eastAsia"/>
          <w:color w:val="auto"/>
          <w:highlight w:val="none"/>
          <w:lang w:val="en-US" w:eastAsia="zh-CN"/>
        </w:rPr>
        <w:t>29.35</w:t>
      </w:r>
      <w:r>
        <w:rPr>
          <w:rFonts w:hint="default"/>
          <w:color w:val="auto"/>
          <w:highlight w:val="none"/>
          <w:lang w:val="en-US" w:eastAsia="zh-CN"/>
        </w:rPr>
        <w:t>万元，主要用于保障</w:t>
      </w:r>
      <w:r>
        <w:rPr>
          <w:rFonts w:hint="eastAsia"/>
          <w:color w:val="auto"/>
          <w:highlight w:val="none"/>
          <w:lang w:val="en-US" w:eastAsia="zh-CN"/>
        </w:rPr>
        <w:t>2023年第五次经济普查</w:t>
      </w:r>
      <w:r>
        <w:rPr>
          <w:rFonts w:hint="default"/>
          <w:color w:val="auto"/>
          <w:highlight w:val="none"/>
          <w:lang w:val="en-US" w:eastAsia="zh-CN"/>
        </w:rPr>
        <w:t>项目、</w:t>
      </w:r>
      <w:r>
        <w:rPr>
          <w:rFonts w:hint="eastAsia"/>
          <w:color w:val="auto"/>
          <w:highlight w:val="none"/>
          <w:lang w:val="en-US" w:eastAsia="zh-CN"/>
        </w:rPr>
        <w:t>2023年1%人口抽样调查</w:t>
      </w:r>
      <w:r>
        <w:rPr>
          <w:rFonts w:hint="default"/>
          <w:color w:val="auto"/>
          <w:highlight w:val="none"/>
          <w:lang w:val="en-US" w:eastAsia="zh-CN"/>
        </w:rPr>
        <w:t>项目、</w:t>
      </w:r>
      <w:r>
        <w:rPr>
          <w:rFonts w:hint="eastAsia"/>
          <w:color w:val="auto"/>
          <w:highlight w:val="none"/>
          <w:lang w:val="en-US" w:eastAsia="zh-CN"/>
        </w:rPr>
        <w:t>2023年住户调查</w:t>
      </w:r>
      <w:r>
        <w:rPr>
          <w:rFonts w:hint="default"/>
          <w:color w:val="auto"/>
          <w:highlight w:val="none"/>
          <w:lang w:val="en-US" w:eastAsia="zh-CN"/>
        </w:rPr>
        <w:t>项目</w:t>
      </w:r>
      <w:r>
        <w:rPr>
          <w:rFonts w:hint="eastAsia"/>
          <w:color w:val="auto"/>
          <w:highlight w:val="none"/>
          <w:lang w:val="en-US" w:eastAsia="zh-CN"/>
        </w:rPr>
        <w:t>、2023年月度劳动力调查项目</w:t>
      </w:r>
      <w:r>
        <w:rPr>
          <w:rFonts w:hint="default"/>
          <w:color w:val="auto"/>
          <w:highlight w:val="none"/>
          <w:lang w:val="en-US" w:eastAsia="zh-CN"/>
        </w:rPr>
        <w:t>等项目。</w:t>
      </w:r>
    </w:p>
    <w:p>
      <w:pPr>
        <w:pStyle w:val="3"/>
        <w:bidi w:val="0"/>
        <w:rPr>
          <w:rFonts w:hint="eastAsia"/>
          <w:color w:val="auto"/>
          <w:highlight w:val="none"/>
        </w:rPr>
      </w:pPr>
      <w:bookmarkStart w:id="1" w:name="_Toc32535_WPSOffice_Level1"/>
      <w:r>
        <w:rPr>
          <w:rFonts w:hint="eastAsia"/>
          <w:color w:val="auto"/>
          <w:highlight w:val="none"/>
          <w:lang w:val="en-US" w:eastAsia="zh-CN"/>
        </w:rPr>
        <w:t>二、</w:t>
      </w:r>
      <w:r>
        <w:rPr>
          <w:rFonts w:hint="eastAsia"/>
          <w:color w:val="auto"/>
          <w:highlight w:val="none"/>
        </w:rPr>
        <w:t>部门单位整体支出管理及使用情况</w:t>
      </w:r>
      <w:bookmarkEnd w:id="1"/>
    </w:p>
    <w:p>
      <w:pPr>
        <w:pStyle w:val="4"/>
        <w:bidi w:val="0"/>
        <w:rPr>
          <w:rFonts w:hint="eastAsia"/>
          <w:color w:val="auto"/>
          <w:highlight w:val="none"/>
          <w:lang w:val="en-US" w:eastAsia="zh-CN"/>
        </w:rPr>
      </w:pPr>
      <w:r>
        <w:rPr>
          <w:rFonts w:hint="eastAsia"/>
          <w:color w:val="auto"/>
          <w:highlight w:val="none"/>
          <w:lang w:val="en-US" w:eastAsia="zh-CN"/>
        </w:rPr>
        <w:t>（一）基本支出和使用情况</w:t>
      </w:r>
    </w:p>
    <w:p>
      <w:pPr>
        <w:bidi w:val="0"/>
        <w:rPr>
          <w:rFonts w:hint="eastAsia"/>
          <w:color w:val="auto"/>
          <w:highlight w:val="none"/>
          <w:lang w:val="en-US" w:eastAsia="zh-CN"/>
        </w:rPr>
      </w:pPr>
      <w:r>
        <w:rPr>
          <w:rFonts w:hint="eastAsia"/>
          <w:color w:val="auto"/>
          <w:highlight w:val="none"/>
          <w:lang w:val="en-US" w:eastAsia="zh-CN"/>
        </w:rPr>
        <w:t>基本支出预算是指为保障部门正常运转、完成日常工作任务而制定的本单位人员薪酬福利支出计划和日常办公经费支出计划，可分为人员经费支出和公用经费支出。2023年我单位基本支出全年预算总额192.05万元，全年实际支出192.05万元，资金执行率100%。基本支出严格按照财务管理制度执行，其中：</w:t>
      </w:r>
    </w:p>
    <w:p>
      <w:pPr>
        <w:bidi w:val="0"/>
        <w:rPr>
          <w:rFonts w:hint="eastAsia"/>
          <w:color w:val="auto"/>
          <w:highlight w:val="none"/>
          <w:lang w:val="en-US" w:eastAsia="zh-CN"/>
        </w:rPr>
      </w:pPr>
      <w:r>
        <w:rPr>
          <w:rFonts w:hint="eastAsia"/>
          <w:color w:val="auto"/>
          <w:highlight w:val="none"/>
          <w:lang w:val="en-US" w:eastAsia="zh-CN"/>
        </w:rPr>
        <w:t>人员经费支出171.84万元，主要包括：基本工资、津贴补贴、奖金、绩效工资、机关事业单位基本养老保险缴费、职业年金缴费、职工基本医疗保险缴费、公务员医疗补助缴费、其他社会保障缴费、住房公积金、其他工资福利支出、离休费、生活补助、医疗费补助、其他对个人和家庭的补助支出等。</w:t>
      </w:r>
    </w:p>
    <w:p>
      <w:pPr>
        <w:bidi w:val="0"/>
        <w:rPr>
          <w:rFonts w:hint="eastAsia"/>
          <w:color w:val="auto"/>
          <w:highlight w:val="none"/>
          <w:lang w:val="en-US" w:eastAsia="zh-CN"/>
        </w:rPr>
      </w:pPr>
      <w:r>
        <w:rPr>
          <w:rFonts w:hint="eastAsia"/>
          <w:color w:val="auto"/>
          <w:highlight w:val="none"/>
          <w:lang w:val="en-US" w:eastAsia="zh-CN"/>
        </w:rPr>
        <w:t>公用经费支出20.21万元，主要包括：办公费、印刷费、水费、电费、邮电费、取暖费、物业管理费、差旅费、培训费、公务接待费、工会经费、福利费、公务用车运行维护费、其他交通费用、其他商品和服务支出、开展第五次经济普查购买宣传品印刷普查表、普查员保险等方面支出。</w:t>
      </w:r>
    </w:p>
    <w:p>
      <w:pPr>
        <w:pStyle w:val="4"/>
        <w:bidi w:val="0"/>
        <w:rPr>
          <w:rFonts w:hint="eastAsia"/>
          <w:color w:val="auto"/>
          <w:highlight w:val="none"/>
          <w:lang w:val="en-US" w:eastAsia="zh-CN"/>
        </w:rPr>
      </w:pPr>
      <w:r>
        <w:rPr>
          <w:rFonts w:hint="eastAsia"/>
          <w:color w:val="auto"/>
          <w:highlight w:val="none"/>
          <w:lang w:val="en-US" w:eastAsia="zh-CN"/>
        </w:rPr>
        <w:t>（二）政策、项目支出和使用情况</w:t>
      </w:r>
    </w:p>
    <w:p>
      <w:pPr>
        <w:pStyle w:val="2"/>
        <w:bidi w:val="0"/>
        <w:rPr>
          <w:rFonts w:hint="eastAsia"/>
          <w:color w:val="auto"/>
          <w:highlight w:val="none"/>
          <w:lang w:val="en-US" w:eastAsia="zh-CN"/>
        </w:rPr>
      </w:pPr>
      <w:r>
        <w:rPr>
          <w:rFonts w:hint="eastAsia"/>
          <w:color w:val="auto"/>
          <w:highlight w:val="none"/>
          <w:lang w:val="en-US" w:eastAsia="zh-CN"/>
        </w:rPr>
        <w:t>1.政策、项目支出的投入情况分析</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rPr>
        <w:t>年</w:t>
      </w:r>
      <w:r>
        <w:rPr>
          <w:rFonts w:hint="eastAsia"/>
          <w:color w:val="auto"/>
          <w:highlight w:val="none"/>
          <w:lang w:val="en-US" w:eastAsia="zh-CN"/>
        </w:rPr>
        <w:t>度共</w:t>
      </w:r>
      <w:r>
        <w:rPr>
          <w:rFonts w:hint="eastAsia"/>
          <w:color w:val="auto"/>
          <w:highlight w:val="none"/>
          <w:lang w:eastAsia="zh-CN"/>
        </w:rPr>
        <w:t>安排</w:t>
      </w:r>
      <w:r>
        <w:rPr>
          <w:rFonts w:hint="eastAsia"/>
          <w:color w:val="auto"/>
          <w:highlight w:val="none"/>
          <w:lang w:val="en-US" w:eastAsia="zh-CN"/>
        </w:rPr>
        <w:t>项目支出预算29.35</w:t>
      </w:r>
      <w:r>
        <w:rPr>
          <w:rFonts w:hint="eastAsia"/>
          <w:color w:val="auto"/>
          <w:highlight w:val="none"/>
          <w:lang w:eastAsia="zh-CN"/>
        </w:rPr>
        <w:t>万元，</w:t>
      </w:r>
      <w:r>
        <w:rPr>
          <w:rFonts w:hint="eastAsia"/>
          <w:color w:val="auto"/>
          <w:highlight w:val="none"/>
          <w:lang w:val="en-US" w:eastAsia="zh-CN"/>
        </w:rPr>
        <w:t>其中：上级专项资金2.04万元，本级财政资金27.31万元</w:t>
      </w:r>
      <w:r>
        <w:rPr>
          <w:rFonts w:hint="eastAsia"/>
          <w:color w:val="auto"/>
          <w:highlight w:val="none"/>
          <w:lang w:eastAsia="zh-CN"/>
        </w:rPr>
        <w:t>。</w:t>
      </w:r>
    </w:p>
    <w:p>
      <w:pPr>
        <w:pStyle w:val="2"/>
        <w:bidi w:val="0"/>
        <w:rPr>
          <w:rFonts w:hint="eastAsia"/>
          <w:color w:val="auto"/>
          <w:highlight w:val="none"/>
          <w:lang w:val="en-US" w:eastAsia="zh-CN"/>
        </w:rPr>
      </w:pPr>
      <w:r>
        <w:rPr>
          <w:rFonts w:hint="eastAsia"/>
          <w:color w:val="auto"/>
          <w:highlight w:val="none"/>
          <w:lang w:val="en-US" w:eastAsia="zh-CN"/>
        </w:rPr>
        <w:t>2.政策、项目支出管理情况</w:t>
      </w:r>
    </w:p>
    <w:p>
      <w:pPr>
        <w:bidi w:val="0"/>
        <w:rPr>
          <w:rFonts w:hint="eastAsia"/>
          <w:color w:val="auto"/>
          <w:highlight w:val="none"/>
          <w:lang w:val="en-US" w:eastAsia="zh-CN"/>
        </w:rPr>
      </w:pPr>
      <w:r>
        <w:rPr>
          <w:rFonts w:hint="eastAsia"/>
          <w:color w:val="auto"/>
          <w:highlight w:val="none"/>
          <w:lang w:val="en-US" w:eastAsia="zh-CN"/>
        </w:rPr>
        <w:t>（1）资金管理情况。我单位项目资金全部按财政国库集中支付制度要求使用和拨付，通过财政直接支付方式拨给项目实施单位。在拨付过程中严把监督审核关，建立健全内部审批制度，财务做好项目专账，严格实行专款专用，保证资金及时足额用到项目中。2023年上级财政下达我单位专项资金2.04万元，用于2023年和静县1%人口变动抽样调查项目，并通过财政直接支付方式1120元拨给中国人民财产保险和静分公司用于16名调查员保险，通过财政直接支付方式拨给16名调查员补贴共19290元。</w:t>
      </w:r>
    </w:p>
    <w:p>
      <w:pPr>
        <w:bidi w:val="0"/>
        <w:rPr>
          <w:rFonts w:hint="default"/>
          <w:color w:val="auto"/>
          <w:highlight w:val="none"/>
          <w:lang w:val="en-US" w:eastAsia="zh-CN"/>
        </w:rPr>
      </w:pPr>
      <w:r>
        <w:rPr>
          <w:rFonts w:hint="eastAsia"/>
          <w:color w:val="auto"/>
          <w:highlight w:val="none"/>
          <w:lang w:val="en-US" w:eastAsia="zh-CN"/>
        </w:rPr>
        <w:t>（2）项目实施组织管理情况。我单位项目实施和资金使用分配坚持集体决策。对2023年1%人口抽样调查工作，制定工作方案，组织16名普查员到州局参加培训，共调查登记596户抽样样本户，事中开展质量抽查，形成质量检查报告。</w:t>
      </w:r>
    </w:p>
    <w:p>
      <w:pPr>
        <w:pStyle w:val="2"/>
        <w:bidi w:val="0"/>
        <w:rPr>
          <w:rFonts w:hint="eastAsia"/>
          <w:color w:val="auto"/>
          <w:highlight w:val="none"/>
          <w:lang w:val="en-US" w:eastAsia="zh-CN"/>
        </w:rPr>
      </w:pPr>
      <w:r>
        <w:rPr>
          <w:rFonts w:hint="eastAsia"/>
          <w:color w:val="auto"/>
          <w:highlight w:val="none"/>
          <w:lang w:val="en-US" w:eastAsia="zh-CN"/>
        </w:rPr>
        <w:t>3.政策、项目支出总体实际使用情况</w:t>
      </w:r>
    </w:p>
    <w:p>
      <w:pPr>
        <w:bidi w:val="0"/>
        <w:rPr>
          <w:rFonts w:hint="eastAsia"/>
          <w:color w:val="auto"/>
          <w:highlight w:val="none"/>
          <w:lang w:eastAsia="zh-CN"/>
        </w:rPr>
      </w:pPr>
      <w:r>
        <w:rPr>
          <w:rFonts w:hint="eastAsia"/>
          <w:color w:val="auto"/>
          <w:highlight w:val="none"/>
          <w:lang w:val="en-US" w:eastAsia="zh-CN"/>
        </w:rPr>
        <w:t>我单位</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rFonts w:hint="eastAsia"/>
          <w:color w:val="auto"/>
          <w:highlight w:val="none"/>
          <w:lang w:val="en-US" w:eastAsia="zh-CN"/>
        </w:rPr>
        <w:t>度安排项目支出资金29.35万元，</w:t>
      </w:r>
      <w:r>
        <w:rPr>
          <w:rFonts w:hint="eastAsia"/>
          <w:color w:val="auto"/>
          <w:highlight w:val="none"/>
          <w:lang w:eastAsia="zh-CN"/>
        </w:rPr>
        <w:t>实际</w:t>
      </w:r>
      <w:r>
        <w:rPr>
          <w:rFonts w:hint="eastAsia"/>
          <w:color w:val="auto"/>
          <w:highlight w:val="none"/>
          <w:lang w:val="en-US" w:eastAsia="zh-CN"/>
        </w:rPr>
        <w:t>支出29.35</w:t>
      </w:r>
      <w:r>
        <w:rPr>
          <w:rFonts w:hint="eastAsia"/>
          <w:color w:val="auto"/>
          <w:highlight w:val="none"/>
          <w:lang w:eastAsia="zh-CN"/>
        </w:rPr>
        <w:t>元，</w:t>
      </w:r>
      <w:r>
        <w:rPr>
          <w:rFonts w:hint="eastAsia"/>
          <w:color w:val="auto"/>
          <w:highlight w:val="none"/>
          <w:lang w:val="en-US" w:eastAsia="zh-CN"/>
        </w:rPr>
        <w:t>其中：上级专项资金支出2.04万元，本级财政安排项目资金支出27.31万元，项目预算资金</w:t>
      </w:r>
      <w:r>
        <w:rPr>
          <w:rFonts w:hint="eastAsia"/>
          <w:color w:val="auto"/>
          <w:highlight w:val="none"/>
        </w:rPr>
        <w:t>执行率</w:t>
      </w:r>
      <w:r>
        <w:rPr>
          <w:rFonts w:hint="eastAsia"/>
          <w:color w:val="auto"/>
          <w:highlight w:val="none"/>
          <w:lang w:val="en-US" w:eastAsia="zh-CN"/>
        </w:rPr>
        <w:t>100%</w:t>
      </w:r>
      <w:r>
        <w:rPr>
          <w:rFonts w:hint="eastAsia"/>
          <w:color w:val="auto"/>
          <w:highlight w:val="none"/>
          <w:lang w:eastAsia="zh-CN"/>
        </w:rPr>
        <w:t>。</w:t>
      </w:r>
      <w:bookmarkStart w:id="2" w:name="_Toc1734_WPSOffice_Level1"/>
    </w:p>
    <w:p>
      <w:pPr>
        <w:bidi w:val="0"/>
        <w:rPr>
          <w:rFonts w:hint="default"/>
          <w:color w:val="auto"/>
          <w:highlight w:val="none"/>
          <w:lang w:val="en-US" w:eastAsia="zh-CN"/>
        </w:rPr>
      </w:pPr>
      <w:r>
        <w:rPr>
          <w:rFonts w:hint="default"/>
          <w:color w:val="auto"/>
          <w:highlight w:val="none"/>
          <w:lang w:val="en-US" w:eastAsia="zh-CN"/>
        </w:rPr>
        <w:t>我单位2023年度安排项目支出主要内容</w:t>
      </w:r>
      <w:r>
        <w:rPr>
          <w:rFonts w:hint="eastAsia"/>
          <w:color w:val="auto"/>
          <w:highlight w:val="none"/>
          <w:lang w:val="en-US" w:eastAsia="zh-CN"/>
        </w:rPr>
        <w:t>（</w:t>
      </w:r>
      <w:r>
        <w:rPr>
          <w:rFonts w:hint="default"/>
          <w:color w:val="auto"/>
          <w:highlight w:val="none"/>
          <w:lang w:val="en-US" w:eastAsia="zh-CN"/>
        </w:rPr>
        <w:t>按功能分类</w:t>
      </w:r>
      <w:r>
        <w:rPr>
          <w:rFonts w:hint="eastAsia"/>
          <w:color w:val="auto"/>
          <w:highlight w:val="none"/>
          <w:lang w:val="en-US" w:eastAsia="zh-CN"/>
        </w:rPr>
        <w:t>）：</w:t>
      </w:r>
      <w:r>
        <w:rPr>
          <w:rFonts w:hint="default"/>
          <w:color w:val="auto"/>
          <w:highlight w:val="none"/>
          <w:lang w:val="en-US" w:eastAsia="zh-CN"/>
        </w:rPr>
        <w:t>包括</w:t>
      </w:r>
      <w:r>
        <w:rPr>
          <w:rFonts w:hint="eastAsia"/>
          <w:color w:val="auto"/>
          <w:highlight w:val="none"/>
          <w:lang w:val="en-US" w:eastAsia="zh-CN"/>
        </w:rPr>
        <w:t>2023年月度劳动力调查支出5</w:t>
      </w:r>
      <w:r>
        <w:rPr>
          <w:rFonts w:hint="default"/>
          <w:color w:val="auto"/>
          <w:highlight w:val="none"/>
          <w:lang w:val="en-US" w:eastAsia="zh-CN"/>
        </w:rPr>
        <w:t>万元，</w:t>
      </w:r>
      <w:r>
        <w:rPr>
          <w:rFonts w:hint="eastAsia"/>
          <w:color w:val="auto"/>
          <w:highlight w:val="none"/>
          <w:lang w:val="en-US" w:eastAsia="zh-CN"/>
        </w:rPr>
        <w:t>2023年住户调查经费</w:t>
      </w:r>
      <w:r>
        <w:rPr>
          <w:rFonts w:hint="default"/>
          <w:color w:val="auto"/>
          <w:highlight w:val="none"/>
          <w:lang w:val="en-US" w:eastAsia="zh-CN"/>
        </w:rPr>
        <w:t>支出</w:t>
      </w:r>
      <w:r>
        <w:rPr>
          <w:rFonts w:hint="eastAsia"/>
          <w:color w:val="auto"/>
          <w:highlight w:val="none"/>
          <w:lang w:val="en-US" w:eastAsia="zh-CN"/>
        </w:rPr>
        <w:t>10</w:t>
      </w:r>
      <w:r>
        <w:rPr>
          <w:rFonts w:hint="default"/>
          <w:color w:val="auto"/>
          <w:highlight w:val="none"/>
          <w:lang w:val="en-US" w:eastAsia="zh-CN"/>
        </w:rPr>
        <w:t>万元，</w:t>
      </w:r>
      <w:r>
        <w:rPr>
          <w:rFonts w:hint="eastAsia"/>
          <w:color w:val="auto"/>
          <w:highlight w:val="none"/>
          <w:lang w:val="en-US" w:eastAsia="zh-CN"/>
        </w:rPr>
        <w:t>专项统计</w:t>
      </w:r>
      <w:r>
        <w:rPr>
          <w:rFonts w:hint="default"/>
          <w:color w:val="auto"/>
          <w:highlight w:val="none"/>
          <w:lang w:val="en-US" w:eastAsia="zh-CN"/>
        </w:rPr>
        <w:t>支出</w:t>
      </w:r>
      <w:r>
        <w:rPr>
          <w:rFonts w:hint="eastAsia"/>
          <w:color w:val="auto"/>
          <w:highlight w:val="none"/>
          <w:lang w:val="en-US" w:eastAsia="zh-CN"/>
        </w:rPr>
        <w:t>（和静县第五次全国经济普查）14.35</w:t>
      </w:r>
      <w:r>
        <w:rPr>
          <w:rFonts w:hint="default"/>
          <w:color w:val="auto"/>
          <w:highlight w:val="none"/>
          <w:lang w:val="en-US" w:eastAsia="zh-CN"/>
        </w:rPr>
        <w:t>万元</w:t>
      </w:r>
      <w:r>
        <w:rPr>
          <w:rFonts w:hint="eastAsia"/>
          <w:color w:val="auto"/>
          <w:highlight w:val="none"/>
          <w:lang w:val="en-US" w:eastAsia="zh-CN"/>
        </w:rPr>
        <w:t>。</w:t>
      </w:r>
    </w:p>
    <w:bookmarkEnd w:id="2"/>
    <w:p>
      <w:pPr>
        <w:pStyle w:val="3"/>
        <w:bidi w:val="0"/>
        <w:rPr>
          <w:rFonts w:hint="eastAsia" w:eastAsia="黑体"/>
          <w:color w:val="auto"/>
          <w:highlight w:val="none"/>
          <w:lang w:val="en-US" w:eastAsia="zh-CN"/>
        </w:rPr>
      </w:pPr>
      <w:bookmarkStart w:id="3" w:name="_Toc13582_WPSOffice_Level1"/>
      <w:r>
        <w:rPr>
          <w:rFonts w:hint="eastAsia"/>
          <w:color w:val="auto"/>
          <w:highlight w:val="none"/>
          <w:lang w:val="en-US" w:eastAsia="zh-CN"/>
        </w:rPr>
        <w:t>三、</w:t>
      </w:r>
      <w:r>
        <w:rPr>
          <w:rFonts w:hint="eastAsia"/>
          <w:color w:val="auto"/>
          <w:highlight w:val="none"/>
        </w:rPr>
        <w:t>部门单位整体支出绩效</w:t>
      </w:r>
      <w:bookmarkEnd w:id="3"/>
      <w:r>
        <w:rPr>
          <w:rFonts w:hint="eastAsia"/>
          <w:color w:val="auto"/>
          <w:highlight w:val="none"/>
          <w:lang w:val="en-US" w:eastAsia="zh-CN"/>
        </w:rPr>
        <w:t>分析</w:t>
      </w:r>
    </w:p>
    <w:p>
      <w:pPr>
        <w:bidi w:val="0"/>
        <w:rPr>
          <w:rFonts w:hint="default"/>
          <w:color w:val="auto"/>
          <w:highlight w:val="none"/>
          <w:lang w:val="en-US" w:eastAsia="zh-CN"/>
        </w:rPr>
      </w:pPr>
      <w:r>
        <w:rPr>
          <w:rFonts w:hint="eastAsia"/>
          <w:color w:val="auto"/>
          <w:highlight w:val="none"/>
          <w:lang w:eastAsia="zh-CN"/>
        </w:rPr>
        <w:t>我</w:t>
      </w:r>
      <w:r>
        <w:rPr>
          <w:rFonts w:hint="eastAsia"/>
          <w:color w:val="auto"/>
          <w:highlight w:val="none"/>
        </w:rPr>
        <w:t>单位202</w:t>
      </w:r>
      <w:r>
        <w:rPr>
          <w:rFonts w:hint="eastAsia"/>
          <w:color w:val="auto"/>
          <w:highlight w:val="none"/>
          <w:lang w:val="en-US" w:eastAsia="zh-CN"/>
        </w:rPr>
        <w:t>3</w:t>
      </w:r>
      <w:r>
        <w:rPr>
          <w:rFonts w:hint="eastAsia"/>
          <w:color w:val="auto"/>
          <w:highlight w:val="none"/>
        </w:rPr>
        <w:t>年度部门整体支出绩效目标，共设置一级指标</w:t>
      </w:r>
      <w:r>
        <w:rPr>
          <w:rFonts w:hint="eastAsia"/>
          <w:color w:val="auto"/>
          <w:highlight w:val="none"/>
          <w:lang w:val="en-US" w:eastAsia="zh-CN"/>
        </w:rPr>
        <w:t>4</w:t>
      </w:r>
      <w:r>
        <w:rPr>
          <w:rFonts w:hint="eastAsia"/>
          <w:color w:val="auto"/>
          <w:highlight w:val="none"/>
        </w:rPr>
        <w:t>个，二级指标</w:t>
      </w:r>
      <w:r>
        <w:rPr>
          <w:rFonts w:hint="eastAsia"/>
          <w:color w:val="auto"/>
          <w:highlight w:val="none"/>
          <w:lang w:val="en-US" w:eastAsia="zh-CN"/>
        </w:rPr>
        <w:t>7</w:t>
      </w:r>
      <w:r>
        <w:rPr>
          <w:rFonts w:hint="eastAsia"/>
          <w:color w:val="auto"/>
          <w:highlight w:val="none"/>
        </w:rPr>
        <w:t>个，三级指标</w:t>
      </w:r>
      <w:r>
        <w:rPr>
          <w:rFonts w:hint="eastAsia"/>
          <w:color w:val="auto"/>
          <w:highlight w:val="none"/>
          <w:lang w:val="en-US" w:eastAsia="zh-CN"/>
        </w:rPr>
        <w:t>7</w:t>
      </w:r>
      <w:r>
        <w:rPr>
          <w:rFonts w:hint="eastAsia"/>
          <w:color w:val="auto"/>
          <w:highlight w:val="none"/>
        </w:rPr>
        <w:t>个</w:t>
      </w:r>
      <w:r>
        <w:rPr>
          <w:rFonts w:hint="eastAsia"/>
          <w:color w:val="auto"/>
          <w:highlight w:val="none"/>
          <w:lang w:eastAsia="zh-CN"/>
        </w:rPr>
        <w:t>，其中已完成三级指标</w:t>
      </w:r>
      <w:r>
        <w:rPr>
          <w:rFonts w:hint="eastAsia"/>
          <w:color w:val="auto"/>
          <w:highlight w:val="none"/>
          <w:lang w:val="en-US" w:eastAsia="zh-CN"/>
        </w:rPr>
        <w:t>6</w:t>
      </w:r>
      <w:r>
        <w:rPr>
          <w:rFonts w:hint="eastAsia"/>
          <w:color w:val="auto"/>
          <w:highlight w:val="none"/>
          <w:lang w:eastAsia="zh-CN"/>
        </w:rPr>
        <w:t>个，指标完成率为</w:t>
      </w:r>
      <w:r>
        <w:rPr>
          <w:rFonts w:hint="eastAsia"/>
          <w:color w:val="auto"/>
          <w:highlight w:val="none"/>
          <w:lang w:val="en-US" w:eastAsia="zh-CN"/>
        </w:rPr>
        <w:t>85.71</w:t>
      </w:r>
      <w:r>
        <w:rPr>
          <w:rFonts w:hint="eastAsia"/>
          <w:color w:val="auto"/>
          <w:highlight w:val="none"/>
          <w:lang w:eastAsia="zh-CN"/>
        </w:rPr>
        <w:t>%</w:t>
      </w:r>
      <w:r>
        <w:rPr>
          <w:rFonts w:hint="eastAsia"/>
          <w:color w:val="auto"/>
          <w:highlight w:val="none"/>
        </w:rPr>
        <w:t>。部门整体支出绩效情况如下</w:t>
      </w:r>
      <w:r>
        <w:rPr>
          <w:rFonts w:hint="eastAsia"/>
          <w:color w:val="auto"/>
          <w:highlight w:val="none"/>
          <w:lang w:val="en-US" w:eastAsia="zh-CN"/>
        </w:rPr>
        <w:t>：</w:t>
      </w:r>
    </w:p>
    <w:p>
      <w:pPr>
        <w:pStyle w:val="4"/>
        <w:bidi w:val="0"/>
        <w:rPr>
          <w:rFonts w:hint="eastAsia"/>
          <w:color w:val="auto"/>
          <w:highlight w:val="none"/>
        </w:rPr>
      </w:pPr>
      <w:r>
        <w:rPr>
          <w:rFonts w:hint="eastAsia"/>
          <w:color w:val="auto"/>
          <w:highlight w:val="none"/>
          <w:lang w:eastAsia="zh-CN"/>
        </w:rPr>
        <w:t>（</w:t>
      </w:r>
      <w:r>
        <w:rPr>
          <w:rFonts w:hint="eastAsia"/>
          <w:color w:val="auto"/>
          <w:highlight w:val="none"/>
          <w:lang w:val="en-US" w:eastAsia="zh-CN"/>
        </w:rPr>
        <w:t>一）项目支出预算执行率</w:t>
      </w:r>
      <w:r>
        <w:rPr>
          <w:rFonts w:hint="eastAsia"/>
          <w:color w:val="auto"/>
          <w:highlight w:val="none"/>
        </w:rPr>
        <w:t>指标完成情况分析</w:t>
      </w:r>
    </w:p>
    <w:p>
      <w:pPr>
        <w:bidi w:val="0"/>
        <w:rPr>
          <w:rFonts w:hint="default"/>
          <w:color w:val="auto"/>
          <w:highlight w:val="none"/>
          <w:lang w:val="en-US" w:eastAsia="zh-CN"/>
        </w:rPr>
      </w:pPr>
      <w:r>
        <w:rPr>
          <w:rFonts w:hint="eastAsia"/>
          <w:color w:val="auto"/>
          <w:highlight w:val="none"/>
          <w:lang w:val="en-US" w:eastAsia="zh-CN"/>
        </w:rPr>
        <w:t>项目支出预算执行率指标年初设定目标是100%，年中绩效运行监控时完成值100%，年终实际完成值是100%，指标完成率是100%，达到人员工资按时发放的预期目标，保障在职人员的权益。偏差原因：无偏差。</w:t>
      </w:r>
    </w:p>
    <w:p>
      <w:pPr>
        <w:pStyle w:val="4"/>
        <w:numPr>
          <w:ilvl w:val="0"/>
          <w:numId w:val="2"/>
        </w:numPr>
        <w:bidi w:val="0"/>
        <w:rPr>
          <w:rFonts w:hint="eastAsia"/>
          <w:color w:val="auto"/>
          <w:highlight w:val="none"/>
          <w:lang w:val="en-US" w:eastAsia="zh-CN"/>
        </w:rPr>
      </w:pPr>
      <w:r>
        <w:rPr>
          <w:rFonts w:hint="eastAsia"/>
          <w:color w:val="auto"/>
          <w:highlight w:val="none"/>
          <w:lang w:val="en-US" w:eastAsia="zh-CN"/>
        </w:rPr>
        <w:t>“三公经费”控制率指标完成情况分析</w:t>
      </w:r>
    </w:p>
    <w:p>
      <w:pPr>
        <w:bidi w:val="0"/>
        <w:rPr>
          <w:rFonts w:hint="eastAsia"/>
          <w:color w:val="auto"/>
          <w:highlight w:val="none"/>
          <w:lang w:val="en-US" w:eastAsia="zh-CN"/>
        </w:rPr>
      </w:pPr>
      <w:r>
        <w:rPr>
          <w:rFonts w:hint="eastAsia"/>
          <w:color w:val="auto"/>
          <w:highlight w:val="none"/>
          <w:lang w:val="en-US" w:eastAsia="zh-CN"/>
        </w:rPr>
        <w:t>“三公经费”控制率指标年初设定目标是100%，年中绩效运行监控时完成值100%，年终实际完成值是100%，指标完成率是100%，达到“三公经费”按时发放的预期目标，保证了常规统计工作运转。偏差原因：无偏差。</w:t>
      </w:r>
    </w:p>
    <w:p>
      <w:pPr>
        <w:pStyle w:val="4"/>
        <w:numPr>
          <w:ilvl w:val="0"/>
          <w:numId w:val="3"/>
        </w:numPr>
        <w:bidi w:val="0"/>
        <w:rPr>
          <w:rFonts w:hint="eastAsia"/>
          <w:color w:val="auto"/>
          <w:highlight w:val="none"/>
          <w:lang w:val="en-US" w:eastAsia="zh-CN"/>
        </w:rPr>
      </w:pPr>
      <w:r>
        <w:rPr>
          <w:rFonts w:hint="eastAsia"/>
          <w:color w:val="auto"/>
          <w:highlight w:val="none"/>
          <w:lang w:val="en-US" w:eastAsia="zh-CN"/>
        </w:rPr>
        <w:t>全年开展统计专业业务培训指标完成情况分析</w:t>
      </w:r>
    </w:p>
    <w:p>
      <w:pPr>
        <w:bidi w:val="0"/>
        <w:rPr>
          <w:rFonts w:hint="eastAsia"/>
          <w:color w:val="auto"/>
          <w:highlight w:val="none"/>
          <w:lang w:val="en-US" w:eastAsia="zh-CN"/>
        </w:rPr>
      </w:pPr>
      <w:r>
        <w:rPr>
          <w:rFonts w:hint="eastAsia"/>
          <w:color w:val="auto"/>
          <w:highlight w:val="none"/>
          <w:lang w:val="en-US" w:eastAsia="zh-CN"/>
        </w:rPr>
        <w:t>全年开展统计专业业务培训指标年初设定目标是&gt;=4次，年中绩效运行监控时完成值4次，年终实际完成值是20次，指标完成率是500%，达到专业人员统计水平有效提高的预期目标，大大提高统计工作效率。偏差原因：因2023年为统计基础能力建设年，要求各专业负责人每月至少开展1次统计业务培训，同时去年开展第五次经济普查工作，因业务量大、工作复杂，对业务人员及普查员开展多次培训。</w:t>
      </w:r>
    </w:p>
    <w:p>
      <w:pPr>
        <w:pStyle w:val="4"/>
        <w:numPr>
          <w:ilvl w:val="0"/>
          <w:numId w:val="3"/>
        </w:numPr>
        <w:bidi w:val="0"/>
        <w:rPr>
          <w:rFonts w:hint="eastAsia"/>
          <w:color w:val="auto"/>
          <w:highlight w:val="none"/>
          <w:lang w:val="en-US" w:eastAsia="zh-CN"/>
        </w:rPr>
      </w:pPr>
      <w:r>
        <w:rPr>
          <w:rFonts w:hint="eastAsia"/>
          <w:color w:val="auto"/>
          <w:highlight w:val="none"/>
          <w:lang w:val="en-US" w:eastAsia="zh-CN"/>
        </w:rPr>
        <w:t>统计分析信息写作指标完成情况分析</w:t>
      </w:r>
    </w:p>
    <w:p>
      <w:pPr>
        <w:bidi w:val="0"/>
        <w:rPr>
          <w:rFonts w:hint="eastAsia"/>
          <w:color w:val="auto"/>
          <w:highlight w:val="none"/>
          <w:lang w:val="en-US" w:eastAsia="zh-CN"/>
        </w:rPr>
      </w:pPr>
      <w:r>
        <w:rPr>
          <w:rFonts w:hint="eastAsia"/>
          <w:color w:val="auto"/>
          <w:highlight w:val="none"/>
          <w:lang w:val="en-US" w:eastAsia="zh-CN"/>
        </w:rPr>
        <w:t>统计分析信息写作指标年初设定目标是&gt;=130篇，年中绩效运行监控时完成值70次，年终实际完成值是144次，指标完成率是111%，达到统计分析信息写作的预期目标。偏差原因：根据和静县统计局的绩效考核办法，要求每个专业人员1月至少撰写2篇统计信息或分析，全年共撰写144篇。</w:t>
      </w:r>
    </w:p>
    <w:p>
      <w:pPr>
        <w:pStyle w:val="4"/>
        <w:numPr>
          <w:ilvl w:val="0"/>
          <w:numId w:val="3"/>
        </w:numPr>
        <w:bidi w:val="0"/>
        <w:rPr>
          <w:rFonts w:hint="eastAsia"/>
          <w:color w:val="auto"/>
          <w:highlight w:val="none"/>
          <w:lang w:val="en-US" w:eastAsia="zh-CN"/>
        </w:rPr>
      </w:pPr>
      <w:r>
        <w:rPr>
          <w:rFonts w:hint="eastAsia"/>
          <w:color w:val="auto"/>
          <w:highlight w:val="none"/>
          <w:lang w:val="en-US" w:eastAsia="zh-CN"/>
        </w:rPr>
        <w:t>开展统计执法监督检查工作覆盖率指标完成情况分析</w:t>
      </w:r>
    </w:p>
    <w:p>
      <w:pPr>
        <w:bidi w:val="0"/>
        <w:rPr>
          <w:rFonts w:hint="eastAsia"/>
          <w:color w:val="auto"/>
          <w:highlight w:val="none"/>
          <w:lang w:val="en-US" w:eastAsia="zh-CN"/>
        </w:rPr>
      </w:pPr>
      <w:r>
        <w:rPr>
          <w:rFonts w:hint="eastAsia"/>
          <w:color w:val="auto"/>
          <w:highlight w:val="none"/>
          <w:lang w:val="en-US" w:eastAsia="zh-CN"/>
        </w:rPr>
        <w:t>开展统计执法监督检查工作覆盖率指标年初设定目标是&gt;=95%，年中绩效运行监控时完成值100%，年终实际完成值是100%，指标完成率是100%，达到对规上企业数据巡查全覆盖及对2条统计数据问题线索不真实进行立案执法的预期目标，完成统计执法监督检查工作覆盖率。偏差原因：无偏差。</w:t>
      </w:r>
    </w:p>
    <w:p>
      <w:pPr>
        <w:pStyle w:val="4"/>
        <w:numPr>
          <w:ilvl w:val="0"/>
          <w:numId w:val="3"/>
        </w:numPr>
        <w:bidi w:val="0"/>
        <w:rPr>
          <w:rFonts w:hint="eastAsia"/>
          <w:color w:val="auto"/>
          <w:highlight w:val="none"/>
          <w:lang w:val="en-US" w:eastAsia="zh-CN"/>
        </w:rPr>
      </w:pPr>
      <w:r>
        <w:rPr>
          <w:rFonts w:hint="eastAsia"/>
          <w:color w:val="auto"/>
          <w:highlight w:val="none"/>
          <w:lang w:val="en-US" w:eastAsia="zh-CN"/>
        </w:rPr>
        <w:t>地区生产总值增长率指标完成情况分析</w:t>
      </w:r>
    </w:p>
    <w:p>
      <w:pPr>
        <w:bidi w:val="0"/>
        <w:rPr>
          <w:rFonts w:hint="default"/>
          <w:color w:val="auto"/>
          <w:highlight w:val="none"/>
          <w:lang w:val="en-US" w:eastAsia="zh-CN"/>
        </w:rPr>
      </w:pPr>
      <w:r>
        <w:rPr>
          <w:rFonts w:hint="eastAsia"/>
          <w:color w:val="auto"/>
          <w:highlight w:val="none"/>
          <w:lang w:val="en-US" w:eastAsia="zh-CN"/>
        </w:rPr>
        <w:t>地区生产总值增长率指标年初设定目标是&gt;=7%，年中绩效运行监控时未达监控节点，年终实际完成值是3.7%，指标完成率是52.86%，偏差原因：一是工业支撑力度不足，呈下降水平。二是建筑业产值大幅下降。三是第三产业中占比较大的非营利性服务业增加值同比仅增长0.7%，没有拉动力。四是房地产业增加值仅增长0.8%，所以地区生产总值达不到增长7%的目标。</w:t>
      </w:r>
    </w:p>
    <w:p>
      <w:pPr>
        <w:pStyle w:val="4"/>
        <w:bidi w:val="0"/>
        <w:rPr>
          <w:rFonts w:hint="eastAsia"/>
          <w:color w:val="auto"/>
          <w:highlight w:val="none"/>
          <w:lang w:val="en-US" w:eastAsia="zh-CN"/>
        </w:rPr>
      </w:pPr>
      <w:r>
        <w:rPr>
          <w:rFonts w:hint="eastAsia"/>
          <w:color w:val="auto"/>
          <w:highlight w:val="none"/>
          <w:lang w:val="en-US" w:eastAsia="zh-CN"/>
        </w:rPr>
        <w:t>（七）满意度指标完成情况分析</w:t>
      </w:r>
    </w:p>
    <w:p>
      <w:pPr>
        <w:bidi w:val="0"/>
        <w:rPr>
          <w:rFonts w:hint="eastAsia"/>
          <w:color w:val="auto"/>
          <w:highlight w:val="none"/>
          <w:lang w:eastAsia="zh-CN"/>
        </w:rPr>
      </w:pPr>
      <w:r>
        <w:rPr>
          <w:rFonts w:hint="eastAsia"/>
          <w:color w:val="auto"/>
          <w:highlight w:val="none"/>
          <w:lang w:val="en-US" w:eastAsia="zh-CN"/>
        </w:rPr>
        <w:t>满意度指标年初设定目标是&gt;=95%，年中绩效运行监控时未达监控节点，年终实际完成值是100%，指标完成率是100%，达到全年满意度的预期目标，提高了统计效率。偏差原因：无偏差。</w:t>
      </w:r>
    </w:p>
    <w:p>
      <w:pPr>
        <w:pStyle w:val="3"/>
        <w:numPr>
          <w:ilvl w:val="0"/>
          <w:numId w:val="0"/>
        </w:numPr>
        <w:bidi w:val="0"/>
        <w:ind w:leftChars="200"/>
        <w:rPr>
          <w:rFonts w:hint="default"/>
          <w:color w:val="auto"/>
          <w:highlight w:val="none"/>
          <w:lang w:val="en-US"/>
        </w:rPr>
      </w:pPr>
      <w:r>
        <w:rPr>
          <w:rFonts w:hint="eastAsia"/>
          <w:color w:val="auto"/>
          <w:highlight w:val="none"/>
          <w:lang w:val="en-US" w:eastAsia="zh-CN"/>
        </w:rPr>
        <w:t>四、评价结论</w:t>
      </w:r>
    </w:p>
    <w:p>
      <w:pPr>
        <w:bidi w:val="0"/>
        <w:rPr>
          <w:rFonts w:hint="eastAsia" w:ascii="Times New Roman" w:hAnsi="Times New Roman" w:cs="Times New Roman"/>
          <w:color w:val="auto"/>
          <w:highlight w:val="none"/>
          <w:lang w:val="en-US" w:eastAsia="zh-CN"/>
        </w:rPr>
      </w:pPr>
      <w:r>
        <w:rPr>
          <w:rFonts w:hint="eastAsia"/>
          <w:color w:val="auto"/>
          <w:highlight w:val="none"/>
          <w:lang w:val="en-US" w:eastAsia="zh-CN"/>
        </w:rPr>
        <w:t>我单位</w:t>
      </w:r>
      <w:r>
        <w:rPr>
          <w:rFonts w:hint="eastAsia"/>
          <w:color w:val="auto"/>
          <w:highlight w:val="none"/>
          <w:lang w:eastAsia="zh-CN"/>
        </w:rPr>
        <w:t>20</w:t>
      </w:r>
      <w:r>
        <w:rPr>
          <w:rFonts w:hint="eastAsia"/>
          <w:color w:val="auto"/>
          <w:highlight w:val="none"/>
          <w:lang w:val="en-US" w:eastAsia="zh-CN"/>
        </w:rPr>
        <w:t>23</w:t>
      </w:r>
      <w:r>
        <w:rPr>
          <w:rFonts w:hint="eastAsia"/>
          <w:color w:val="auto"/>
          <w:highlight w:val="none"/>
          <w:lang w:eastAsia="zh-CN"/>
        </w:rPr>
        <w:t>年度部门整体支出绩效自评综合得分</w:t>
      </w:r>
      <w:r>
        <w:rPr>
          <w:rFonts w:hint="eastAsia"/>
          <w:color w:val="auto"/>
          <w:highlight w:val="none"/>
          <w:lang w:val="en-US" w:eastAsia="zh-CN"/>
        </w:rPr>
        <w:t>92.93</w:t>
      </w:r>
      <w:r>
        <w:rPr>
          <w:rFonts w:hint="eastAsia"/>
          <w:color w:val="auto"/>
          <w:highlight w:val="none"/>
          <w:lang w:eastAsia="zh-CN"/>
        </w:rPr>
        <w:t>分，评价结果为“优”。</w:t>
      </w:r>
      <w:r>
        <w:rPr>
          <w:rFonts w:hint="eastAsia" w:ascii="Times New Roman" w:hAnsi="Times New Roman" w:cs="Times New Roman"/>
          <w:color w:val="auto"/>
          <w:highlight w:val="none"/>
          <w:lang w:eastAsia="zh-CN"/>
        </w:rPr>
        <w:t>我</w:t>
      </w:r>
      <w:r>
        <w:rPr>
          <w:rFonts w:hint="default" w:ascii="Times New Roman" w:hAnsi="Times New Roman" w:cs="Times New Roman"/>
          <w:color w:val="auto"/>
          <w:highlight w:val="none"/>
          <w:lang w:eastAsia="zh-CN"/>
        </w:rPr>
        <w:t>单位</w:t>
      </w:r>
      <w:r>
        <w:rPr>
          <w:rFonts w:hint="default" w:ascii="Times New Roman" w:hAnsi="Times New Roman" w:cs="Times New Roman"/>
          <w:color w:val="auto"/>
          <w:highlight w:val="none"/>
        </w:rPr>
        <w:t>202</w:t>
      </w:r>
      <w:r>
        <w:rPr>
          <w:rFonts w:hint="eastAsia" w:ascii="Times New Roman" w:hAnsi="Times New Roman" w:cs="Times New Roman"/>
          <w:color w:val="auto"/>
          <w:highlight w:val="none"/>
          <w:lang w:val="en-US" w:eastAsia="zh-CN"/>
        </w:rPr>
        <w:t>3</w:t>
      </w:r>
      <w:r>
        <w:rPr>
          <w:rFonts w:hint="default" w:ascii="Times New Roman" w:hAnsi="Times New Roman" w:cs="Times New Roman"/>
          <w:color w:val="auto"/>
          <w:highlight w:val="none"/>
        </w:rPr>
        <w:t>年部门履职效果良好，</w:t>
      </w:r>
      <w:r>
        <w:rPr>
          <w:rFonts w:hint="eastAsia" w:ascii="Times New Roman" w:hAnsi="Times New Roman" w:cs="Times New Roman"/>
          <w:color w:val="auto"/>
          <w:highlight w:val="none"/>
          <w:lang w:val="en-US" w:eastAsia="zh-CN"/>
        </w:rPr>
        <w:t>主要体现在：</w:t>
      </w:r>
    </w:p>
    <w:p>
      <w:pPr>
        <w:bidi w:val="0"/>
        <w:rPr>
          <w:rFonts w:hint="eastAsia" w:ascii="Times New Roman" w:hAnsi="Times New Roman" w:cs="Times New Roman"/>
          <w:color w:val="auto"/>
          <w:highlight w:val="none"/>
          <w:lang w:eastAsia="zh-CN"/>
        </w:rPr>
      </w:pPr>
      <w:r>
        <w:rPr>
          <w:rFonts w:hint="eastAsia" w:ascii="Times New Roman" w:hAnsi="Times New Roman" w:cs="Times New Roman"/>
          <w:color w:val="auto"/>
          <w:highlight w:val="none"/>
          <w:lang w:eastAsia="zh-CN"/>
        </w:rPr>
        <w:t>一是完成每月联网直报平台规上企业数据审核报送查询等工作。</w:t>
      </w:r>
    </w:p>
    <w:p>
      <w:pPr>
        <w:pStyle w:val="2"/>
        <w:rPr>
          <w:rFonts w:hint="eastAsia"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二是完成统计信息分析144篇，印刷《和静县统计手册·2023》及《2023年统计年鉴》。</w:t>
      </w:r>
    </w:p>
    <w:p>
      <w:pPr>
        <w:rPr>
          <w:rFonts w:hint="eastAsia"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三是完成和静县统计基础能力建设年及统计造假</w:t>
      </w:r>
      <w:r>
        <w:rPr>
          <w:rFonts w:hint="eastAsia" w:ascii="Times New Roman" w:hAnsi="Times New Roman" w:cs="Times New Roman"/>
          <w:b w:val="0"/>
          <w:bCs w:val="0"/>
          <w:color w:val="auto"/>
          <w:kern w:val="2"/>
          <w:sz w:val="28"/>
          <w:szCs w:val="24"/>
          <w:highlight w:val="none"/>
          <w:lang w:val="en-US" w:eastAsia="zh-CN" w:bidi="ar-SA"/>
        </w:rPr>
        <w:t>屡禁</w:t>
      </w:r>
      <w:r>
        <w:rPr>
          <w:rFonts w:hint="eastAsia" w:ascii="Times New Roman" w:hAnsi="Times New Roman" w:eastAsia="仿宋" w:cs="Times New Roman"/>
          <w:b w:val="0"/>
          <w:bCs w:val="0"/>
          <w:color w:val="auto"/>
          <w:kern w:val="2"/>
          <w:sz w:val="28"/>
          <w:szCs w:val="24"/>
          <w:highlight w:val="none"/>
          <w:lang w:val="en-US" w:eastAsia="zh-CN" w:bidi="ar-SA"/>
        </w:rPr>
        <w:t>难绝专项治理行动。</w:t>
      </w:r>
    </w:p>
    <w:p>
      <w:pPr>
        <w:pStyle w:val="2"/>
        <w:rPr>
          <w:rFonts w:hint="default" w:ascii="Times New Roman" w:hAnsi="Times New Roman" w:eastAsia="仿宋" w:cs="Times New Roman"/>
          <w:b w:val="0"/>
          <w:bCs w:val="0"/>
          <w:color w:val="auto"/>
          <w:kern w:val="2"/>
          <w:sz w:val="28"/>
          <w:szCs w:val="24"/>
          <w:highlight w:val="none"/>
          <w:lang w:val="en-US" w:eastAsia="zh-CN" w:bidi="ar-SA"/>
        </w:rPr>
      </w:pPr>
      <w:r>
        <w:rPr>
          <w:rFonts w:hint="eastAsia" w:ascii="Times New Roman" w:hAnsi="Times New Roman" w:eastAsia="仿宋" w:cs="Times New Roman"/>
          <w:b w:val="0"/>
          <w:bCs w:val="0"/>
          <w:color w:val="auto"/>
          <w:kern w:val="2"/>
          <w:sz w:val="28"/>
          <w:szCs w:val="24"/>
          <w:highlight w:val="none"/>
          <w:lang w:val="en-US" w:eastAsia="zh-CN" w:bidi="ar-SA"/>
        </w:rPr>
        <w:t>四是完成和静县第五次全国经济普查单位清查工作，其中法人单位3305家，产业活动单位357家，个体工商户10631家，并形成正式登记底册。</w:t>
      </w:r>
    </w:p>
    <w:p>
      <w:pPr>
        <w:pStyle w:val="3"/>
        <w:bidi w:val="0"/>
        <w:rPr>
          <w:rFonts w:hint="default" w:eastAsia="黑体"/>
          <w:color w:val="auto"/>
          <w:highlight w:val="none"/>
          <w:lang w:val="en-US" w:eastAsia="zh-CN"/>
        </w:rPr>
      </w:pPr>
      <w:bookmarkStart w:id="4" w:name="_Toc22800_WPSOffice_Level1"/>
      <w:r>
        <w:rPr>
          <w:rFonts w:hint="eastAsia"/>
          <w:color w:val="auto"/>
          <w:highlight w:val="none"/>
          <w:lang w:val="en-US" w:eastAsia="zh-CN"/>
        </w:rPr>
        <w:t>五、</w:t>
      </w:r>
      <w:r>
        <w:rPr>
          <w:rFonts w:hint="eastAsia"/>
          <w:color w:val="auto"/>
          <w:highlight w:val="none"/>
        </w:rPr>
        <w:t>存在的主要问题</w:t>
      </w:r>
      <w:bookmarkEnd w:id="4"/>
      <w:r>
        <w:rPr>
          <w:rFonts w:hint="eastAsia"/>
          <w:color w:val="auto"/>
          <w:highlight w:val="none"/>
          <w:lang w:val="en-US" w:eastAsia="zh-CN"/>
        </w:rPr>
        <w:t>及原因分析</w:t>
      </w:r>
    </w:p>
    <w:p>
      <w:pPr>
        <w:bidi w:val="0"/>
        <w:rPr>
          <w:rFonts w:hint="eastAsia"/>
          <w:color w:val="auto"/>
          <w:highlight w:val="none"/>
          <w:lang w:val="en-US" w:eastAsia="zh-CN"/>
        </w:rPr>
      </w:pPr>
      <w:bookmarkStart w:id="5" w:name="_Toc29546_WPSOffice_Level1"/>
      <w:r>
        <w:rPr>
          <w:rFonts w:hint="eastAsia"/>
          <w:color w:val="auto"/>
          <w:highlight w:val="none"/>
          <w:lang w:val="en-US" w:eastAsia="zh-CN"/>
        </w:rPr>
        <w:t>一是预算编制工作有待细化。预算编制不够明确和细化，预算编制的合理性需要提高。预算执行力度还要进一步加强。</w:t>
      </w:r>
    </w:p>
    <w:p>
      <w:pPr>
        <w:numPr>
          <w:ilvl w:val="0"/>
          <w:numId w:val="0"/>
        </w:numPr>
        <w:bidi w:val="0"/>
        <w:ind w:firstLine="560" w:firstLineChars="200"/>
        <w:rPr>
          <w:rFonts w:hint="eastAsia"/>
          <w:color w:val="auto"/>
          <w:highlight w:val="none"/>
          <w:lang w:val="en-US" w:eastAsia="zh-CN"/>
        </w:rPr>
      </w:pPr>
      <w:r>
        <w:rPr>
          <w:rFonts w:hint="eastAsia"/>
          <w:color w:val="auto"/>
          <w:highlight w:val="none"/>
          <w:lang w:val="en-US" w:eastAsia="zh-CN"/>
        </w:rPr>
        <w:t>二是财务工作水平有待提高。财务工作按部就班，缺乏创新，在精度和深度上欠缺，还需要进一步完善，尤其是在政府采购、固定资产管理方面还需要进一步严格。</w:t>
      </w:r>
    </w:p>
    <w:p>
      <w:pPr>
        <w:numPr>
          <w:ilvl w:val="0"/>
          <w:numId w:val="0"/>
        </w:numPr>
        <w:bidi w:val="0"/>
        <w:ind w:firstLine="640" w:firstLineChars="200"/>
        <w:rPr>
          <w:rFonts w:hint="eastAsia" w:ascii="宋体" w:hAnsi="宋体" w:eastAsia="黑体" w:cs="仿宋_GB2312"/>
          <w:bCs/>
          <w:color w:val="auto"/>
          <w:kern w:val="44"/>
          <w:sz w:val="32"/>
          <w:szCs w:val="44"/>
          <w:highlight w:val="none"/>
          <w:lang w:val="en-US" w:eastAsia="zh-CN" w:bidi="ar-SA"/>
        </w:rPr>
      </w:pPr>
      <w:r>
        <w:rPr>
          <w:rFonts w:hint="eastAsia" w:ascii="宋体" w:hAnsi="宋体" w:eastAsia="黑体" w:cs="仿宋_GB2312"/>
          <w:bCs/>
          <w:color w:val="auto"/>
          <w:kern w:val="44"/>
          <w:sz w:val="32"/>
          <w:szCs w:val="44"/>
          <w:highlight w:val="none"/>
          <w:lang w:val="en-US" w:eastAsia="zh-CN" w:bidi="ar-SA"/>
        </w:rPr>
        <w:t>六、改进措施和建议</w:t>
      </w:r>
      <w:bookmarkEnd w:id="5"/>
    </w:p>
    <w:p>
      <w:pPr>
        <w:bidi w:val="0"/>
        <w:rPr>
          <w:rFonts w:hint="eastAsia"/>
          <w:color w:val="auto"/>
          <w:highlight w:val="none"/>
          <w:lang w:val="en-US" w:eastAsia="zh-CN"/>
        </w:rPr>
      </w:pPr>
      <w:r>
        <w:rPr>
          <w:rFonts w:hint="eastAsia"/>
          <w:color w:val="auto"/>
          <w:highlight w:val="none"/>
          <w:lang w:val="en-US" w:eastAsia="zh-CN"/>
        </w:rPr>
        <w:t>针对上述存在的问题及整体支出管理工作的需要，实施改进措施如下：</w:t>
      </w:r>
    </w:p>
    <w:p>
      <w:pPr>
        <w:bidi w:val="0"/>
        <w:rPr>
          <w:rFonts w:hint="eastAsia"/>
          <w:color w:val="auto"/>
          <w:highlight w:val="none"/>
          <w:lang w:val="en-US" w:eastAsia="zh-CN"/>
        </w:rPr>
      </w:pPr>
      <w:r>
        <w:rPr>
          <w:rFonts w:hint="eastAsia"/>
          <w:color w:val="auto"/>
          <w:highlight w:val="none"/>
          <w:lang w:val="en-US" w:eastAsia="zh-CN"/>
        </w:rPr>
        <w:t>一是强化支出预算约束。进一步提高年初预算编制的科学性和准确性，完善预算执行动态 约束机制，加强财政预算资金管理，统筹协调推进项目执行，提高财政资金效益和效率</w:t>
      </w:r>
      <w:bookmarkStart w:id="6" w:name="_GoBack"/>
      <w:bookmarkEnd w:id="6"/>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lang w:val="en-US" w:eastAsia="zh-CN"/>
        </w:rPr>
        <w:t>二是加强新行政单位会计制度和新预算法学习培训、规范账务处理，加强新《预算法》《行政单位会计制度》 、《会计法》 、《行政单位财务规则》等学习培训，规范部门预算收支核算。 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w:t>
      </w:r>
    </w:p>
    <w:p>
      <w:pPr>
        <w:bidi w:val="0"/>
        <w:rPr>
          <w:rFonts w:hint="default"/>
          <w:color w:val="auto"/>
          <w:highlight w:val="none"/>
          <w:lang w:val="en-US" w:eastAsia="zh-CN"/>
        </w:rPr>
      </w:pPr>
      <w:r>
        <w:rPr>
          <w:rFonts w:hint="eastAsia"/>
          <w:color w:val="auto"/>
          <w:highlight w:val="none"/>
          <w:lang w:val="en-US" w:eastAsia="zh-CN"/>
        </w:rPr>
        <w:t>七、附件上传</w:t>
      </w:r>
    </w:p>
    <w:p>
      <w:pPr>
        <w:bidi w:val="0"/>
        <w:rPr>
          <w:rFonts w:hint="eastAsia"/>
          <w:color w:val="auto"/>
          <w:highlight w:val="none"/>
          <w:lang w:val="en-US" w:eastAsia="zh-CN"/>
        </w:rPr>
      </w:pPr>
    </w:p>
    <w:sectPr>
      <w:footerReference r:id="rId5" w:type="default"/>
      <w:pgSz w:w="11906" w:h="16838"/>
      <w:pgMar w:top="1440" w:right="1800" w:bottom="1440" w:left="1800" w:header="851" w:footer="992" w:gutter="0"/>
      <w:pgNumType w:fmt="numberInDash" w:start="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keepNext w:val="0"/>
      <w:keepLines w:val="0"/>
      <w:pageBreakBefore w:val="0"/>
      <w:widowControl w:val="0"/>
      <w:kinsoku/>
      <w:wordWrap/>
      <w:overflowPunct/>
      <w:topLinePunct w:val="0"/>
      <w:bidi w:val="0"/>
      <w:adjustRightInd w:val="0"/>
      <w:snapToGrid w:val="0"/>
      <w:spacing w:line="240" w:lineRule="auto"/>
      <w:ind w:firstLine="0" w:firstLineChars="0"/>
      <w:jc w:val="center"/>
      <w:textAlignment w:val="auto"/>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25 -</w:t>
    </w:r>
    <w:r>
      <w:rPr>
        <w:rFonts w:ascii="宋体" w:hAnsi="宋体"/>
        <w:sz w:val="28"/>
        <w:szCs w:val="28"/>
      </w:rPr>
      <w:fldChar w:fldCharType="end"/>
    </w:r>
  </w:p>
  <w:p>
    <w:pPr>
      <w:pStyle w:val="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560"/>
      </w:pPr>
      <w:r>
        <w:separator/>
      </w:r>
    </w:p>
  </w:footnote>
  <w:footnote w:type="continuationSeparator" w:id="1">
    <w:p>
      <w:pPr>
        <w:spacing w:line="360" w:lineRule="auto"/>
        <w:ind w:firstLine="56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DEA863C"/>
    <w:multiLevelType w:val="singleLevel"/>
    <w:tmpl w:val="ADEA863C"/>
    <w:lvl w:ilvl="0" w:tentative="0">
      <w:start w:val="3"/>
      <w:numFmt w:val="chineseCounting"/>
      <w:suff w:val="nothing"/>
      <w:lvlText w:val="（%1）"/>
      <w:lvlJc w:val="left"/>
      <w:rPr>
        <w:rFonts w:hint="eastAsia"/>
      </w:rPr>
    </w:lvl>
  </w:abstractNum>
  <w:abstractNum w:abstractNumId="1">
    <w:nsid w:val="136154BB"/>
    <w:multiLevelType w:val="singleLevel"/>
    <w:tmpl w:val="136154BB"/>
    <w:lvl w:ilvl="0" w:tentative="0">
      <w:start w:val="2"/>
      <w:numFmt w:val="chineseCounting"/>
      <w:suff w:val="nothing"/>
      <w:lvlText w:val="（%1）"/>
      <w:lvlJc w:val="left"/>
      <w:rPr>
        <w:rFonts w:hint="eastAsia"/>
      </w:rPr>
    </w:lvl>
  </w:abstractNum>
  <w:abstractNum w:abstractNumId="2">
    <w:nsid w:val="16BC92E1"/>
    <w:multiLevelType w:val="singleLevel"/>
    <w:tmpl w:val="16BC92E1"/>
    <w:lvl w:ilvl="0" w:tentative="0">
      <w:start w:val="6"/>
      <w:numFmt w:val="decimal"/>
      <w:suff w:val="nothing"/>
      <w:lvlText w:val="（%1）"/>
      <w:lvlJc w:val="left"/>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bordersDoNotSurroundHeader w:val="0"/>
  <w:bordersDoNotSurroundFooter w:val="0"/>
  <w:attachedTemplate r:id="rId1"/>
  <w:documentProtection w:enforcement="0"/>
  <w:defaultTabStop w:val="420"/>
  <w:hyphenationZone w:val="36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TAwNWNhNTE0OGNhNzNjNTcwYzJkZjNhNGVmZmJlNmEifQ=="/>
    <w:docVar w:name="KSO_WPS_MARK_KEY" w:val="e89e5d35-c8b1-4830-abac-bd085844b888"/>
  </w:docVars>
  <w:rsids>
    <w:rsidRoot w:val="1C6D319F"/>
    <w:rsid w:val="00056777"/>
    <w:rsid w:val="000C4E29"/>
    <w:rsid w:val="000D3AFA"/>
    <w:rsid w:val="000E1B81"/>
    <w:rsid w:val="0012092B"/>
    <w:rsid w:val="00141421"/>
    <w:rsid w:val="00191BA3"/>
    <w:rsid w:val="001C1E1D"/>
    <w:rsid w:val="001E750D"/>
    <w:rsid w:val="0022744B"/>
    <w:rsid w:val="00234372"/>
    <w:rsid w:val="00292A50"/>
    <w:rsid w:val="002939FF"/>
    <w:rsid w:val="002F7CCD"/>
    <w:rsid w:val="003F0DB2"/>
    <w:rsid w:val="00424A01"/>
    <w:rsid w:val="00491D09"/>
    <w:rsid w:val="004E1483"/>
    <w:rsid w:val="0054132C"/>
    <w:rsid w:val="005B1250"/>
    <w:rsid w:val="006258B7"/>
    <w:rsid w:val="00633862"/>
    <w:rsid w:val="006B4CDA"/>
    <w:rsid w:val="006C5BED"/>
    <w:rsid w:val="006C5D3A"/>
    <w:rsid w:val="006D4FCD"/>
    <w:rsid w:val="006F7865"/>
    <w:rsid w:val="00702D4A"/>
    <w:rsid w:val="007115C8"/>
    <w:rsid w:val="00722C79"/>
    <w:rsid w:val="00724F4D"/>
    <w:rsid w:val="007E7E99"/>
    <w:rsid w:val="00825D99"/>
    <w:rsid w:val="0089387B"/>
    <w:rsid w:val="008E7E52"/>
    <w:rsid w:val="009304D8"/>
    <w:rsid w:val="0093778D"/>
    <w:rsid w:val="0097614B"/>
    <w:rsid w:val="0099431C"/>
    <w:rsid w:val="009F5A38"/>
    <w:rsid w:val="00AA5126"/>
    <w:rsid w:val="00AD16CD"/>
    <w:rsid w:val="00B5590F"/>
    <w:rsid w:val="00B86B60"/>
    <w:rsid w:val="00BA13C5"/>
    <w:rsid w:val="00BD7AB3"/>
    <w:rsid w:val="00BF62C2"/>
    <w:rsid w:val="00C77007"/>
    <w:rsid w:val="00CD2F35"/>
    <w:rsid w:val="00CD5A03"/>
    <w:rsid w:val="00D82401"/>
    <w:rsid w:val="00D9126A"/>
    <w:rsid w:val="00D93262"/>
    <w:rsid w:val="00DB1085"/>
    <w:rsid w:val="00EB1FFE"/>
    <w:rsid w:val="00F326C7"/>
    <w:rsid w:val="00F84215"/>
    <w:rsid w:val="00FF2ACD"/>
    <w:rsid w:val="012008EE"/>
    <w:rsid w:val="01941124"/>
    <w:rsid w:val="01B110AA"/>
    <w:rsid w:val="01CC583F"/>
    <w:rsid w:val="02337D11"/>
    <w:rsid w:val="02C40969"/>
    <w:rsid w:val="02CD3CC1"/>
    <w:rsid w:val="04DB4953"/>
    <w:rsid w:val="04FF0482"/>
    <w:rsid w:val="05062887"/>
    <w:rsid w:val="05464D81"/>
    <w:rsid w:val="05F70F85"/>
    <w:rsid w:val="0607573C"/>
    <w:rsid w:val="06547701"/>
    <w:rsid w:val="072B19D6"/>
    <w:rsid w:val="084208C4"/>
    <w:rsid w:val="098A3C0A"/>
    <w:rsid w:val="09A24E4E"/>
    <w:rsid w:val="0A9A7091"/>
    <w:rsid w:val="0C6738B8"/>
    <w:rsid w:val="0E7D784C"/>
    <w:rsid w:val="10300946"/>
    <w:rsid w:val="10FE60D7"/>
    <w:rsid w:val="134F7771"/>
    <w:rsid w:val="13702C82"/>
    <w:rsid w:val="13E513B9"/>
    <w:rsid w:val="158C5316"/>
    <w:rsid w:val="15B904C0"/>
    <w:rsid w:val="165C118C"/>
    <w:rsid w:val="172D035F"/>
    <w:rsid w:val="175D58E3"/>
    <w:rsid w:val="18061B60"/>
    <w:rsid w:val="190C3DF8"/>
    <w:rsid w:val="19AA4D08"/>
    <w:rsid w:val="19F83E30"/>
    <w:rsid w:val="1A1678A4"/>
    <w:rsid w:val="1B403139"/>
    <w:rsid w:val="1B590377"/>
    <w:rsid w:val="1C6D319F"/>
    <w:rsid w:val="1D384A93"/>
    <w:rsid w:val="1D4D74D6"/>
    <w:rsid w:val="1DE32CFD"/>
    <w:rsid w:val="1F1A602A"/>
    <w:rsid w:val="1F2854B6"/>
    <w:rsid w:val="217D20CE"/>
    <w:rsid w:val="21C67E02"/>
    <w:rsid w:val="21C768CD"/>
    <w:rsid w:val="22E14253"/>
    <w:rsid w:val="23931BB2"/>
    <w:rsid w:val="23B05DD6"/>
    <w:rsid w:val="23F209A3"/>
    <w:rsid w:val="2403516E"/>
    <w:rsid w:val="256A2A9E"/>
    <w:rsid w:val="27F7226E"/>
    <w:rsid w:val="28030B15"/>
    <w:rsid w:val="2805537E"/>
    <w:rsid w:val="289437EE"/>
    <w:rsid w:val="297873DB"/>
    <w:rsid w:val="29F35E61"/>
    <w:rsid w:val="2A285817"/>
    <w:rsid w:val="2B6F150A"/>
    <w:rsid w:val="2B7869DF"/>
    <w:rsid w:val="2BB557CB"/>
    <w:rsid w:val="2BC51751"/>
    <w:rsid w:val="2D166684"/>
    <w:rsid w:val="2EBF757D"/>
    <w:rsid w:val="313A1C72"/>
    <w:rsid w:val="31927D00"/>
    <w:rsid w:val="31AE39CE"/>
    <w:rsid w:val="31B83F5F"/>
    <w:rsid w:val="328E2AB6"/>
    <w:rsid w:val="329B12EA"/>
    <w:rsid w:val="32FB1A54"/>
    <w:rsid w:val="33291F9F"/>
    <w:rsid w:val="33A83F87"/>
    <w:rsid w:val="340D2D0F"/>
    <w:rsid w:val="348F1A9E"/>
    <w:rsid w:val="355C2B3F"/>
    <w:rsid w:val="356B4AF0"/>
    <w:rsid w:val="35F12468"/>
    <w:rsid w:val="36851B5C"/>
    <w:rsid w:val="37661A13"/>
    <w:rsid w:val="379871D0"/>
    <w:rsid w:val="37BA58BB"/>
    <w:rsid w:val="37D360CA"/>
    <w:rsid w:val="38CB5066"/>
    <w:rsid w:val="38E054C9"/>
    <w:rsid w:val="3A565DE9"/>
    <w:rsid w:val="3AC36A27"/>
    <w:rsid w:val="3EB76FF8"/>
    <w:rsid w:val="3F301058"/>
    <w:rsid w:val="417A34F9"/>
    <w:rsid w:val="418810F4"/>
    <w:rsid w:val="41A37673"/>
    <w:rsid w:val="42503F5E"/>
    <w:rsid w:val="42C30950"/>
    <w:rsid w:val="43970F62"/>
    <w:rsid w:val="459B4F7E"/>
    <w:rsid w:val="45A65C7F"/>
    <w:rsid w:val="45F13359"/>
    <w:rsid w:val="468C2A4A"/>
    <w:rsid w:val="46AD2493"/>
    <w:rsid w:val="46EC7F14"/>
    <w:rsid w:val="47CA7D9C"/>
    <w:rsid w:val="47DB3D58"/>
    <w:rsid w:val="48194880"/>
    <w:rsid w:val="48AF4C7F"/>
    <w:rsid w:val="498802D9"/>
    <w:rsid w:val="4A5B46DD"/>
    <w:rsid w:val="4A6F6A56"/>
    <w:rsid w:val="4A81677A"/>
    <w:rsid w:val="4B3A7838"/>
    <w:rsid w:val="4B3B5348"/>
    <w:rsid w:val="4CB11635"/>
    <w:rsid w:val="4DA177B2"/>
    <w:rsid w:val="4DA370C6"/>
    <w:rsid w:val="4DF36D4F"/>
    <w:rsid w:val="501B7C76"/>
    <w:rsid w:val="504D5CCF"/>
    <w:rsid w:val="511A2CA6"/>
    <w:rsid w:val="533A7469"/>
    <w:rsid w:val="53526129"/>
    <w:rsid w:val="538B4CD8"/>
    <w:rsid w:val="53A21BCD"/>
    <w:rsid w:val="54394F3D"/>
    <w:rsid w:val="55EE03A0"/>
    <w:rsid w:val="565F61A9"/>
    <w:rsid w:val="56AD4B11"/>
    <w:rsid w:val="57232FC4"/>
    <w:rsid w:val="572D2326"/>
    <w:rsid w:val="57365691"/>
    <w:rsid w:val="59E65C1B"/>
    <w:rsid w:val="59EE1E48"/>
    <w:rsid w:val="5A490F5C"/>
    <w:rsid w:val="5ABD553F"/>
    <w:rsid w:val="5B805E16"/>
    <w:rsid w:val="5BD21464"/>
    <w:rsid w:val="5BDE2B83"/>
    <w:rsid w:val="5C370232"/>
    <w:rsid w:val="5C777282"/>
    <w:rsid w:val="61635F72"/>
    <w:rsid w:val="618606C5"/>
    <w:rsid w:val="6224402D"/>
    <w:rsid w:val="633A0637"/>
    <w:rsid w:val="6384067A"/>
    <w:rsid w:val="638D125E"/>
    <w:rsid w:val="6396333E"/>
    <w:rsid w:val="63E114D3"/>
    <w:rsid w:val="6AD46D46"/>
    <w:rsid w:val="6AFB3344"/>
    <w:rsid w:val="6B07083C"/>
    <w:rsid w:val="6B623CC4"/>
    <w:rsid w:val="6B6C65E0"/>
    <w:rsid w:val="6C2B67AC"/>
    <w:rsid w:val="6DB24616"/>
    <w:rsid w:val="6DE07909"/>
    <w:rsid w:val="6E58438A"/>
    <w:rsid w:val="6E7066F8"/>
    <w:rsid w:val="6E9D5508"/>
    <w:rsid w:val="6F871359"/>
    <w:rsid w:val="711B7F18"/>
    <w:rsid w:val="71EB22B3"/>
    <w:rsid w:val="72010FA6"/>
    <w:rsid w:val="733F48EB"/>
    <w:rsid w:val="74212849"/>
    <w:rsid w:val="744C1D4E"/>
    <w:rsid w:val="748A4F72"/>
    <w:rsid w:val="74961819"/>
    <w:rsid w:val="750202C6"/>
    <w:rsid w:val="75664078"/>
    <w:rsid w:val="761E4132"/>
    <w:rsid w:val="78061A79"/>
    <w:rsid w:val="79181486"/>
    <w:rsid w:val="7AFE508C"/>
    <w:rsid w:val="7B2561EC"/>
    <w:rsid w:val="7BC003CA"/>
    <w:rsid w:val="7CBF4BB4"/>
    <w:rsid w:val="7E53749D"/>
    <w:rsid w:val="7E5D346D"/>
    <w:rsid w:val="7F5F3023"/>
    <w:rsid w:val="7FDB1E88"/>
    <w:rsid w:val="FFDF92DC"/>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qFormat="1" w:unhideWhenUsed="0" w:uiPriority="0" w:semiHidden="0"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adjustRightInd w:val="0"/>
      <w:snapToGrid w:val="0"/>
      <w:spacing w:line="360" w:lineRule="auto"/>
      <w:ind w:firstLine="640" w:firstLineChars="200"/>
      <w:jc w:val="both"/>
    </w:pPr>
    <w:rPr>
      <w:rFonts w:ascii="仿宋_GB2312" w:hAnsi="仿宋_GB2312" w:eastAsia="仿宋" w:cs="仿宋_GB2312"/>
      <w:kern w:val="2"/>
      <w:sz w:val="28"/>
      <w:szCs w:val="24"/>
      <w:lang w:val="en-US" w:eastAsia="zh-CN" w:bidi="ar-SA"/>
    </w:rPr>
  </w:style>
  <w:style w:type="paragraph" w:styleId="3">
    <w:name w:val="heading 1"/>
    <w:basedOn w:val="1"/>
    <w:next w:val="1"/>
    <w:qFormat/>
    <w:uiPriority w:val="0"/>
    <w:pPr>
      <w:keepNext/>
      <w:keepLines/>
      <w:jc w:val="left"/>
      <w:outlineLvl w:val="0"/>
    </w:pPr>
    <w:rPr>
      <w:rFonts w:ascii="宋体" w:hAnsi="宋体" w:eastAsia="黑体"/>
      <w:bCs/>
      <w:kern w:val="44"/>
      <w:sz w:val="32"/>
      <w:szCs w:val="44"/>
    </w:rPr>
  </w:style>
  <w:style w:type="paragraph" w:styleId="4">
    <w:name w:val="heading 2"/>
    <w:basedOn w:val="1"/>
    <w:next w:val="1"/>
    <w:unhideWhenUsed/>
    <w:qFormat/>
    <w:uiPriority w:val="0"/>
    <w:pPr>
      <w:keepNext/>
      <w:keepLines/>
      <w:spacing w:before="50" w:beforeLines="50" w:beforeAutospacing="0" w:afterLines="0" w:afterAutospacing="0" w:line="360" w:lineRule="auto"/>
      <w:outlineLvl w:val="1"/>
    </w:pPr>
    <w:rPr>
      <w:rFonts w:ascii="Arial" w:hAnsi="Arial" w:eastAsia="楷体_GB2312"/>
      <w:b/>
      <w:sz w:val="32"/>
    </w:rPr>
  </w:style>
  <w:style w:type="paragraph" w:styleId="2">
    <w:name w:val="heading 3"/>
    <w:basedOn w:val="1"/>
    <w:next w:val="1"/>
    <w:unhideWhenUsed/>
    <w:qFormat/>
    <w:uiPriority w:val="9"/>
    <w:pPr>
      <w:keepNext/>
      <w:keepLines/>
      <w:spacing w:before="140" w:line="360" w:lineRule="auto"/>
      <w:outlineLvl w:val="2"/>
    </w:pPr>
    <w:rPr>
      <w:b/>
      <w:bCs/>
      <w:sz w:val="30"/>
      <w:szCs w:val="32"/>
    </w:rPr>
  </w:style>
  <w:style w:type="character" w:default="1" w:styleId="18">
    <w:name w:val="Default Paragraph Font"/>
    <w:unhideWhenUsed/>
    <w:qFormat/>
    <w:uiPriority w:val="1"/>
  </w:style>
  <w:style w:type="table" w:default="1" w:styleId="16">
    <w:name w:val="Normal Table"/>
    <w:unhideWhenUsed/>
    <w:qFormat/>
    <w:uiPriority w:val="99"/>
    <w:tblPr>
      <w:tblCellMar>
        <w:top w:w="0" w:type="dxa"/>
        <w:left w:w="108" w:type="dxa"/>
        <w:bottom w:w="0" w:type="dxa"/>
        <w:right w:w="108" w:type="dxa"/>
      </w:tblCellMar>
    </w:tblPr>
  </w:style>
  <w:style w:type="paragraph" w:styleId="5">
    <w:name w:val="Normal Indent"/>
    <w:basedOn w:val="1"/>
    <w:next w:val="6"/>
    <w:qFormat/>
    <w:uiPriority w:val="0"/>
    <w:pPr>
      <w:ind w:firstLine="420"/>
    </w:pPr>
    <w:rPr>
      <w:sz w:val="21"/>
    </w:rPr>
  </w:style>
  <w:style w:type="paragraph" w:styleId="6">
    <w:name w:val="toc 4"/>
    <w:basedOn w:val="1"/>
    <w:next w:val="1"/>
    <w:qFormat/>
    <w:uiPriority w:val="0"/>
    <w:pPr>
      <w:ind w:left="1260" w:leftChars="600"/>
    </w:pPr>
  </w:style>
  <w:style w:type="paragraph" w:styleId="7">
    <w:name w:val="annotation text"/>
    <w:basedOn w:val="1"/>
    <w:unhideWhenUsed/>
    <w:qFormat/>
    <w:uiPriority w:val="99"/>
    <w:pPr>
      <w:jc w:val="left"/>
    </w:pPr>
  </w:style>
  <w:style w:type="paragraph" w:styleId="8">
    <w:name w:val="Body Text"/>
    <w:basedOn w:val="1"/>
    <w:qFormat/>
    <w:uiPriority w:val="0"/>
    <w:pPr>
      <w:spacing w:before="240" w:after="240" w:line="360" w:lineRule="auto"/>
      <w:jc w:val="center"/>
    </w:pPr>
    <w:rPr>
      <w:b/>
      <w:sz w:val="44"/>
    </w:rPr>
  </w:style>
  <w:style w:type="paragraph" w:styleId="9">
    <w:name w:val="footer"/>
    <w:basedOn w:val="1"/>
    <w:link w:val="22"/>
    <w:unhideWhenUsed/>
    <w:qFormat/>
    <w:uiPriority w:val="99"/>
    <w:pPr>
      <w:tabs>
        <w:tab w:val="center" w:pos="4153"/>
        <w:tab w:val="right" w:pos="8306"/>
      </w:tabs>
      <w:snapToGrid w:val="0"/>
      <w:jc w:val="left"/>
    </w:pPr>
    <w:rPr>
      <w:sz w:val="18"/>
      <w:szCs w:val="18"/>
    </w:rPr>
  </w:style>
  <w:style w:type="paragraph" w:styleId="10">
    <w:name w:val="header"/>
    <w:basedOn w:val="1"/>
    <w:link w:val="23"/>
    <w:unhideWhenUsed/>
    <w:qFormat/>
    <w:uiPriority w:val="99"/>
    <w:pPr>
      <w:pBdr>
        <w:bottom w:val="single" w:color="auto" w:sz="6" w:space="1"/>
      </w:pBdr>
      <w:tabs>
        <w:tab w:val="center" w:pos="4153"/>
        <w:tab w:val="right" w:pos="8306"/>
      </w:tabs>
      <w:snapToGrid w:val="0"/>
      <w:jc w:val="center"/>
    </w:pPr>
    <w:rPr>
      <w:sz w:val="18"/>
      <w:szCs w:val="18"/>
    </w:rPr>
  </w:style>
  <w:style w:type="paragraph" w:styleId="11">
    <w:name w:val="footnote text"/>
    <w:basedOn w:val="1"/>
    <w:next w:val="12"/>
    <w:qFormat/>
    <w:uiPriority w:val="0"/>
    <w:pPr>
      <w:snapToGrid w:val="0"/>
      <w:jc w:val="left"/>
    </w:pPr>
    <w:rPr>
      <w:rFonts w:hint="eastAsia"/>
      <w:sz w:val="18"/>
    </w:rPr>
  </w:style>
  <w:style w:type="paragraph" w:customStyle="1" w:styleId="12">
    <w:name w:val="正文文本首行缩进 21"/>
    <w:basedOn w:val="13"/>
    <w:qFormat/>
    <w:uiPriority w:val="0"/>
    <w:pPr>
      <w:ind w:firstLine="420" w:firstLineChars="200"/>
    </w:pPr>
  </w:style>
  <w:style w:type="paragraph" w:customStyle="1" w:styleId="13">
    <w:name w:val="正文文本缩进1"/>
    <w:basedOn w:val="1"/>
    <w:next w:val="14"/>
    <w:qFormat/>
    <w:uiPriority w:val="0"/>
    <w:pPr>
      <w:spacing w:line="574" w:lineRule="exact"/>
      <w:ind w:left="400" w:hanging="400" w:hangingChars="400"/>
    </w:pPr>
    <w:rPr>
      <w:rFonts w:eastAsia="仿宋_GB2312"/>
      <w:sz w:val="32"/>
      <w:szCs w:val="32"/>
    </w:rPr>
  </w:style>
  <w:style w:type="paragraph" w:customStyle="1" w:styleId="14">
    <w:name w:val="正文缩进1"/>
    <w:basedOn w:val="1"/>
    <w:qFormat/>
    <w:uiPriority w:val="0"/>
    <w:pPr>
      <w:ind w:firstLine="420"/>
    </w:pPr>
    <w:rPr>
      <w:sz w:val="32"/>
    </w:rPr>
  </w:style>
  <w:style w:type="paragraph" w:styleId="15">
    <w:name w:val="Normal (Web)"/>
    <w:basedOn w:val="1"/>
    <w:qFormat/>
    <w:uiPriority w:val="99"/>
    <w:pPr>
      <w:spacing w:before="100" w:beforeAutospacing="1" w:after="100" w:afterAutospacing="1"/>
      <w:jc w:val="left"/>
    </w:pPr>
    <w:rPr>
      <w:sz w:val="24"/>
      <w:lang w:bidi="ar"/>
    </w:rPr>
  </w:style>
  <w:style w:type="table" w:styleId="17">
    <w:name w:val="Table Grid"/>
    <w:basedOn w:val="16"/>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9">
    <w:name w:val="Strong"/>
    <w:basedOn w:val="18"/>
    <w:qFormat/>
    <w:uiPriority w:val="0"/>
    <w:rPr>
      <w:b/>
      <w:bCs/>
    </w:rPr>
  </w:style>
  <w:style w:type="character" w:styleId="20">
    <w:name w:val="Hyperlink"/>
    <w:basedOn w:val="18"/>
    <w:qFormat/>
    <w:uiPriority w:val="0"/>
    <w:rPr>
      <w:color w:val="5B677D"/>
      <w:u w:val="none"/>
    </w:rPr>
  </w:style>
  <w:style w:type="paragraph" w:customStyle="1" w:styleId="21">
    <w:name w:val="List Paragraph"/>
    <w:basedOn w:val="1"/>
    <w:unhideWhenUsed/>
    <w:qFormat/>
    <w:uiPriority w:val="99"/>
    <w:pPr>
      <w:ind w:firstLine="420" w:firstLineChars="200"/>
    </w:pPr>
  </w:style>
  <w:style w:type="character" w:customStyle="1" w:styleId="22">
    <w:name w:val="页脚 字符"/>
    <w:basedOn w:val="18"/>
    <w:link w:val="9"/>
    <w:qFormat/>
    <w:uiPriority w:val="99"/>
    <w:rPr>
      <w:sz w:val="18"/>
      <w:szCs w:val="18"/>
    </w:rPr>
  </w:style>
  <w:style w:type="character" w:customStyle="1" w:styleId="23">
    <w:name w:val="页眉 字符"/>
    <w:basedOn w:val="18"/>
    <w:link w:val="10"/>
    <w:qFormat/>
    <w:uiPriority w:val="99"/>
    <w:rPr>
      <w:sz w:val="18"/>
      <w:szCs w:val="18"/>
    </w:rPr>
  </w:style>
  <w:style w:type="paragraph" w:customStyle="1" w:styleId="24">
    <w:name w:val="WPSOffice手动目录 1"/>
    <w:qFormat/>
    <w:uiPriority w:val="0"/>
    <w:pPr>
      <w:ind w:leftChars="0"/>
    </w:pPr>
    <w:rPr>
      <w:rFonts w:asciiTheme="minorHAnsi" w:hAnsiTheme="minorHAnsi" w:eastAsiaTheme="minorEastAsia" w:cstheme="minorBidi"/>
      <w:sz w:val="20"/>
      <w:szCs w:val="20"/>
    </w:rPr>
  </w:style>
  <w:style w:type="paragraph" w:customStyle="1" w:styleId="25">
    <w:name w:val="闻政-正文段落文字"/>
    <w:basedOn w:val="1"/>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Users\apple\Library\Containers\com.kingsoft.wpsoffice.mac\Data\E:\2021&#23731;&#26222;&#28246;&#36130;&#25919;&#32489;&#25928;&#35780;&#20215;\2021&#24180;&#39033;&#30446;&#25972;&#20307;&#25253;&#21578;\&#25972;&#20307;&#33258;&#35780;&#25253;&#21578;&#23548;&#20986;.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整体自评报告导出.dotx</Template>
  <Company>市直单位</Company>
  <Pages>9</Pages>
  <Words>10225</Words>
  <Characters>10776</Characters>
  <Lines>7</Lines>
  <Paragraphs>2</Paragraphs>
  <TotalTime>1</TotalTime>
  <ScaleCrop>false</ScaleCrop>
  <LinksUpToDate>false</LinksUpToDate>
  <CharactersWithSpaces>10787</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2021-02-24T22:26:00Z</dcterms:created>
  <dc:creator>ght-pc</dc:creator>
  <cp:lastModifiedBy>WPS_1374729787</cp:lastModifiedBy>
  <dcterms:modified xsi:type="dcterms:W3CDTF">2024-08-11T08:17:10Z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FA48308C584B4C498E9734F137FE4F69</vt:lpwstr>
  </property>
</Properties>
</file>