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pPr>
        <w:pStyle w:val="3"/>
        <w:rPr>
          <w:color w:val="auto"/>
        </w:rPr>
      </w:pPr>
      <w:r>
        <w:rPr>
          <w:rFonts w:hint="eastAsia"/>
          <w:color w:val="auto"/>
        </w:rPr>
        <w:t>一、基本概况</w:t>
      </w:r>
      <w:bookmarkEnd w:id="0"/>
    </w:p>
    <w:p>
      <w:pPr>
        <w:pStyle w:val="4"/>
        <w:spacing w:before="156"/>
        <w:ind w:firstLine="643"/>
        <w:rPr>
          <w:color w:val="auto"/>
        </w:rPr>
      </w:pPr>
      <w:r>
        <w:rPr>
          <w:rFonts w:hint="eastAsia"/>
          <w:color w:val="auto"/>
        </w:rPr>
        <w:t>（一）部门单位基本情况</w:t>
      </w:r>
    </w:p>
    <w:p>
      <w:pPr>
        <w:pStyle w:val="2"/>
        <w:ind w:firstLine="602"/>
        <w:rPr>
          <w:color w:val="auto"/>
        </w:rPr>
      </w:pPr>
      <w:r>
        <w:rPr>
          <w:rFonts w:hint="eastAsia"/>
          <w:color w:val="auto"/>
        </w:rPr>
        <w:t>1.部门主要职能</w:t>
      </w:r>
    </w:p>
    <w:p>
      <w:pPr>
        <w:ind w:firstLine="560"/>
        <w:rPr>
          <w:color w:val="auto"/>
        </w:rPr>
      </w:pPr>
      <w:r>
        <w:rPr>
          <w:rFonts w:hint="eastAsia"/>
          <w:color w:val="auto"/>
        </w:rPr>
        <w:t>和静县社会保险中心是综合管理全县城镇职工基本养老保险，机关事业单位工作人员养老保险，工伤保险，失业保险基金和相关经办业务工作的是人力资源和社会保障局下属参照公务员法管理的全额财政拨款公益一类事业单位。</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（1）贯彻执行国家，区社保保险的方针，政策和法律，</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法规，具体组织实施社会保险事业发展规划和年度计划。</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（2）负责社会保险费征缴工作；负责办理单位和人员</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社会保险登记，增减变动和转移关系；负责社会保障卡管理</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工作；负责参保人各项社会保险待遇的审核支付。</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（3）负责各项社会保险基金征缴，支付进行稽核检查。</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（4）负责各项社会保险基金的运营管理。</w:t>
      </w:r>
    </w:p>
    <w:p>
      <w:pPr>
        <w:pStyle w:val="2"/>
        <w:ind w:firstLine="560"/>
        <w:rPr>
          <w:rFonts w:ascii="仿宋" w:hAnsi="仿宋" w:cs="Times New Roman"/>
          <w:b w:val="0"/>
          <w:bCs w:val="0"/>
          <w:color w:val="auto"/>
          <w:sz w:val="28"/>
          <w:szCs w:val="24"/>
        </w:rPr>
      </w:pPr>
      <w:r>
        <w:rPr>
          <w:rFonts w:hint="eastAsia" w:ascii="仿宋" w:hAnsi="仿宋" w:cs="Times New Roman"/>
          <w:b w:val="0"/>
          <w:bCs w:val="0"/>
          <w:color w:val="auto"/>
          <w:sz w:val="28"/>
          <w:szCs w:val="24"/>
        </w:rPr>
        <w:t>（5）负责全县退休工作人员工资的计算，待遇发放工资、</w:t>
      </w:r>
      <w:bookmarkStart w:id="1" w:name="_Toc491422414"/>
      <w:bookmarkStart w:id="2" w:name="_Toc484134532"/>
      <w:r>
        <w:rPr>
          <w:rFonts w:hint="eastAsia" w:ascii="仿宋" w:hAnsi="仿宋" w:cs="Times New Roman"/>
          <w:b w:val="0"/>
          <w:bCs w:val="0"/>
          <w:color w:val="auto"/>
          <w:sz w:val="28"/>
          <w:szCs w:val="24"/>
          <w:lang w:val="zh-TW"/>
        </w:rPr>
        <w:t>部门内设机构构成</w:t>
      </w:r>
      <w:bookmarkEnd w:id="1"/>
      <w:bookmarkEnd w:id="2"/>
      <w:r>
        <w:rPr>
          <w:rFonts w:hint="eastAsia" w:ascii="仿宋" w:hAnsi="仿宋" w:cs="Times New Roman"/>
          <w:b w:val="0"/>
          <w:bCs w:val="0"/>
          <w:color w:val="auto"/>
          <w:sz w:val="28"/>
          <w:szCs w:val="24"/>
          <w:lang w:val="zh-TW"/>
        </w:rPr>
        <w:t>。</w:t>
      </w:r>
    </w:p>
    <w:p>
      <w:pPr>
        <w:pStyle w:val="2"/>
        <w:ind w:firstLine="602"/>
        <w:rPr>
          <w:color w:val="auto"/>
        </w:rPr>
      </w:pPr>
      <w:r>
        <w:rPr>
          <w:rFonts w:hint="eastAsia"/>
          <w:color w:val="auto"/>
        </w:rPr>
        <w:t>2.部门机构设置及人员构成</w:t>
      </w:r>
    </w:p>
    <w:p>
      <w:pPr>
        <w:ind w:firstLine="560"/>
        <w:rPr>
          <w:color w:val="auto"/>
        </w:rPr>
      </w:pPr>
      <w:r>
        <w:rPr>
          <w:rFonts w:hint="eastAsia"/>
          <w:color w:val="auto"/>
        </w:rPr>
        <w:t>和静县社会保险中心机构设置：和静县社会保险中心是人力资源和社会保障局的二级单位，</w:t>
      </w:r>
      <w:r>
        <w:rPr>
          <w:rFonts w:hint="eastAsia" w:ascii="仿宋" w:hAnsi="仿宋" w:cs="Times New Roman"/>
          <w:color w:val="auto"/>
        </w:rPr>
        <w:t>根据上述职责，</w:t>
      </w:r>
      <w:r>
        <w:rPr>
          <w:rFonts w:hint="eastAsia" w:ascii="仿宋" w:hAnsi="仿宋" w:cs="Times New Roman"/>
          <w:color w:val="auto"/>
          <w:lang w:eastAsia="zh-CN"/>
        </w:rPr>
        <w:t>和静县</w:t>
      </w:r>
      <w:r>
        <w:rPr>
          <w:rFonts w:hint="eastAsia" w:cs="Times New Roman"/>
          <w:color w:val="auto"/>
        </w:rPr>
        <w:t>社会保险中心</w:t>
      </w:r>
      <w:r>
        <w:rPr>
          <w:rFonts w:hint="eastAsia" w:ascii="仿宋" w:hAnsi="仿宋" w:cs="Times New Roman"/>
          <w:color w:val="auto"/>
        </w:rPr>
        <w:t>设有5个内设机构：分别是：行政办，基金财务股，征缴股，待遇复核股，稽核股。</w:t>
      </w:r>
    </w:p>
    <w:p>
      <w:pPr>
        <w:ind w:firstLine="560"/>
        <w:rPr>
          <w:color w:val="auto"/>
        </w:rPr>
      </w:pPr>
      <w:r>
        <w:rPr>
          <w:rFonts w:hint="eastAsia"/>
          <w:color w:val="auto"/>
        </w:rPr>
        <w:t>和静县社会保险中心人员总数16名，其中：在职16名，退休16名，离休0名。实有人员16人。</w:t>
      </w:r>
    </w:p>
    <w:p>
      <w:pPr>
        <w:pStyle w:val="4"/>
        <w:spacing w:before="156"/>
        <w:ind w:firstLine="643"/>
        <w:rPr>
          <w:color w:val="auto"/>
        </w:rPr>
      </w:pPr>
      <w:r>
        <w:rPr>
          <w:rFonts w:hint="eastAsia"/>
          <w:color w:val="auto"/>
        </w:rPr>
        <w:t>（二）部门单位年度重点工作</w:t>
      </w:r>
    </w:p>
    <w:p>
      <w:pPr>
        <w:ind w:firstLine="560"/>
        <w:rPr>
          <w:color w:val="auto"/>
        </w:rPr>
      </w:pPr>
      <w:r>
        <w:rPr>
          <w:rFonts w:hint="eastAsia"/>
          <w:color w:val="auto"/>
        </w:rPr>
        <w:t>根据部门单位中长期规划、年度政府工作报告，主要介绍本部门年度工作计划，重点是本部门年度工作要点、要实现或达成的目标及机构人员保障情况。</w:t>
      </w:r>
    </w:p>
    <w:p>
      <w:pPr>
        <w:ind w:firstLine="560"/>
        <w:rPr>
          <w:color w:val="auto"/>
        </w:rPr>
      </w:pPr>
      <w:r>
        <w:rPr>
          <w:color w:val="auto"/>
        </w:rPr>
        <w:t>确保各项社保待遇按时足额发放，持续扩大社保覆盖范围，防范和化解社保基金风险，全面实施综合柜员制等工作重点，深入推进社保数字化转型，提升社保治理效能，不断提升广大人民群众的获得感、幸福感和安全感。</w:t>
      </w:r>
    </w:p>
    <w:p>
      <w:pPr>
        <w:pStyle w:val="4"/>
        <w:spacing w:before="156"/>
        <w:ind w:firstLine="643"/>
        <w:rPr>
          <w:color w:val="auto"/>
        </w:rPr>
      </w:pPr>
      <w:r>
        <w:rPr>
          <w:rFonts w:hint="eastAsia"/>
          <w:color w:val="auto"/>
        </w:rPr>
        <w:t>（</w:t>
      </w:r>
      <w:r>
        <w:rPr>
          <w:rFonts w:hint="eastAsia"/>
          <w:color w:val="auto"/>
          <w:lang w:eastAsia="zh-CN"/>
        </w:rPr>
        <w:t>三</w:t>
      </w:r>
      <w:r>
        <w:rPr>
          <w:rFonts w:hint="eastAsia"/>
          <w:color w:val="auto"/>
        </w:rPr>
        <w:t>）部门单位整体预算规模及安排情况</w:t>
      </w:r>
    </w:p>
    <w:p>
      <w:pPr>
        <w:ind w:firstLine="602"/>
        <w:rPr>
          <w:b/>
          <w:bCs/>
          <w:color w:val="auto"/>
          <w:sz w:val="30"/>
          <w:szCs w:val="32"/>
        </w:rPr>
      </w:pPr>
      <w:r>
        <w:rPr>
          <w:rFonts w:hint="eastAsia"/>
          <w:b/>
          <w:bCs/>
          <w:color w:val="auto"/>
          <w:sz w:val="30"/>
          <w:szCs w:val="32"/>
        </w:rPr>
        <w:t>1.预算执行情况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我中心年初预算数为7669.03万元，实际预算执行数376.73万元，预算执行率为100%。</w:t>
      </w:r>
    </w:p>
    <w:p>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全年预算数为376.73万元，全年实际支出资金376.73万元，预算执行率为100%。</w:t>
      </w:r>
    </w:p>
    <w:p>
      <w:pPr>
        <w:pStyle w:val="2"/>
        <w:ind w:firstLine="602"/>
        <w:rPr>
          <w:color w:val="auto"/>
        </w:rPr>
      </w:pPr>
      <w:r>
        <w:rPr>
          <w:rFonts w:hint="eastAsia"/>
          <w:color w:val="auto"/>
        </w:rPr>
        <w:t>2.预算调整（追加减）情况</w:t>
      </w:r>
    </w:p>
    <w:p>
      <w:pPr>
        <w:ind w:firstLine="560"/>
        <w:rPr>
          <w:color w:val="auto"/>
        </w:rPr>
      </w:pPr>
      <w:r>
        <w:rPr>
          <w:rFonts w:hint="eastAsia" w:ascii="Times New Roman" w:hAnsi="Times New Roman" w:cs="Times New Roman"/>
          <w:bCs/>
          <w:color w:val="auto"/>
        </w:rPr>
        <w:t>我中心年初批复预算数7669.03万元，年中调整数7669.03万元，调整后全年预算数376.73万元，预算调整率7669.03%。</w:t>
      </w:r>
    </w:p>
    <w:p>
      <w:pPr>
        <w:pStyle w:val="2"/>
        <w:ind w:firstLine="602"/>
        <w:rPr>
          <w:color w:val="auto"/>
        </w:rPr>
      </w:pPr>
      <w:r>
        <w:rPr>
          <w:color w:val="auto"/>
        </w:rPr>
        <w:t>3.资金使用主要内容、涉及的范围</w:t>
      </w:r>
    </w:p>
    <w:p>
      <w:pPr>
        <w:ind w:firstLine="560"/>
        <w:rPr>
          <w:color w:val="auto"/>
        </w:rPr>
      </w:pPr>
      <w:r>
        <w:rPr>
          <w:rFonts w:hint="eastAsia"/>
          <w:color w:val="auto"/>
        </w:rPr>
        <w:t>我中心</w:t>
      </w:r>
      <w:r>
        <w:rPr>
          <w:color w:val="auto"/>
        </w:rPr>
        <w:t>2023年度部门整体支出为</w:t>
      </w:r>
      <w:r>
        <w:rPr>
          <w:rFonts w:hint="eastAsia"/>
          <w:color w:val="auto"/>
        </w:rPr>
        <w:t>376.73</w:t>
      </w:r>
      <w:r>
        <w:rPr>
          <w:color w:val="auto"/>
        </w:rPr>
        <w:t>万元，其中：</w:t>
      </w:r>
    </w:p>
    <w:p>
      <w:pPr>
        <w:ind w:firstLine="560"/>
        <w:rPr>
          <w:color w:val="auto"/>
        </w:rPr>
      </w:pPr>
      <w:r>
        <w:rPr>
          <w:color w:val="auto"/>
        </w:rPr>
        <w:t>基本支出</w:t>
      </w:r>
      <w:r>
        <w:rPr>
          <w:rFonts w:hint="eastAsia"/>
          <w:color w:val="auto"/>
        </w:rPr>
        <w:t>290.14</w:t>
      </w:r>
      <w:r>
        <w:rPr>
          <w:color w:val="auto"/>
        </w:rPr>
        <w:t>万元，资金的使用方向为</w:t>
      </w:r>
      <w:r>
        <w:rPr>
          <w:rFonts w:hint="eastAsia"/>
          <w:color w:val="auto"/>
        </w:rPr>
        <w:t>我中心</w:t>
      </w:r>
      <w:r>
        <w:rPr>
          <w:color w:val="auto"/>
        </w:rPr>
        <w:t>机关人员经费支出</w:t>
      </w:r>
      <w:r>
        <w:rPr>
          <w:rFonts w:hint="eastAsia"/>
          <w:color w:val="auto"/>
        </w:rPr>
        <w:t>282.62</w:t>
      </w:r>
      <w:r>
        <w:rPr>
          <w:color w:val="auto"/>
        </w:rPr>
        <w:t>万元</w:t>
      </w:r>
      <w:r>
        <w:rPr>
          <w:rFonts w:hint="eastAsia"/>
          <w:color w:val="auto"/>
          <w:lang w:eastAsia="zh-CN"/>
        </w:rPr>
        <w:t>，</w:t>
      </w:r>
      <w:r>
        <w:rPr>
          <w:color w:val="auto"/>
        </w:rPr>
        <w:t>日常公用经费支出</w:t>
      </w:r>
      <w:r>
        <w:rPr>
          <w:rFonts w:hint="eastAsia"/>
          <w:color w:val="auto"/>
        </w:rPr>
        <w:t>7.52</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pPr>
        <w:ind w:firstLine="560"/>
        <w:rPr>
          <w:color w:val="auto"/>
        </w:rPr>
      </w:pPr>
      <w:r>
        <w:rPr>
          <w:color w:val="auto"/>
        </w:rPr>
        <w:t>项目支出共计</w:t>
      </w:r>
      <w:r>
        <w:rPr>
          <w:rFonts w:hint="eastAsia"/>
          <w:color w:val="auto"/>
        </w:rPr>
        <w:t>86.59</w:t>
      </w:r>
      <w:r>
        <w:rPr>
          <w:color w:val="auto"/>
        </w:rPr>
        <w:t>万元，主要用于保障95年前退休人员生活补助项目、2023年自治区社保经办机构业务经费项目等项目支出。</w:t>
      </w:r>
    </w:p>
    <w:p>
      <w:pPr>
        <w:pStyle w:val="3"/>
        <w:rPr>
          <w:color w:val="auto"/>
        </w:rPr>
      </w:pPr>
      <w:bookmarkStart w:id="3" w:name="_Toc32535_WPSOffice_Level1"/>
      <w:r>
        <w:rPr>
          <w:rFonts w:hint="eastAsia"/>
          <w:color w:val="auto"/>
        </w:rPr>
        <w:t>二、部门单位整体支出管理及使用情况</w:t>
      </w:r>
      <w:bookmarkEnd w:id="3"/>
    </w:p>
    <w:p>
      <w:pPr>
        <w:pStyle w:val="4"/>
        <w:spacing w:before="156"/>
        <w:ind w:firstLine="643"/>
        <w:rPr>
          <w:color w:val="auto"/>
        </w:rPr>
      </w:pPr>
      <w:r>
        <w:rPr>
          <w:rFonts w:hint="eastAsia"/>
          <w:color w:val="auto"/>
        </w:rPr>
        <w:t>（一）基本支出和使用情况</w:t>
      </w:r>
    </w:p>
    <w:p>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中心基本支出全年预算总额290.14万元，全年实际支出290.14万元，资金执行率100%。基本支出严格按照财务管理制度执行，其中：</w:t>
      </w:r>
    </w:p>
    <w:p>
      <w:pPr>
        <w:ind w:firstLine="560"/>
        <w:rPr>
          <w:color w:val="auto"/>
        </w:rPr>
      </w:pPr>
      <w:r>
        <w:rPr>
          <w:rFonts w:hint="eastAsia"/>
          <w:color w:val="auto"/>
        </w:rPr>
        <w:t>人员经费支出282.62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rPr>
      </w:pPr>
      <w:r>
        <w:rPr>
          <w:rFonts w:hint="eastAsia"/>
          <w:color w:val="auto"/>
        </w:rPr>
        <w:t>公用经费支出7.52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rPr>
      </w:pPr>
      <w:r>
        <w:rPr>
          <w:rFonts w:hint="eastAsia"/>
          <w:color w:val="auto"/>
        </w:rPr>
        <w:t>（二）政策、项目支出和使用情况</w:t>
      </w:r>
    </w:p>
    <w:p>
      <w:pPr>
        <w:pStyle w:val="2"/>
        <w:ind w:firstLine="602"/>
        <w:rPr>
          <w:color w:val="auto"/>
        </w:rPr>
      </w:pPr>
      <w:r>
        <w:rPr>
          <w:rFonts w:hint="eastAsia"/>
          <w:color w:val="auto"/>
        </w:rPr>
        <w:t>1.政策、项目支出的投入情况分析</w:t>
      </w:r>
    </w:p>
    <w:p>
      <w:pPr>
        <w:ind w:firstLine="560"/>
        <w:rPr>
          <w:color w:val="auto"/>
        </w:rPr>
      </w:pPr>
      <w:r>
        <w:rPr>
          <w:rFonts w:hint="eastAsia"/>
          <w:color w:val="auto"/>
        </w:rPr>
        <w:t>我中心2023年度共安排项目支出预算86.59元</w:t>
      </w:r>
      <w:r>
        <w:rPr>
          <w:rFonts w:hint="eastAsia"/>
          <w:color w:val="auto"/>
          <w:lang w:eastAsia="zh-CN"/>
        </w:rPr>
        <w:t>（</w:t>
      </w:r>
      <w:r>
        <w:rPr>
          <w:rFonts w:hint="eastAsia"/>
          <w:color w:val="auto"/>
        </w:rPr>
        <w:t>含上年结余0万元</w:t>
      </w:r>
      <w:r>
        <w:rPr>
          <w:rFonts w:hint="eastAsia"/>
          <w:color w:val="auto"/>
          <w:lang w:eastAsia="zh-CN"/>
        </w:rPr>
        <w:t>）</w:t>
      </w:r>
      <w:r>
        <w:rPr>
          <w:rFonts w:hint="eastAsia"/>
          <w:color w:val="auto"/>
        </w:rPr>
        <w:t>，其中：上级专项资金34.34万元，本级财政资金52.25万元。</w:t>
      </w:r>
    </w:p>
    <w:p>
      <w:pPr>
        <w:pStyle w:val="2"/>
        <w:ind w:firstLine="602"/>
        <w:rPr>
          <w:color w:val="auto"/>
        </w:rPr>
      </w:pPr>
      <w:r>
        <w:rPr>
          <w:rFonts w:hint="eastAsia"/>
          <w:color w:val="auto"/>
        </w:rPr>
        <w:t>2.政策、项目支出管理情况</w:t>
      </w:r>
    </w:p>
    <w:p>
      <w:pPr>
        <w:ind w:firstLine="560"/>
        <w:rPr>
          <w:color w:val="auto"/>
        </w:rPr>
      </w:pPr>
      <w:r>
        <w:rPr>
          <w:rFonts w:hint="eastAsia"/>
          <w:color w:val="auto"/>
        </w:rPr>
        <w:t>（1）资金管理情况。我中心项目资金全部按财政国库集中支付制度要求使用和拨付，通过财政直接支付方式拨给项目实施单位。在拨付过程中严把监督审核关，建立健全内部审批制度，财务做好项目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w:t>
      </w:r>
    </w:p>
    <w:p>
      <w:pPr>
        <w:ind w:firstLine="560"/>
        <w:rPr>
          <w:rFonts w:cs="Times New Roman"/>
          <w:color w:val="auto"/>
        </w:rPr>
      </w:pPr>
      <w:r>
        <w:rPr>
          <w:rFonts w:hint="eastAsia" w:eastAsia="仿宋_GB2312"/>
          <w:color w:val="auto"/>
          <w:kern w:val="1"/>
          <w:szCs w:val="28"/>
        </w:rPr>
        <w:t>严格推行项目法人责任制，建立项目奖惩及激励机制，保证自有资金按期到位，健全财务管理制度。在项目实施过程中。项目领导小组根据项目完成情况下拨资金。专款专用，确保项目投资方向不变，使项目按计划有序有效地进行，以达到项目总体设计要求和规划目的。严格建设资金管理，严禁挤占挪用。</w:t>
      </w:r>
      <w:r>
        <w:rPr>
          <w:rFonts w:hint="eastAsia" w:cs="Times New Roman"/>
          <w:color w:val="auto"/>
        </w:rPr>
        <w:t>在本年度各级审计和财政监督检查中未发现资金使用合规性问题。</w:t>
      </w:r>
    </w:p>
    <w:p>
      <w:pPr>
        <w:adjustRightInd/>
        <w:snapToGrid/>
        <w:spacing w:line="560" w:lineRule="exact"/>
        <w:ind w:firstLine="560"/>
        <w:rPr>
          <w:rFonts w:cs="Times New Roman"/>
          <w:color w:val="auto"/>
        </w:rPr>
      </w:pPr>
      <w:r>
        <w:rPr>
          <w:rFonts w:hint="eastAsia"/>
          <w:color w:val="auto"/>
        </w:rPr>
        <w:t>（2）项目实施组织管理情况。</w:t>
      </w:r>
      <w:r>
        <w:rPr>
          <w:rFonts w:hint="eastAsia" w:cs="Times New Roman"/>
          <w:color w:val="auto"/>
        </w:rPr>
        <w:t>我中心共有2个项目，其中2个项目实施进度已达到100%。</w:t>
      </w:r>
      <w:r>
        <w:rPr>
          <w:rFonts w:hint="eastAsia" w:eastAsia="仿宋_GB2312"/>
          <w:color w:val="auto"/>
          <w:kern w:val="1"/>
          <w:szCs w:val="28"/>
        </w:rPr>
        <w:t>按照项目工作内容、工作措施、工作时限和要达到的预期效果，进一步分解细化，将责任落实到岗位，形成完整的绩效管理工作方案和指标考核评价体系，使部门专项工作任务与绩效评价指</w:t>
      </w:r>
      <w:r>
        <w:rPr>
          <w:rFonts w:hint="eastAsia" w:eastAsia="仿宋_GB2312"/>
          <w:color w:val="auto"/>
          <w:kern w:val="1"/>
          <w:szCs w:val="28"/>
        </w:rPr>
        <w:t>标紧密结合起来，推动各项工作落实。</w:t>
      </w:r>
    </w:p>
    <w:p>
      <w:pPr>
        <w:ind w:firstLine="560"/>
        <w:rPr>
          <w:rFonts w:cs="Times New Roman"/>
          <w:color w:val="auto"/>
        </w:rPr>
      </w:pPr>
      <w:r>
        <w:rPr>
          <w:rFonts w:hint="eastAsia" w:cs="Times New Roman"/>
          <w:color w:val="auto"/>
        </w:rPr>
        <w:t>本单位所涉及专项项目均已于专项资金下达后按照资金文件及绩效管理要求设置《项目绩效目标表》，1个专项项目资金</w:t>
      </w:r>
      <w:r>
        <w:rPr>
          <w:rFonts w:hint="eastAsia" w:cs="Times New Roman"/>
          <w:color w:val="auto"/>
          <w:lang w:eastAsia="zh-CN"/>
        </w:rPr>
        <w:t>效益</w:t>
      </w:r>
      <w:r>
        <w:rPr>
          <w:rFonts w:hint="eastAsia" w:cs="Times New Roman"/>
          <w:color w:val="auto"/>
        </w:rPr>
        <w:t>情况如下：</w:t>
      </w:r>
    </w:p>
    <w:p>
      <w:pPr>
        <w:ind w:firstLine="560"/>
        <w:rPr>
          <w:rFonts w:cs="Times New Roman"/>
          <w:color w:val="auto"/>
        </w:rPr>
      </w:pPr>
      <w:r>
        <w:rPr>
          <w:rFonts w:hint="eastAsia" w:cs="Times New Roman"/>
          <w:color w:val="auto"/>
        </w:rPr>
        <w:t>国家安排95年底前困难企业退休人员发放生活补助。为了提高生活水平，政府每年落实生活补助金，我们中心确保每季度及时发放，及时核定人数，资金到位按时发放。生活补助发放可以提高生活水平，减轻生活负担。</w:t>
      </w:r>
    </w:p>
    <w:p>
      <w:pPr>
        <w:pStyle w:val="2"/>
        <w:ind w:firstLine="602"/>
        <w:rPr>
          <w:color w:val="auto"/>
        </w:rPr>
      </w:pPr>
      <w:r>
        <w:rPr>
          <w:rFonts w:hint="eastAsia"/>
          <w:color w:val="auto"/>
        </w:rPr>
        <w:t>3.政策、项目支出总体实际使用情况</w:t>
      </w:r>
    </w:p>
    <w:p>
      <w:pPr>
        <w:ind w:firstLine="560"/>
        <w:rPr>
          <w:color w:val="auto"/>
        </w:rPr>
      </w:pPr>
      <w:r>
        <w:rPr>
          <w:rFonts w:hint="eastAsia"/>
          <w:color w:val="auto"/>
        </w:rPr>
        <w:t>我中心2023年度安排项目支出资金86.59万元，实际支出86.59万元</w:t>
      </w:r>
      <w:r>
        <w:rPr>
          <w:rFonts w:hint="eastAsia"/>
          <w:color w:val="auto"/>
          <w:lang w:eastAsia="zh-CN"/>
        </w:rPr>
        <w:t>，</w:t>
      </w:r>
      <w:r>
        <w:rPr>
          <w:rFonts w:hint="eastAsia"/>
          <w:color w:val="auto"/>
        </w:rPr>
        <w:t>其中：上级专项资金支出34.34万元，本级财政安排项目资金支出52.25万元，项目预算资金执行率100%，结转0万元，结余0万元，主要原因是：无结转项目。</w:t>
      </w:r>
      <w:bookmarkStart w:id="4" w:name="_Toc1734_WPSOffice_Level1"/>
    </w:p>
    <w:p>
      <w:pPr>
        <w:ind w:firstLine="560"/>
        <w:rPr>
          <w:color w:val="auto"/>
        </w:rPr>
      </w:pPr>
      <w:r>
        <w:rPr>
          <w:rFonts w:hint="eastAsia"/>
          <w:color w:val="auto"/>
        </w:rPr>
        <w:t>我中心</w:t>
      </w:r>
      <w:r>
        <w:rPr>
          <w:color w:val="auto"/>
        </w:rPr>
        <w:t>2023年度安排项目支出主要内容</w:t>
      </w:r>
      <w:r>
        <w:rPr>
          <w:rFonts w:hint="eastAsia"/>
          <w:color w:val="auto"/>
          <w:lang w:eastAsia="zh-CN"/>
        </w:rPr>
        <w:t>（</w:t>
      </w:r>
      <w:r>
        <w:rPr>
          <w:color w:val="auto"/>
        </w:rPr>
        <w:t>按功能分类</w:t>
      </w:r>
      <w:r>
        <w:rPr>
          <w:rFonts w:hint="eastAsia"/>
          <w:color w:val="auto"/>
          <w:lang w:eastAsia="zh-CN"/>
        </w:rPr>
        <w:t>）</w:t>
      </w:r>
      <w:r>
        <w:rPr>
          <w:color w:val="auto"/>
        </w:rPr>
        <w:t>:</w:t>
      </w:r>
      <w:r>
        <w:rPr>
          <w:rFonts w:hint="eastAsia"/>
          <w:color w:val="auto"/>
        </w:rPr>
        <w:t>2023年度安排项目支出资金86.59万元，实际支出86.59万元</w:t>
      </w:r>
      <w:r>
        <w:rPr>
          <w:rFonts w:hint="eastAsia"/>
          <w:color w:val="auto"/>
          <w:lang w:eastAsia="zh-CN"/>
        </w:rPr>
        <w:t>，</w:t>
      </w:r>
      <w:r>
        <w:rPr>
          <w:rFonts w:hint="eastAsia"/>
          <w:color w:val="auto"/>
        </w:rPr>
        <w:t>其中：上级专项资金支出34.34万元，本级财政安排项目资金支出52.25万元</w:t>
      </w:r>
      <w:r>
        <w:rPr>
          <w:rFonts w:hint="eastAsia"/>
          <w:color w:val="auto"/>
          <w:lang w:eastAsia="zh-CN"/>
        </w:rPr>
        <w:t>，</w:t>
      </w:r>
      <w:r>
        <w:rPr>
          <w:color w:val="auto"/>
        </w:rPr>
        <w:t>包括社会保障和就业支出</w:t>
      </w:r>
      <w:r>
        <w:rPr>
          <w:rFonts w:hint="eastAsia"/>
          <w:color w:val="auto"/>
        </w:rPr>
        <w:t>0</w:t>
      </w:r>
      <w:r>
        <w:rPr>
          <w:color w:val="auto"/>
        </w:rPr>
        <w:t>万元，卫生健康支出</w:t>
      </w:r>
      <w:r>
        <w:rPr>
          <w:rFonts w:hint="eastAsia"/>
          <w:color w:val="auto"/>
        </w:rPr>
        <w:t>0</w:t>
      </w:r>
      <w:r>
        <w:rPr>
          <w:color w:val="auto"/>
        </w:rPr>
        <w:t>万元，</w:t>
      </w:r>
      <w:r>
        <w:rPr>
          <w:rFonts w:hint="eastAsia"/>
          <w:color w:val="auto"/>
        </w:rPr>
        <w:t>住房与保障</w:t>
      </w:r>
      <w:r>
        <w:rPr>
          <w:color w:val="auto"/>
        </w:rPr>
        <w:t>支出</w:t>
      </w:r>
      <w:r>
        <w:rPr>
          <w:rFonts w:hint="eastAsia"/>
          <w:color w:val="auto"/>
        </w:rPr>
        <w:t>0</w:t>
      </w:r>
      <w:r>
        <w:rPr>
          <w:color w:val="auto"/>
        </w:rPr>
        <w:t>万元，</w:t>
      </w:r>
      <w:r>
        <w:rPr>
          <w:rFonts w:hint="eastAsia"/>
          <w:color w:val="auto"/>
        </w:rPr>
        <w:t>一般公共服务</w:t>
      </w:r>
      <w:r>
        <w:rPr>
          <w:color w:val="auto"/>
        </w:rPr>
        <w:t>支出</w:t>
      </w:r>
      <w:r>
        <w:rPr>
          <w:rFonts w:hint="eastAsia"/>
          <w:color w:val="auto"/>
        </w:rPr>
        <w:t>0</w:t>
      </w:r>
      <w:r>
        <w:rPr>
          <w:color w:val="auto"/>
        </w:rPr>
        <w:t>万元</w:t>
      </w:r>
      <w:r>
        <w:rPr>
          <w:rFonts w:hint="eastAsia"/>
          <w:color w:val="auto"/>
        </w:rPr>
        <w:t>。</w:t>
      </w:r>
    </w:p>
    <w:bookmarkEnd w:id="4"/>
    <w:p>
      <w:pPr>
        <w:pStyle w:val="3"/>
        <w:rPr>
          <w:color w:val="auto"/>
        </w:rPr>
      </w:pPr>
      <w:bookmarkStart w:id="5" w:name="_Toc13582_WPSOffice_Level1"/>
      <w:r>
        <w:rPr>
          <w:rFonts w:hint="eastAsia"/>
          <w:color w:val="auto"/>
        </w:rPr>
        <w:t>三、部门单位整体支出绩效</w:t>
      </w:r>
      <w:bookmarkEnd w:id="5"/>
      <w:r>
        <w:rPr>
          <w:rFonts w:hint="eastAsia"/>
          <w:color w:val="auto"/>
        </w:rPr>
        <w:t>分析</w:t>
      </w:r>
    </w:p>
    <w:p>
      <w:pPr>
        <w:ind w:firstLine="560"/>
        <w:rPr>
          <w:color w:val="auto"/>
        </w:rPr>
      </w:pPr>
      <w:r>
        <w:rPr>
          <w:rFonts w:hint="eastAsia"/>
          <w:color w:val="auto"/>
        </w:rPr>
        <w:t>我中心2023年度部门整体支出绩效目标，共设置一级指标6个，二级指标10个，三级指标10个，其中已完成三级指标</w:t>
      </w:r>
      <w:r>
        <w:rPr>
          <w:rFonts w:hint="eastAsia"/>
          <w:color w:val="auto"/>
          <w:lang w:val="en-US" w:eastAsia="zh-CN"/>
        </w:rPr>
        <w:t>9</w:t>
      </w:r>
      <w:r>
        <w:rPr>
          <w:rFonts w:hint="eastAsia"/>
          <w:color w:val="auto"/>
        </w:rPr>
        <w:t>个，指标完成率为</w:t>
      </w:r>
      <w:r>
        <w:rPr>
          <w:rFonts w:hint="eastAsia"/>
          <w:color w:val="auto"/>
          <w:lang w:val="en-US" w:eastAsia="zh-CN"/>
        </w:rPr>
        <w:t>9</w:t>
      </w:r>
      <w:r>
        <w:rPr>
          <w:rFonts w:hint="eastAsia"/>
          <w:color w:val="auto"/>
        </w:rPr>
        <w:t>0%。部门整体支出绩效情况如下：</w:t>
      </w:r>
    </w:p>
    <w:p>
      <w:pPr>
        <w:pStyle w:val="4"/>
        <w:spacing w:before="156"/>
        <w:ind w:firstLine="643"/>
        <w:rPr>
          <w:color w:val="auto"/>
        </w:rPr>
      </w:pPr>
      <w:r>
        <w:rPr>
          <w:rFonts w:hint="eastAsia"/>
          <w:color w:val="auto"/>
        </w:rPr>
        <w:t>（一）运行成本指标完成情况分析</w:t>
      </w:r>
    </w:p>
    <w:p>
      <w:pPr>
        <w:ind w:firstLine="560"/>
        <w:rPr>
          <w:color w:val="auto"/>
        </w:rPr>
      </w:pPr>
      <w:r>
        <w:rPr>
          <w:rFonts w:hint="eastAsia"/>
          <w:color w:val="auto"/>
        </w:rPr>
        <w:t>资金支出预算执行率指标年初设定目标是100%，年中绩效运行监控时完成值68.55%，年终实际完成值是100%，指标完成率是100%。基本支出严格按照财务管理制度执行。偏差原因：无偏差。</w:t>
      </w:r>
    </w:p>
    <w:p>
      <w:pPr>
        <w:pStyle w:val="4"/>
        <w:numPr>
          <w:ilvl w:val="0"/>
          <w:numId w:val="1"/>
        </w:numPr>
        <w:spacing w:before="156"/>
        <w:ind w:firstLineChars="0"/>
        <w:rPr>
          <w:color w:val="auto"/>
        </w:rPr>
      </w:pPr>
      <w:r>
        <w:rPr>
          <w:rFonts w:hint="eastAsia"/>
          <w:color w:val="auto"/>
        </w:rPr>
        <w:t>“三公经费”控制率指标完成情况分析</w:t>
      </w:r>
    </w:p>
    <w:p>
      <w:pPr>
        <w:ind w:firstLine="560"/>
        <w:rPr>
          <w:color w:val="auto"/>
        </w:rPr>
      </w:pPr>
      <w:r>
        <w:rPr>
          <w:rFonts w:hint="eastAsia"/>
          <w:color w:val="auto"/>
        </w:rPr>
        <w:t>“三公经费”控制率指标年初设定目标是100%，年中绩效运行监控时完成值50%，年终实际完成值是100%，指标完成率是100%。达到了严格压缩三公经费支出，严格执行八项规定的预期目标。偏差原因：无偏差。</w:t>
      </w:r>
    </w:p>
    <w:p>
      <w:pPr>
        <w:pStyle w:val="4"/>
        <w:numPr>
          <w:ilvl w:val="0"/>
          <w:numId w:val="1"/>
        </w:numPr>
        <w:spacing w:before="156"/>
        <w:ind w:firstLineChars="0"/>
        <w:rPr>
          <w:color w:val="auto"/>
        </w:rPr>
      </w:pPr>
      <w:r>
        <w:rPr>
          <w:rFonts w:hint="eastAsia"/>
          <w:color w:val="auto"/>
        </w:rPr>
        <w:t>城乡居民养老待遇发放人数指标完成情况分析</w:t>
      </w:r>
    </w:p>
    <w:p>
      <w:pPr>
        <w:ind w:firstLine="560"/>
        <w:rPr>
          <w:color w:val="auto"/>
        </w:rPr>
      </w:pPr>
      <w:r>
        <w:rPr>
          <w:rFonts w:hint="eastAsia"/>
          <w:color w:val="auto"/>
        </w:rPr>
        <w:t>城乡居民养老待遇发放人数指标年初设定目标是≥8925 人，年中绩效运行监控时完成值8971人，年终实际完成值是9196人，指标完成率是103%。增加享受养老待遇群众的幸福感。偏差原因：无偏差。</w:t>
      </w:r>
    </w:p>
    <w:p>
      <w:pPr>
        <w:pStyle w:val="4"/>
        <w:numPr>
          <w:ilvl w:val="0"/>
          <w:numId w:val="1"/>
        </w:numPr>
        <w:spacing w:before="156"/>
        <w:ind w:firstLineChars="0"/>
        <w:rPr>
          <w:color w:val="auto"/>
        </w:rPr>
      </w:pPr>
      <w:r>
        <w:rPr>
          <w:rFonts w:hint="eastAsia"/>
          <w:color w:val="auto"/>
        </w:rPr>
        <w:t>机关单位养老待遇发放人数指标完成情况分析</w:t>
      </w:r>
    </w:p>
    <w:p>
      <w:pPr>
        <w:ind w:firstLine="560"/>
        <w:rPr>
          <w:rFonts w:hint="eastAsia" w:eastAsia="仿宋"/>
          <w:color w:val="auto"/>
          <w:lang w:eastAsia="zh-CN"/>
        </w:rPr>
      </w:pPr>
      <w:r>
        <w:rPr>
          <w:rFonts w:hint="eastAsia"/>
          <w:color w:val="auto"/>
        </w:rPr>
        <w:t>机关单位养老待遇发放人数指标年初设定目标是≥3341 人，年中绩效运行监控时完成值3283人，年终实际完成值是3327人，指标完成率是</w:t>
      </w:r>
      <w:r>
        <w:rPr>
          <w:rFonts w:hint="eastAsia"/>
          <w:color w:val="auto"/>
          <w:lang w:val="en-US" w:eastAsia="zh-CN"/>
        </w:rPr>
        <w:t>99</w:t>
      </w:r>
      <w:r>
        <w:rPr>
          <w:rFonts w:hint="eastAsia"/>
          <w:color w:val="auto"/>
        </w:rPr>
        <w:t>%。增加享受养老待遇退休人员的幸福感。偏差原因：</w:t>
      </w:r>
      <w:r>
        <w:rPr>
          <w:rFonts w:hint="eastAsia"/>
          <w:color w:val="auto"/>
          <w:lang w:eastAsia="zh-CN"/>
        </w:rPr>
        <w:t>由于年中有老人去世，导致最终执行人数少于年初设定人数</w:t>
      </w:r>
      <w:r>
        <w:rPr>
          <w:rFonts w:hint="eastAsia"/>
          <w:color w:val="auto"/>
        </w:rPr>
        <w:t>。</w:t>
      </w:r>
      <w:r>
        <w:rPr>
          <w:rFonts w:hint="eastAsia"/>
          <w:color w:val="auto"/>
          <w:lang w:eastAsia="zh-CN"/>
        </w:rPr>
        <w:t>下一步将加大年初指标设置的调研工作，确保指标设定精确度。</w:t>
      </w:r>
    </w:p>
    <w:p>
      <w:pPr>
        <w:pStyle w:val="4"/>
        <w:numPr>
          <w:ilvl w:val="0"/>
          <w:numId w:val="1"/>
        </w:numPr>
        <w:spacing w:before="156"/>
        <w:ind w:firstLineChars="0"/>
        <w:rPr>
          <w:color w:val="auto"/>
        </w:rPr>
      </w:pPr>
      <w:r>
        <w:rPr>
          <w:rFonts w:hint="eastAsia"/>
          <w:color w:val="auto"/>
        </w:rPr>
        <w:t>待遇发放覆盖率指标完成情况分析</w:t>
      </w:r>
    </w:p>
    <w:p>
      <w:pPr>
        <w:ind w:firstLine="560"/>
        <w:rPr>
          <w:color w:val="auto"/>
        </w:rPr>
      </w:pPr>
      <w:r>
        <w:rPr>
          <w:rFonts w:hint="eastAsia"/>
          <w:color w:val="auto"/>
        </w:rPr>
        <w:t>待遇发放覆盖率指标年初设定目标是100%，年中绩效运行监控时完成值50%，年终实际完成值是100%，指标完成率是100%。增加享受养老待遇退休人员的幸福感。偏差原因：无偏差。</w:t>
      </w:r>
    </w:p>
    <w:p>
      <w:pPr>
        <w:pStyle w:val="4"/>
        <w:numPr>
          <w:ilvl w:val="0"/>
          <w:numId w:val="1"/>
        </w:numPr>
        <w:spacing w:before="156"/>
        <w:ind w:firstLineChars="0"/>
        <w:rPr>
          <w:color w:val="auto"/>
        </w:rPr>
      </w:pPr>
      <w:r>
        <w:rPr>
          <w:rFonts w:hint="eastAsia"/>
          <w:color w:val="auto"/>
        </w:rPr>
        <w:t>基层社保岗位稳定率指标完成情况分析</w:t>
      </w:r>
    </w:p>
    <w:p>
      <w:pPr>
        <w:ind w:firstLine="560"/>
        <w:rPr>
          <w:color w:val="auto"/>
        </w:rPr>
      </w:pPr>
      <w:r>
        <w:rPr>
          <w:rFonts w:hint="eastAsia"/>
          <w:color w:val="auto"/>
        </w:rPr>
        <w:t>就业培训政策知晓率指标年初设定目标是&gt;=98%，年中绩效运行监控时完成值50%，年终实际完成值是100%，指标完成率是100%，增加参加培训人员的前期工作，将强增高参加培训人员人数。偏差原因：无偏差。</w:t>
      </w:r>
    </w:p>
    <w:p>
      <w:pPr>
        <w:pStyle w:val="4"/>
        <w:numPr>
          <w:ilvl w:val="0"/>
          <w:numId w:val="1"/>
        </w:numPr>
        <w:spacing w:before="156"/>
        <w:ind w:firstLineChars="0"/>
        <w:rPr>
          <w:color w:val="auto"/>
        </w:rPr>
      </w:pPr>
      <w:r>
        <w:rPr>
          <w:rFonts w:hint="eastAsia"/>
          <w:color w:val="auto"/>
        </w:rPr>
        <w:t>群众社保政策知晓率指标完成情况分析</w:t>
      </w:r>
    </w:p>
    <w:p>
      <w:pPr>
        <w:ind w:firstLine="560"/>
        <w:rPr>
          <w:color w:val="auto"/>
        </w:rPr>
      </w:pPr>
      <w:r>
        <w:rPr>
          <w:rFonts w:hint="eastAsia"/>
          <w:color w:val="auto"/>
        </w:rPr>
        <w:t>群众社保政策知晓率指标年初设定目标是&gt;=98%，年中绩效运行监控时完成值50%，年终实际完成值是100%，指标完成率是100%。加强退休人员对养老金对于满足基本生活满意度。偏差原因：无偏差。</w:t>
      </w:r>
    </w:p>
    <w:p>
      <w:pPr>
        <w:pStyle w:val="4"/>
        <w:numPr>
          <w:ilvl w:val="0"/>
          <w:numId w:val="1"/>
        </w:numPr>
        <w:spacing w:before="156"/>
        <w:ind w:firstLineChars="0"/>
        <w:rPr>
          <w:color w:val="auto"/>
        </w:rPr>
      </w:pPr>
      <w:r>
        <w:rPr>
          <w:rFonts w:hint="eastAsia"/>
          <w:color w:val="auto"/>
        </w:rPr>
        <w:t>县域退休人员满意度指标完成情况分析</w:t>
      </w:r>
    </w:p>
    <w:p>
      <w:pPr>
        <w:ind w:firstLine="560"/>
        <w:rPr>
          <w:color w:val="auto"/>
        </w:rPr>
      </w:pPr>
      <w:r>
        <w:rPr>
          <w:rFonts w:hint="eastAsia"/>
          <w:color w:val="auto"/>
        </w:rPr>
        <w:t>县域退休人员满意度指标年初设定目标是&gt;=95%，年中绩效运行监控时完成值50%，年终实际完成值是100%，指标完成率是100%。偏差原因：无偏差。</w:t>
      </w:r>
    </w:p>
    <w:p>
      <w:pPr>
        <w:pStyle w:val="3"/>
        <w:ind w:firstLine="320" w:firstLineChars="100"/>
        <w:rPr>
          <w:color w:val="auto"/>
        </w:rPr>
      </w:pPr>
      <w:r>
        <w:rPr>
          <w:rFonts w:hint="eastAsia"/>
          <w:color w:val="auto"/>
        </w:rPr>
        <w:t>四、评价结论</w:t>
      </w:r>
    </w:p>
    <w:p>
      <w:pPr>
        <w:ind w:firstLine="560"/>
        <w:rPr>
          <w:rFonts w:ascii="Times New Roman" w:hAnsi="Times New Roman" w:cs="Times New Roman"/>
          <w:color w:val="auto"/>
        </w:rPr>
      </w:pPr>
      <w:r>
        <w:rPr>
          <w:rFonts w:hint="eastAsia"/>
          <w:color w:val="auto"/>
        </w:rPr>
        <w:t>我中心2023年度部门整体支出绩效自评综合得分</w:t>
      </w:r>
      <w:r>
        <w:rPr>
          <w:rFonts w:hint="eastAsia"/>
          <w:color w:val="auto"/>
          <w:lang w:val="en-US" w:eastAsia="zh-CN"/>
        </w:rPr>
        <w:t>99.96</w:t>
      </w:r>
      <w:r>
        <w:rPr>
          <w:rFonts w:hint="eastAsia"/>
          <w:color w:val="auto"/>
        </w:rPr>
        <w:t>分，评价结果为“优”。</w:t>
      </w:r>
      <w:r>
        <w:rPr>
          <w:rFonts w:hint="eastAsia" w:ascii="Times New Roman" w:hAnsi="Times New Roman" w:cs="Times New Roman"/>
          <w:color w:val="auto"/>
        </w:rPr>
        <w:t>我中心</w:t>
      </w:r>
      <w:r>
        <w:rPr>
          <w:rFonts w:ascii="Times New Roman" w:hAnsi="Times New Roman" w:cs="Times New Roman"/>
          <w:color w:val="auto"/>
        </w:rPr>
        <w:t>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pPr>
        <w:ind w:firstLine="560"/>
        <w:rPr>
          <w:color w:val="auto"/>
        </w:rPr>
      </w:pPr>
      <w:r>
        <w:rPr>
          <w:rFonts w:hint="eastAsia"/>
          <w:color w:val="auto"/>
        </w:rPr>
        <w:t>加强社保基金风险排查，健全社保经办内控机制。完善经办业务内控制度，配备专职人员，严格做到每月定期开展业务内部核查，对社保业务的待遇状态变更、大额发放、待遇补发、历史信息维护、银行账户变更等高风险业务进行稽核；运用数据分析筛查、档案核查、经办业务审核等方式筛查疑点，重点查处参保、转移接续、特殊情况补缴、退费等征缴业务，死亡冒领、服刑冒领、重复领取、待遇计发、待遇资格认证等高风险业务进行内部核查，做到及时核查、及时发现、及时整改；另一方面依托网厅系统，对集中系统上线以来的业务经办流程做到规范、权限执行不相容岗位分离和高风险岗位定期轮岗制度，确保社保基金安全运行。</w:t>
      </w:r>
    </w:p>
    <w:p>
      <w:pPr>
        <w:pStyle w:val="3"/>
        <w:rPr>
          <w:color w:val="auto"/>
        </w:rPr>
      </w:pPr>
      <w:bookmarkStart w:id="6" w:name="_Toc22800_WPSOffice_Level1"/>
      <w:r>
        <w:rPr>
          <w:rFonts w:hint="eastAsia"/>
          <w:color w:val="auto"/>
        </w:rPr>
        <w:t>五、存在的主要问题</w:t>
      </w:r>
      <w:bookmarkEnd w:id="6"/>
      <w:r>
        <w:rPr>
          <w:rFonts w:hint="eastAsia"/>
          <w:color w:val="auto"/>
        </w:rPr>
        <w:t>及原因分析</w:t>
      </w:r>
    </w:p>
    <w:p>
      <w:pPr>
        <w:ind w:firstLine="560"/>
        <w:rPr>
          <w:color w:val="auto"/>
        </w:rPr>
      </w:pPr>
      <w:bookmarkStart w:id="7" w:name="_Toc29546_WPSOffice_Level1"/>
      <w:r>
        <w:rPr>
          <w:rFonts w:hint="eastAsia"/>
          <w:color w:val="auto"/>
        </w:rPr>
        <w:t>1.细化预算编制工作，认真做好预算的编制。进一步加强预算管理意识，严格按照预算编制的相关制度和要求，本着“勤俭节约、保障运转”的原则进行预算的编制；编制范围尽可能</w:t>
      </w:r>
      <w:r>
        <w:rPr>
          <w:rFonts w:hint="eastAsia"/>
          <w:color w:val="auto"/>
          <w:lang w:eastAsia="zh-CN"/>
        </w:rPr>
        <w:t>地</w:t>
      </w:r>
      <w:r>
        <w:rPr>
          <w:rFonts w:hint="eastAsia"/>
          <w:color w:val="auto"/>
        </w:rPr>
        <w:t xml:space="preserve">全面、不漏项，进一步提高预算编制的科学性、合理性、严谨性和可控性。 </w:t>
      </w:r>
    </w:p>
    <w:p>
      <w:pPr>
        <w:ind w:firstLine="560"/>
        <w:rPr>
          <w:color w:val="auto"/>
        </w:rPr>
      </w:pPr>
      <w:r>
        <w:rPr>
          <w:rFonts w:hint="eastAsia"/>
          <w:color w:val="auto"/>
        </w:rPr>
        <w:t xml:space="preserve">2.在日常预算管理过程中，进一步加强预算支出的衔接、审核、跟踪及预算执行情况分析。 </w:t>
      </w:r>
    </w:p>
    <w:p>
      <w:pPr>
        <w:ind w:firstLine="560"/>
        <w:rPr>
          <w:color w:val="auto"/>
        </w:rPr>
      </w:pPr>
      <w:r>
        <w:rPr>
          <w:rFonts w:hint="eastAsia"/>
          <w:color w:val="auto"/>
        </w:rPr>
        <w:t>3.希望财政进一步加强基层社会保障平台建设，提升经办管理服务能力。</w:t>
      </w:r>
    </w:p>
    <w:p>
      <w:pPr>
        <w:pStyle w:val="3"/>
        <w:rPr>
          <w:color w:val="auto"/>
        </w:rPr>
      </w:pPr>
      <w:r>
        <w:rPr>
          <w:rFonts w:hint="eastAsia"/>
          <w:color w:val="auto"/>
        </w:rPr>
        <w:t>六、改进措施和建议</w:t>
      </w:r>
      <w:bookmarkEnd w:id="7"/>
    </w:p>
    <w:p>
      <w:pPr>
        <w:ind w:firstLine="544"/>
        <w:rPr>
          <w:bCs/>
          <w:color w:val="auto"/>
          <w:spacing w:val="-4"/>
          <w:szCs w:val="32"/>
        </w:rPr>
      </w:pPr>
      <w:r>
        <w:rPr>
          <w:rFonts w:hint="eastAsia"/>
          <w:bCs/>
          <w:color w:val="auto"/>
          <w:spacing w:val="-4"/>
          <w:szCs w:val="32"/>
        </w:rPr>
        <w:t>下一步改进绩效部门绩效</w:t>
      </w:r>
      <w:r>
        <w:rPr>
          <w:rFonts w:hint="eastAsia"/>
          <w:bCs/>
          <w:color w:val="auto"/>
          <w:spacing w:val="-4"/>
          <w:szCs w:val="32"/>
          <w:lang w:eastAsia="zh-CN"/>
        </w:rPr>
        <w:t>监督</w:t>
      </w:r>
      <w:r>
        <w:rPr>
          <w:rFonts w:hint="eastAsia"/>
          <w:bCs/>
          <w:color w:val="auto"/>
          <w:spacing w:val="-4"/>
          <w:szCs w:val="32"/>
        </w:rPr>
        <w:t>组织，管理，实施方式等思想。各项资金按照拨付及时实施，资金收支管理国库中支付，支付手续规范，资金管理总体符合财务管理制度。</w:t>
      </w:r>
      <w:r>
        <w:rPr>
          <w:rFonts w:hint="eastAsia"/>
          <w:bCs/>
          <w:color w:val="auto"/>
          <w:spacing w:val="-4"/>
          <w:szCs w:val="32"/>
          <w:lang w:eastAsia="zh-CN"/>
        </w:rPr>
        <w:t>做好以下几个</w:t>
      </w:r>
      <w:bookmarkStart w:id="8" w:name="_GoBack"/>
      <w:bookmarkEnd w:id="8"/>
      <w:r>
        <w:rPr>
          <w:rFonts w:hint="eastAsia"/>
          <w:bCs/>
          <w:color w:val="auto"/>
          <w:spacing w:val="-4"/>
          <w:szCs w:val="32"/>
        </w:rPr>
        <w:t>方面：</w:t>
      </w:r>
    </w:p>
    <w:p>
      <w:pPr>
        <w:ind w:firstLine="544"/>
        <w:rPr>
          <w:bCs/>
          <w:color w:val="auto"/>
          <w:spacing w:val="-4"/>
          <w:szCs w:val="32"/>
        </w:rPr>
      </w:pPr>
      <w:r>
        <w:rPr>
          <w:rFonts w:hint="eastAsia"/>
          <w:bCs/>
          <w:color w:val="auto"/>
          <w:spacing w:val="-4"/>
          <w:szCs w:val="32"/>
        </w:rPr>
        <w:t>1.遵循先有预算、后有支出的原则，加强财务管理和内部控制监督制度。严禁超预算和无预算安排支出，严格开支范围和标准，严格支出报销审核，不报销任何超范围、超标准的费用，加快相关资金的支付。</w:t>
      </w:r>
    </w:p>
    <w:p>
      <w:pPr>
        <w:ind w:firstLine="544"/>
        <w:rPr>
          <w:bCs/>
          <w:color w:val="auto"/>
          <w:spacing w:val="-4"/>
          <w:szCs w:val="32"/>
        </w:rPr>
      </w:pPr>
      <w:r>
        <w:rPr>
          <w:rFonts w:hint="eastAsia"/>
          <w:bCs/>
          <w:color w:val="auto"/>
          <w:spacing w:val="-4"/>
          <w:szCs w:val="32"/>
        </w:rPr>
        <w:t>2.对本单位整体支出绩效做到事前绩效目标、事中有监控，事后有评价，按进度执行预算。</w:t>
      </w:r>
    </w:p>
    <w:p>
      <w:pPr>
        <w:ind w:firstLine="544"/>
        <w:rPr>
          <w:bCs/>
          <w:color w:val="auto"/>
          <w:spacing w:val="-4"/>
          <w:szCs w:val="32"/>
        </w:rPr>
      </w:pPr>
      <w:r>
        <w:rPr>
          <w:rFonts w:hint="eastAsia"/>
          <w:bCs/>
          <w:color w:val="auto"/>
          <w:spacing w:val="-4"/>
          <w:szCs w:val="32"/>
        </w:rPr>
        <w:t>3.加强项目资金管理。项目资金实行专款专用，严格按照项目管理的相关规定，对项目资金实行全过程的财务管理与监督，加强资金规范使用，发挥资金效益。</w:t>
      </w:r>
    </w:p>
    <w:p>
      <w:pPr>
        <w:pStyle w:val="3"/>
        <w:rPr>
          <w:color w:val="auto"/>
        </w:rPr>
      </w:pPr>
    </w:p>
    <w:p>
      <w:pPr>
        <w:pStyle w:val="3"/>
        <w:rPr>
          <w:color w:val="auto"/>
        </w:rPr>
      </w:pPr>
    </w:p>
    <w:p>
      <w:pPr>
        <w:pStyle w:val="3"/>
        <w:rPr>
          <w:color w:val="auto"/>
        </w:rPr>
      </w:pPr>
      <w:r>
        <w:rPr>
          <w:rFonts w:hint="eastAsia"/>
          <w:color w:val="auto"/>
        </w:rPr>
        <w:t>七、附件上传</w:t>
      </w:r>
    </w:p>
    <w:p>
      <w:pPr>
        <w:ind w:firstLine="56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B44981"/>
    <w:multiLevelType w:val="singleLevel"/>
    <w:tmpl w:val="7BB44981"/>
    <w:lvl w:ilvl="0" w:tentative="0">
      <w:start w:val="2"/>
      <w:numFmt w:val="chineseCounting"/>
      <w:suff w:val="nothing"/>
      <w:lvlText w:val="（%1）"/>
      <w:lvlJc w:val="left"/>
      <w:pPr>
        <w:ind w:left="-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0652F"/>
    <w:rsid w:val="0012092B"/>
    <w:rsid w:val="00141421"/>
    <w:rsid w:val="00191BA3"/>
    <w:rsid w:val="001C1E1D"/>
    <w:rsid w:val="001E750D"/>
    <w:rsid w:val="0022744B"/>
    <w:rsid w:val="00234372"/>
    <w:rsid w:val="00292A50"/>
    <w:rsid w:val="002939FF"/>
    <w:rsid w:val="002F7CCD"/>
    <w:rsid w:val="003030F4"/>
    <w:rsid w:val="003F0DB2"/>
    <w:rsid w:val="00424A01"/>
    <w:rsid w:val="00491D09"/>
    <w:rsid w:val="004E1483"/>
    <w:rsid w:val="0054132C"/>
    <w:rsid w:val="005B1250"/>
    <w:rsid w:val="005D0D7C"/>
    <w:rsid w:val="006258B7"/>
    <w:rsid w:val="00633862"/>
    <w:rsid w:val="006B4CDA"/>
    <w:rsid w:val="006C4B4F"/>
    <w:rsid w:val="006C5BED"/>
    <w:rsid w:val="006C5D3A"/>
    <w:rsid w:val="006D4FCD"/>
    <w:rsid w:val="006F7865"/>
    <w:rsid w:val="00702D4A"/>
    <w:rsid w:val="007115C8"/>
    <w:rsid w:val="00722C79"/>
    <w:rsid w:val="00724F4D"/>
    <w:rsid w:val="007465CD"/>
    <w:rsid w:val="007E7E99"/>
    <w:rsid w:val="00825D99"/>
    <w:rsid w:val="0085223E"/>
    <w:rsid w:val="0089387B"/>
    <w:rsid w:val="008E7E52"/>
    <w:rsid w:val="009304D8"/>
    <w:rsid w:val="0093778D"/>
    <w:rsid w:val="0097614B"/>
    <w:rsid w:val="0099431C"/>
    <w:rsid w:val="009F5A38"/>
    <w:rsid w:val="00AA5126"/>
    <w:rsid w:val="00AD16CD"/>
    <w:rsid w:val="00B5590F"/>
    <w:rsid w:val="00B86B60"/>
    <w:rsid w:val="00BA13C5"/>
    <w:rsid w:val="00BC1A27"/>
    <w:rsid w:val="00BD7AB3"/>
    <w:rsid w:val="00BF62C2"/>
    <w:rsid w:val="00C77007"/>
    <w:rsid w:val="00CD2F35"/>
    <w:rsid w:val="00CD5A03"/>
    <w:rsid w:val="00D37AA4"/>
    <w:rsid w:val="00D82401"/>
    <w:rsid w:val="00D9126A"/>
    <w:rsid w:val="00D93262"/>
    <w:rsid w:val="00DB1085"/>
    <w:rsid w:val="00EA1B6A"/>
    <w:rsid w:val="00EB1FFE"/>
    <w:rsid w:val="00F02CC5"/>
    <w:rsid w:val="00F326C7"/>
    <w:rsid w:val="00F84215"/>
    <w:rsid w:val="00FF2ACD"/>
    <w:rsid w:val="012008EE"/>
    <w:rsid w:val="013B41EB"/>
    <w:rsid w:val="01941124"/>
    <w:rsid w:val="01CC583F"/>
    <w:rsid w:val="02337D11"/>
    <w:rsid w:val="02475F13"/>
    <w:rsid w:val="02C40969"/>
    <w:rsid w:val="03DE3BEC"/>
    <w:rsid w:val="04DB4953"/>
    <w:rsid w:val="04FF0482"/>
    <w:rsid w:val="05062887"/>
    <w:rsid w:val="05237C85"/>
    <w:rsid w:val="05464D81"/>
    <w:rsid w:val="05F70F85"/>
    <w:rsid w:val="0607573C"/>
    <w:rsid w:val="06547701"/>
    <w:rsid w:val="072B19D6"/>
    <w:rsid w:val="074B470E"/>
    <w:rsid w:val="08186BE2"/>
    <w:rsid w:val="084208C4"/>
    <w:rsid w:val="098A3C0A"/>
    <w:rsid w:val="09A24E4E"/>
    <w:rsid w:val="0A9A7091"/>
    <w:rsid w:val="0C6738B8"/>
    <w:rsid w:val="0E7D784C"/>
    <w:rsid w:val="10300946"/>
    <w:rsid w:val="10FE60D7"/>
    <w:rsid w:val="121A2EDB"/>
    <w:rsid w:val="134F7771"/>
    <w:rsid w:val="13E513B9"/>
    <w:rsid w:val="15583959"/>
    <w:rsid w:val="158C5316"/>
    <w:rsid w:val="15B904C0"/>
    <w:rsid w:val="165C118C"/>
    <w:rsid w:val="16656A5F"/>
    <w:rsid w:val="172D035F"/>
    <w:rsid w:val="175D58E3"/>
    <w:rsid w:val="18061B60"/>
    <w:rsid w:val="18286743"/>
    <w:rsid w:val="18F31B80"/>
    <w:rsid w:val="190C3DF8"/>
    <w:rsid w:val="19AA4D08"/>
    <w:rsid w:val="19F83E30"/>
    <w:rsid w:val="1A3C6319"/>
    <w:rsid w:val="1B403139"/>
    <w:rsid w:val="1C6D319F"/>
    <w:rsid w:val="1D384A93"/>
    <w:rsid w:val="1D3C7FD4"/>
    <w:rsid w:val="1D4D74D6"/>
    <w:rsid w:val="1DE32CFD"/>
    <w:rsid w:val="1F1A602A"/>
    <w:rsid w:val="1F2854B6"/>
    <w:rsid w:val="217D20CE"/>
    <w:rsid w:val="21C67E02"/>
    <w:rsid w:val="21C768CD"/>
    <w:rsid w:val="22D32609"/>
    <w:rsid w:val="22E14253"/>
    <w:rsid w:val="23931BB2"/>
    <w:rsid w:val="23F209A3"/>
    <w:rsid w:val="2403516E"/>
    <w:rsid w:val="24E71FCC"/>
    <w:rsid w:val="256A2A9E"/>
    <w:rsid w:val="26C0783D"/>
    <w:rsid w:val="27F7226E"/>
    <w:rsid w:val="2805537E"/>
    <w:rsid w:val="289437EE"/>
    <w:rsid w:val="297873DB"/>
    <w:rsid w:val="29F35E61"/>
    <w:rsid w:val="2A285817"/>
    <w:rsid w:val="2B6F150A"/>
    <w:rsid w:val="2B844907"/>
    <w:rsid w:val="2BB557CB"/>
    <w:rsid w:val="2BC51751"/>
    <w:rsid w:val="2C0D3DEC"/>
    <w:rsid w:val="2D166684"/>
    <w:rsid w:val="2E54492E"/>
    <w:rsid w:val="2EBF757D"/>
    <w:rsid w:val="2EE27E25"/>
    <w:rsid w:val="2F1035C0"/>
    <w:rsid w:val="313A1C72"/>
    <w:rsid w:val="31927D00"/>
    <w:rsid w:val="31AE39CE"/>
    <w:rsid w:val="31B83F5F"/>
    <w:rsid w:val="325E27E0"/>
    <w:rsid w:val="328E2AB6"/>
    <w:rsid w:val="329B12EA"/>
    <w:rsid w:val="32FB1A54"/>
    <w:rsid w:val="331A3077"/>
    <w:rsid w:val="33291F9F"/>
    <w:rsid w:val="33A83F87"/>
    <w:rsid w:val="340D2D0F"/>
    <w:rsid w:val="347769D8"/>
    <w:rsid w:val="348F1A9E"/>
    <w:rsid w:val="355C2B3F"/>
    <w:rsid w:val="356B4AF0"/>
    <w:rsid w:val="35F12468"/>
    <w:rsid w:val="36851B5C"/>
    <w:rsid w:val="37661A13"/>
    <w:rsid w:val="379871D0"/>
    <w:rsid w:val="37BA58BB"/>
    <w:rsid w:val="37D360CA"/>
    <w:rsid w:val="384319F4"/>
    <w:rsid w:val="38CB5066"/>
    <w:rsid w:val="38E054C9"/>
    <w:rsid w:val="399B2262"/>
    <w:rsid w:val="3A1346CA"/>
    <w:rsid w:val="3A565DE9"/>
    <w:rsid w:val="3AC36A27"/>
    <w:rsid w:val="3B0333BF"/>
    <w:rsid w:val="3B4A3407"/>
    <w:rsid w:val="3B63091A"/>
    <w:rsid w:val="3DC34DA3"/>
    <w:rsid w:val="3F301058"/>
    <w:rsid w:val="3FEF71F6"/>
    <w:rsid w:val="417A34F9"/>
    <w:rsid w:val="418810F4"/>
    <w:rsid w:val="41A37673"/>
    <w:rsid w:val="42503F5E"/>
    <w:rsid w:val="42C30950"/>
    <w:rsid w:val="430710E8"/>
    <w:rsid w:val="44DA6E03"/>
    <w:rsid w:val="459B4F7E"/>
    <w:rsid w:val="45A65C7F"/>
    <w:rsid w:val="45F13359"/>
    <w:rsid w:val="46763DC9"/>
    <w:rsid w:val="468C2A4A"/>
    <w:rsid w:val="46AD2493"/>
    <w:rsid w:val="46EC7F14"/>
    <w:rsid w:val="47CA7D9C"/>
    <w:rsid w:val="47DB3D58"/>
    <w:rsid w:val="480D0379"/>
    <w:rsid w:val="48194880"/>
    <w:rsid w:val="48A625B9"/>
    <w:rsid w:val="48AF4C7F"/>
    <w:rsid w:val="4A5B46DD"/>
    <w:rsid w:val="4A6F6A56"/>
    <w:rsid w:val="4A81677A"/>
    <w:rsid w:val="4B3B5348"/>
    <w:rsid w:val="4C8C5E52"/>
    <w:rsid w:val="4D5356B5"/>
    <w:rsid w:val="4DA177B2"/>
    <w:rsid w:val="4DA370C6"/>
    <w:rsid w:val="4DF36D4F"/>
    <w:rsid w:val="501B7C76"/>
    <w:rsid w:val="504D5CCF"/>
    <w:rsid w:val="511A2CA6"/>
    <w:rsid w:val="51B127AE"/>
    <w:rsid w:val="533A7469"/>
    <w:rsid w:val="53526129"/>
    <w:rsid w:val="538B4CD8"/>
    <w:rsid w:val="53A21BCD"/>
    <w:rsid w:val="54394F3D"/>
    <w:rsid w:val="56340861"/>
    <w:rsid w:val="565F61A9"/>
    <w:rsid w:val="56AD4B11"/>
    <w:rsid w:val="56BC321B"/>
    <w:rsid w:val="57232FC4"/>
    <w:rsid w:val="572D2326"/>
    <w:rsid w:val="57365691"/>
    <w:rsid w:val="5749047C"/>
    <w:rsid w:val="59EE1E48"/>
    <w:rsid w:val="5A490F5C"/>
    <w:rsid w:val="5A985181"/>
    <w:rsid w:val="5B805E16"/>
    <w:rsid w:val="5BA75DC7"/>
    <w:rsid w:val="5BD21464"/>
    <w:rsid w:val="5BDE2B83"/>
    <w:rsid w:val="5C5F14D1"/>
    <w:rsid w:val="5C777282"/>
    <w:rsid w:val="5D830EB1"/>
    <w:rsid w:val="61610CEA"/>
    <w:rsid w:val="61635F72"/>
    <w:rsid w:val="618606C5"/>
    <w:rsid w:val="62026CA0"/>
    <w:rsid w:val="6224402D"/>
    <w:rsid w:val="62C06F33"/>
    <w:rsid w:val="62C81089"/>
    <w:rsid w:val="6384067A"/>
    <w:rsid w:val="638D125E"/>
    <w:rsid w:val="6396333E"/>
    <w:rsid w:val="63E114D3"/>
    <w:rsid w:val="64E25258"/>
    <w:rsid w:val="69366F56"/>
    <w:rsid w:val="6A3622A8"/>
    <w:rsid w:val="6AD46D46"/>
    <w:rsid w:val="6B07083C"/>
    <w:rsid w:val="6B623CC4"/>
    <w:rsid w:val="6B6C65E0"/>
    <w:rsid w:val="6BB958F8"/>
    <w:rsid w:val="6C2B67AC"/>
    <w:rsid w:val="6CB31465"/>
    <w:rsid w:val="6DE07909"/>
    <w:rsid w:val="6E58438A"/>
    <w:rsid w:val="6E7066F8"/>
    <w:rsid w:val="6E921904"/>
    <w:rsid w:val="6E9D5508"/>
    <w:rsid w:val="6F871359"/>
    <w:rsid w:val="711B7F18"/>
    <w:rsid w:val="718A518E"/>
    <w:rsid w:val="71EB22B3"/>
    <w:rsid w:val="71F62BA6"/>
    <w:rsid w:val="72010FA6"/>
    <w:rsid w:val="733F48EB"/>
    <w:rsid w:val="74212849"/>
    <w:rsid w:val="744C1D4E"/>
    <w:rsid w:val="748A4F72"/>
    <w:rsid w:val="74961819"/>
    <w:rsid w:val="750202C6"/>
    <w:rsid w:val="75664078"/>
    <w:rsid w:val="761E4132"/>
    <w:rsid w:val="78061A79"/>
    <w:rsid w:val="79181486"/>
    <w:rsid w:val="7AA931C4"/>
    <w:rsid w:val="7AFE508C"/>
    <w:rsid w:val="7B2561EC"/>
    <w:rsid w:val="7B99289F"/>
    <w:rsid w:val="7BC003CA"/>
    <w:rsid w:val="7BDF001A"/>
    <w:rsid w:val="7CBF4BB4"/>
    <w:rsid w:val="7DF97D25"/>
    <w:rsid w:val="7E53749D"/>
    <w:rsid w:val="7E5D346D"/>
    <w:rsid w:val="7E872B98"/>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jc w:val="center"/>
    </w:pPr>
    <w:rPr>
      <w:b/>
      <w:sz w:val="44"/>
    </w:rPr>
  </w:style>
  <w:style w:type="paragraph" w:styleId="10">
    <w:name w:val="Body Text First Indent"/>
    <w:basedOn w:val="9"/>
    <w:qFormat/>
    <w:uiPriority w:val="0"/>
    <w:pPr>
      <w:spacing w:after="0"/>
      <w:ind w:left="100" w:firstLine="420" w:firstLineChars="100"/>
    </w:pPr>
    <w:rPr>
      <w:sz w:val="32"/>
    </w:rPr>
  </w:style>
  <w:style w:type="paragraph" w:styleId="11">
    <w:name w:val="Balloon Text"/>
    <w:basedOn w:val="1"/>
    <w:link w:val="30"/>
    <w:semiHidden/>
    <w:unhideWhenUsed/>
    <w:qFormat/>
    <w:uiPriority w:val="99"/>
    <w:pPr>
      <w:spacing w:line="240" w:lineRule="auto"/>
    </w:pPr>
    <w:rPr>
      <w:sz w:val="18"/>
      <w:szCs w:val="18"/>
    </w:rPr>
  </w:style>
  <w:style w:type="paragraph" w:styleId="12">
    <w:name w:val="footer"/>
    <w:basedOn w:val="1"/>
    <w:link w:val="26"/>
    <w:unhideWhenUsed/>
    <w:qFormat/>
    <w:uiPriority w:val="99"/>
    <w:pPr>
      <w:tabs>
        <w:tab w:val="center" w:pos="4153"/>
        <w:tab w:val="right" w:pos="8306"/>
      </w:tabs>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4">
    <w:name w:val="footnote text"/>
    <w:basedOn w:val="1"/>
    <w:next w:val="15"/>
    <w:qFormat/>
    <w:uiPriority w:val="0"/>
    <w:pPr>
      <w:jc w:val="left"/>
    </w:pPr>
    <w:rPr>
      <w:rFonts w:hint="eastAsia"/>
      <w:sz w:val="18"/>
    </w:rPr>
  </w:style>
  <w:style w:type="paragraph" w:customStyle="1" w:styleId="15">
    <w:name w:val="正文文本首行缩进 21"/>
    <w:basedOn w:val="16"/>
    <w:qFormat/>
    <w:uiPriority w:val="0"/>
    <w:pPr>
      <w:ind w:firstLine="420" w:firstLineChars="200"/>
    </w:pPr>
  </w:style>
  <w:style w:type="paragraph" w:customStyle="1" w:styleId="16">
    <w:name w:val="正文文本缩进1"/>
    <w:basedOn w:val="1"/>
    <w:next w:val="17"/>
    <w:qFormat/>
    <w:uiPriority w:val="0"/>
    <w:pPr>
      <w:spacing w:line="574" w:lineRule="exact"/>
      <w:ind w:left="400" w:hanging="400" w:hangingChars="400"/>
    </w:pPr>
    <w:rPr>
      <w:rFonts w:eastAsia="仿宋_GB2312"/>
      <w:sz w:val="32"/>
      <w:szCs w:val="32"/>
    </w:rPr>
  </w:style>
  <w:style w:type="paragraph" w:customStyle="1" w:styleId="17">
    <w:name w:val="正文缩进1"/>
    <w:basedOn w:val="1"/>
    <w:qFormat/>
    <w:uiPriority w:val="0"/>
    <w:pPr>
      <w:ind w:firstLine="420"/>
    </w:pPr>
    <w:rPr>
      <w:sz w:val="32"/>
    </w:rPr>
  </w:style>
  <w:style w:type="paragraph" w:styleId="18">
    <w:name w:val="Normal (Web)"/>
    <w:basedOn w:val="1"/>
    <w:qFormat/>
    <w:uiPriority w:val="99"/>
    <w:pPr>
      <w:spacing w:before="100" w:beforeAutospacing="1" w:after="100" w:afterAutospacing="1"/>
      <w:jc w:val="left"/>
    </w:pPr>
    <w:rPr>
      <w:rFonts w:cs="Times New Roman"/>
      <w:sz w:val="24"/>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character" w:styleId="24">
    <w:name w:val="annotation reference"/>
    <w:basedOn w:val="21"/>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字符"/>
    <w:basedOn w:val="21"/>
    <w:link w:val="12"/>
    <w:qFormat/>
    <w:uiPriority w:val="99"/>
    <w:rPr>
      <w:sz w:val="18"/>
      <w:szCs w:val="18"/>
    </w:rPr>
  </w:style>
  <w:style w:type="character" w:customStyle="1" w:styleId="27">
    <w:name w:val="页眉 字符"/>
    <w:basedOn w:val="21"/>
    <w:link w:val="13"/>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字符"/>
    <w:basedOn w:val="21"/>
    <w:link w:val="11"/>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8</Pages>
  <Words>651</Words>
  <Characters>3711</Characters>
  <Lines>30</Lines>
  <Paragraphs>8</Paragraphs>
  <TotalTime>0</TotalTime>
  <ScaleCrop>false</ScaleCrop>
  <LinksUpToDate>false</LinksUpToDate>
  <CharactersWithSpaces>4354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2024-05-21T09:17:00Z</dcterms:created>
  <dc:creator>ght-pc</dc:creator>
  <cp:lastModifiedBy>WPS_1374729787</cp:lastModifiedBy>
  <dcterms:modified xsi:type="dcterms:W3CDTF">2024-08-11T08:46:21Z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7B723167512642ECAF747C73D44FB62F_13</vt:lpwstr>
  </property>
</Properties>
</file>