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5"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b/>
          <w:bCs/>
          <w:color w:val="auto"/>
          <w:sz w:val="52"/>
          <w:szCs w:val="52"/>
          <w:highlight w:val="none"/>
          <w:lang w:val="en-US" w:eastAsia="zh-CN"/>
        </w:rPr>
      </w:pPr>
      <w:r>
        <w:rPr>
          <w:rFonts w:hint="eastAsia" w:ascii="方正小标宋简体" w:hAnsi="方正小标宋简体" w:eastAsia="方正小标宋简体" w:cs="方正小标宋简体"/>
          <w:b/>
          <w:bCs/>
          <w:color w:val="auto"/>
          <w:sz w:val="52"/>
          <w:szCs w:val="52"/>
          <w:highlight w:val="none"/>
          <w:lang w:val="en-US" w:eastAsia="zh-CN"/>
        </w:rPr>
        <w:t>和静县2023年退化林修复项目</w:t>
      </w: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b/>
          <w:bCs/>
          <w:color w:val="auto"/>
          <w:sz w:val="52"/>
          <w:szCs w:val="52"/>
          <w:highlight w:val="none"/>
          <w:lang w:val="en-US" w:eastAsia="zh-CN"/>
        </w:rPr>
      </w:pPr>
      <w:r>
        <w:rPr>
          <w:rFonts w:hint="eastAsia" w:ascii="方正小标宋简体" w:hAnsi="方正小标宋简体" w:eastAsia="方正小标宋简体" w:cs="方正小标宋简体"/>
          <w:b/>
          <w:bCs/>
          <w:color w:val="auto"/>
          <w:sz w:val="52"/>
          <w:szCs w:val="52"/>
          <w:highlight w:val="none"/>
          <w:lang w:val="en-US" w:eastAsia="zh-CN"/>
        </w:rPr>
        <w:t>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ind w:left="0" w:leftChars="0" w:firstLine="0" w:firstLineChars="0"/>
        <w:jc w:val="both"/>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项目名称：和静县2023年退化林修复项目</w:t>
      </w:r>
    </w:p>
    <w:p>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和静县林业和草原局</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巴特尔</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和静县2023年退化林修复项目支出绩效评价报告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rFonts w:hint="eastAsia"/>
          <w:color w:val="auto"/>
          <w:highlight w:val="none"/>
        </w:rPr>
      </w:pPr>
      <w:r>
        <w:rPr>
          <w:rFonts w:hint="eastAsia"/>
          <w:color w:val="auto"/>
          <w:highlight w:val="none"/>
        </w:rPr>
        <w:t>1.项目背景</w:t>
      </w:r>
    </w:p>
    <w:p>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紧紧抓住生态文明建设的历史机遇，遵循自然规律，坚持生态、社会、 经济效益统筹兼顾的原则，以完善绿洲生态防护林体系，建设生态文明为 目标。按照“科学规划，合理布局，优化结构”的建设要求，大力营造防护 林，加快农田林网建设，实施生态修复；带、片、网相结合；乔、灌、草 合理配置的绿洲生态防护林体系。达到与生态经济与林业建设相结合、与生态防护体素建设相结合的目的，促进防护效益与生态经济协调发展，达到防风固沙、防止自然灾害与兴林富民和乡村振兴的多重目标</w:t>
      </w:r>
      <w:r>
        <w:rPr>
          <w:rFonts w:hint="eastAsia" w:cs="Times New Roman"/>
          <w:b w:val="0"/>
          <w:bCs w:val="0"/>
          <w:color w:val="auto"/>
          <w:kern w:val="2"/>
          <w:sz w:val="28"/>
          <w:szCs w:val="24"/>
          <w:highlight w:val="none"/>
          <w:lang w:val="en-US" w:eastAsia="zh-CN" w:bidi="ar-SA"/>
        </w:rPr>
        <w:t>.</w:t>
      </w:r>
    </w:p>
    <w:p>
      <w:pPr>
        <w:pStyle w:val="2"/>
        <w:ind w:firstLine="562"/>
        <w:rPr>
          <w:rFonts w:hint="eastAsia"/>
          <w:color w:val="auto"/>
          <w:highlight w:val="none"/>
          <w:lang w:val="en-US" w:eastAsia="zh-CN"/>
        </w:rPr>
      </w:pPr>
      <w:r>
        <w:rPr>
          <w:rFonts w:hint="eastAsia"/>
          <w:color w:val="auto"/>
          <w:highlight w:val="none"/>
        </w:rPr>
        <w:t>2.主要内容</w:t>
      </w:r>
    </w:p>
    <w:p>
      <w:pPr>
        <w:ind w:firstLine="560"/>
        <w:rPr>
          <w:rFonts w:hint="default"/>
          <w:color w:val="auto"/>
          <w:highlight w:val="none"/>
          <w:lang w:val="en-US" w:eastAsia="zh-CN"/>
        </w:rPr>
      </w:pPr>
      <w:r>
        <w:rPr>
          <w:rFonts w:hint="eastAsia"/>
          <w:color w:val="auto"/>
          <w:highlight w:val="none"/>
          <w:lang w:val="en-US" w:eastAsia="zh-CN"/>
        </w:rPr>
        <w:t>项目名称：</w:t>
      </w:r>
      <w:r>
        <w:rPr>
          <w:rFonts w:hint="eastAsia" w:ascii="仿宋_GB2312" w:hAnsi="仿宋_GB2312" w:eastAsia="仿宋_GB2312" w:cs="Times New Roman"/>
          <w:b w:val="0"/>
          <w:bCs w:val="0"/>
          <w:color w:val="auto"/>
          <w:kern w:val="2"/>
          <w:sz w:val="28"/>
          <w:szCs w:val="24"/>
          <w:highlight w:val="none"/>
          <w:lang w:val="en-US" w:eastAsia="zh-CN" w:bidi="ar-SA"/>
        </w:rPr>
        <w:t>和静县2023年退化林修复项目</w:t>
      </w:r>
    </w:p>
    <w:p>
      <w:pPr>
        <w:keepNext w:val="0"/>
        <w:keepLines w:val="0"/>
        <w:widowControl/>
        <w:suppressLineNumbers w:val="0"/>
        <w:jc w:val="left"/>
        <w:rPr>
          <w:rFonts w:hint="eastAsia" w:eastAsia="仿宋"/>
          <w:color w:val="auto"/>
          <w:highlight w:val="none"/>
          <w:lang w:val="en-US" w:eastAsia="zh-CN"/>
        </w:rPr>
      </w:pPr>
      <w:r>
        <w:rPr>
          <w:rFonts w:hint="eastAsia"/>
          <w:color w:val="auto"/>
          <w:highlight w:val="none"/>
          <w:lang w:val="en-US" w:eastAsia="zh-CN"/>
        </w:rPr>
        <w:t>项目主要内容：完成</w:t>
      </w:r>
      <w:r>
        <w:rPr>
          <w:rFonts w:ascii="仿宋" w:hAnsi="仿宋" w:eastAsia="仿宋" w:cs="仿宋"/>
          <w:color w:val="auto"/>
          <w:kern w:val="0"/>
          <w:sz w:val="28"/>
          <w:szCs w:val="28"/>
          <w:highlight w:val="none"/>
          <w:lang w:val="en-US" w:eastAsia="zh-CN" w:bidi="ar"/>
        </w:rPr>
        <w:t>退化防护林修复</w:t>
      </w:r>
      <w:r>
        <w:rPr>
          <w:rFonts w:hint="default" w:ascii="Times New Roman" w:hAnsi="Times New Roman" w:eastAsia="宋体" w:cs="Times New Roman"/>
          <w:color w:val="auto"/>
          <w:kern w:val="0"/>
          <w:sz w:val="28"/>
          <w:szCs w:val="28"/>
          <w:highlight w:val="none"/>
          <w:lang w:val="en-US" w:eastAsia="zh-CN" w:bidi="ar"/>
        </w:rPr>
        <w:t>11000</w:t>
      </w:r>
      <w:r>
        <w:rPr>
          <w:rFonts w:hint="eastAsia" w:ascii="仿宋" w:hAnsi="仿宋" w:eastAsia="仿宋" w:cs="仿宋"/>
          <w:color w:val="auto"/>
          <w:kern w:val="0"/>
          <w:sz w:val="28"/>
          <w:szCs w:val="28"/>
          <w:highlight w:val="none"/>
          <w:lang w:val="en-US" w:eastAsia="zh-CN" w:bidi="ar"/>
        </w:rPr>
        <w:t>亩。退化防护林修复建设地点涉及</w:t>
      </w:r>
      <w:r>
        <w:rPr>
          <w:rFonts w:hint="default" w:ascii="Times New Roman" w:hAnsi="Times New Roman" w:eastAsia="宋体" w:cs="Times New Roman"/>
          <w:color w:val="auto"/>
          <w:kern w:val="0"/>
          <w:sz w:val="28"/>
          <w:szCs w:val="28"/>
          <w:highlight w:val="none"/>
          <w:lang w:val="en-US" w:eastAsia="zh-CN" w:bidi="ar"/>
        </w:rPr>
        <w:t>7</w:t>
      </w:r>
      <w:r>
        <w:rPr>
          <w:rFonts w:hint="eastAsia" w:ascii="仿宋" w:hAnsi="仿宋" w:eastAsia="仿宋" w:cs="仿宋"/>
          <w:color w:val="auto"/>
          <w:kern w:val="0"/>
          <w:sz w:val="28"/>
          <w:szCs w:val="28"/>
          <w:highlight w:val="none"/>
          <w:lang w:val="en-US" w:eastAsia="zh-CN" w:bidi="ar"/>
        </w:rPr>
        <w:t>个乡镇（农场），分别为哈尔莫敦镇</w:t>
      </w:r>
      <w:r>
        <w:rPr>
          <w:rFonts w:hint="default" w:ascii="Times New Roman" w:hAnsi="Times New Roman" w:eastAsia="宋体" w:cs="Times New Roman"/>
          <w:color w:val="auto"/>
          <w:kern w:val="0"/>
          <w:sz w:val="28"/>
          <w:szCs w:val="28"/>
          <w:highlight w:val="none"/>
          <w:lang w:val="en-US" w:eastAsia="zh-CN" w:bidi="ar"/>
        </w:rPr>
        <w:t>631.3957</w:t>
      </w:r>
      <w:r>
        <w:rPr>
          <w:rFonts w:hint="eastAsia" w:ascii="仿宋" w:hAnsi="仿宋" w:eastAsia="仿宋" w:cs="仿宋"/>
          <w:color w:val="auto"/>
          <w:kern w:val="0"/>
          <w:sz w:val="28"/>
          <w:szCs w:val="28"/>
          <w:highlight w:val="none"/>
          <w:lang w:val="en-US" w:eastAsia="zh-CN" w:bidi="ar"/>
        </w:rPr>
        <w:t>公顷、和静镇</w:t>
      </w:r>
      <w:r>
        <w:rPr>
          <w:rFonts w:hint="default" w:ascii="Times New Roman" w:hAnsi="Times New Roman" w:eastAsia="宋体" w:cs="Times New Roman"/>
          <w:color w:val="auto"/>
          <w:kern w:val="0"/>
          <w:sz w:val="28"/>
          <w:szCs w:val="28"/>
          <w:highlight w:val="none"/>
          <w:lang w:val="en-US" w:eastAsia="zh-CN" w:bidi="ar"/>
        </w:rPr>
        <w:t>6.7258</w:t>
      </w:r>
      <w:r>
        <w:rPr>
          <w:rFonts w:hint="eastAsia" w:ascii="仿宋" w:hAnsi="仿宋" w:eastAsia="仿宋" w:cs="仿宋"/>
          <w:color w:val="auto"/>
          <w:kern w:val="0"/>
          <w:sz w:val="28"/>
          <w:szCs w:val="28"/>
          <w:highlight w:val="none"/>
          <w:lang w:val="en-US" w:eastAsia="zh-CN" w:bidi="ar"/>
        </w:rPr>
        <w:t>公顷、巴润哈尔莫墩镇</w:t>
      </w:r>
      <w:r>
        <w:rPr>
          <w:rFonts w:hint="default" w:ascii="Times New Roman" w:hAnsi="Times New Roman" w:eastAsia="宋体" w:cs="Times New Roman"/>
          <w:color w:val="auto"/>
          <w:kern w:val="0"/>
          <w:sz w:val="28"/>
          <w:szCs w:val="28"/>
          <w:highlight w:val="none"/>
          <w:lang w:val="en-US" w:eastAsia="zh-CN" w:bidi="ar"/>
        </w:rPr>
        <w:t>17.128</w:t>
      </w:r>
      <w:r>
        <w:rPr>
          <w:rFonts w:hint="eastAsia" w:ascii="仿宋" w:hAnsi="仿宋" w:eastAsia="仿宋" w:cs="仿宋"/>
          <w:color w:val="auto"/>
          <w:kern w:val="0"/>
          <w:sz w:val="28"/>
          <w:szCs w:val="28"/>
          <w:highlight w:val="none"/>
          <w:lang w:val="en-US" w:eastAsia="zh-CN" w:bidi="ar"/>
        </w:rPr>
        <w:t>公顷、额勒再特乌鲁乡</w:t>
      </w:r>
      <w:r>
        <w:rPr>
          <w:rFonts w:hint="default" w:ascii="Times New Roman" w:hAnsi="Times New Roman" w:eastAsia="宋体" w:cs="Times New Roman"/>
          <w:color w:val="auto"/>
          <w:kern w:val="0"/>
          <w:sz w:val="28"/>
          <w:szCs w:val="28"/>
          <w:highlight w:val="none"/>
          <w:lang w:val="en-US" w:eastAsia="zh-CN" w:bidi="ar"/>
        </w:rPr>
        <w:t>57.2520</w:t>
      </w:r>
      <w:r>
        <w:rPr>
          <w:rFonts w:hint="eastAsia" w:ascii="仿宋" w:hAnsi="仿宋" w:eastAsia="仿宋" w:cs="仿宋"/>
          <w:color w:val="auto"/>
          <w:kern w:val="0"/>
          <w:sz w:val="28"/>
          <w:szCs w:val="28"/>
          <w:highlight w:val="none"/>
          <w:lang w:val="en-US" w:eastAsia="zh-CN" w:bidi="ar"/>
        </w:rPr>
        <w:t>公顷、良种场</w:t>
      </w:r>
      <w:r>
        <w:rPr>
          <w:rFonts w:hint="default" w:ascii="Times New Roman" w:hAnsi="Times New Roman" w:eastAsia="宋体" w:cs="Times New Roman"/>
          <w:color w:val="auto"/>
          <w:kern w:val="0"/>
          <w:sz w:val="28"/>
          <w:szCs w:val="28"/>
          <w:highlight w:val="none"/>
          <w:lang w:val="en-US" w:eastAsia="zh-CN" w:bidi="ar"/>
        </w:rPr>
        <w:t>7.7361</w:t>
      </w:r>
      <w:r>
        <w:rPr>
          <w:rFonts w:hint="eastAsia" w:ascii="仿宋" w:hAnsi="仿宋" w:eastAsia="仿宋" w:cs="仿宋"/>
          <w:color w:val="auto"/>
          <w:kern w:val="0"/>
          <w:sz w:val="28"/>
          <w:szCs w:val="28"/>
          <w:highlight w:val="none"/>
          <w:lang w:val="en-US" w:eastAsia="zh-CN" w:bidi="ar"/>
        </w:rPr>
        <w:t>公顷、乃门莫墩乡</w:t>
      </w:r>
      <w:r>
        <w:rPr>
          <w:rFonts w:hint="default" w:ascii="Times New Roman" w:hAnsi="Times New Roman" w:eastAsia="宋体" w:cs="Times New Roman"/>
          <w:color w:val="auto"/>
          <w:kern w:val="0"/>
          <w:sz w:val="28"/>
          <w:szCs w:val="28"/>
          <w:highlight w:val="none"/>
          <w:lang w:val="en-US" w:eastAsia="zh-CN" w:bidi="ar"/>
        </w:rPr>
        <w:t>1.4109</w:t>
      </w:r>
      <w:r>
        <w:rPr>
          <w:rFonts w:hint="eastAsia" w:ascii="仿宋" w:hAnsi="仿宋" w:eastAsia="仿宋" w:cs="仿宋"/>
          <w:color w:val="auto"/>
          <w:kern w:val="0"/>
          <w:sz w:val="28"/>
          <w:szCs w:val="28"/>
          <w:highlight w:val="none"/>
          <w:lang w:val="en-US" w:eastAsia="zh-CN" w:bidi="ar"/>
        </w:rPr>
        <w:t>公顷、乌拉斯台农场</w:t>
      </w:r>
      <w:r>
        <w:rPr>
          <w:rFonts w:hint="default" w:ascii="Times New Roman" w:hAnsi="Times New Roman" w:eastAsia="宋体" w:cs="Times New Roman"/>
          <w:color w:val="auto"/>
          <w:kern w:val="0"/>
          <w:sz w:val="28"/>
          <w:szCs w:val="28"/>
          <w:highlight w:val="none"/>
          <w:lang w:val="en-US" w:eastAsia="zh-CN" w:bidi="ar"/>
        </w:rPr>
        <w:t>11.7141</w:t>
      </w:r>
      <w:r>
        <w:rPr>
          <w:rFonts w:hint="eastAsia" w:ascii="仿宋" w:hAnsi="仿宋" w:eastAsia="仿宋" w:cs="仿宋"/>
          <w:color w:val="auto"/>
          <w:kern w:val="0"/>
          <w:sz w:val="28"/>
          <w:szCs w:val="28"/>
          <w:highlight w:val="none"/>
          <w:lang w:val="en-US" w:eastAsia="zh-CN" w:bidi="ar"/>
        </w:rPr>
        <w:t>公顷。</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和静县林业和草原局</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default"/>
          <w:color w:val="auto"/>
          <w:highlight w:val="none"/>
        </w:rPr>
        <w:t>根据</w:t>
      </w:r>
      <w:r>
        <w:rPr>
          <w:rFonts w:hint="default"/>
          <w:color w:val="auto"/>
          <w:highlight w:val="none"/>
          <w:lang w:eastAsia="zh-CN"/>
        </w:rPr>
        <w:t>巴州财政局</w:t>
      </w:r>
      <w:r>
        <w:rPr>
          <w:rFonts w:hint="default"/>
          <w:color w:val="auto"/>
          <w:highlight w:val="none"/>
        </w:rPr>
        <w:t>《</w:t>
      </w:r>
      <w:bookmarkStart w:id="0" w:name="filename"/>
      <w:r>
        <w:rPr>
          <w:rFonts w:hint="default"/>
          <w:color w:val="auto"/>
          <w:highlight w:val="none"/>
          <w:lang w:val="en-US" w:eastAsia="zh-CN"/>
        </w:rPr>
        <w:t>关于下达202</w:t>
      </w:r>
      <w:r>
        <w:rPr>
          <w:rFonts w:hint="eastAsia"/>
          <w:color w:val="auto"/>
          <w:highlight w:val="none"/>
          <w:lang w:val="en-US" w:eastAsia="zh-CN"/>
        </w:rPr>
        <w:t>3</w:t>
      </w:r>
      <w:r>
        <w:rPr>
          <w:rFonts w:hint="default"/>
          <w:color w:val="auto"/>
          <w:highlight w:val="none"/>
          <w:lang w:val="en-US" w:eastAsia="zh-CN"/>
        </w:rPr>
        <w:t>年中央林业</w:t>
      </w:r>
      <w:bookmarkEnd w:id="0"/>
      <w:r>
        <w:rPr>
          <w:rFonts w:hint="eastAsia"/>
          <w:color w:val="auto"/>
          <w:highlight w:val="none"/>
          <w:lang w:val="en-US" w:eastAsia="zh-CN"/>
        </w:rPr>
        <w:t>改革发展资金预算的通知</w:t>
      </w:r>
      <w:r>
        <w:rPr>
          <w:rFonts w:hint="default"/>
          <w:color w:val="auto"/>
          <w:highlight w:val="none"/>
        </w:rPr>
        <w:t>》</w:t>
      </w:r>
      <w:r>
        <w:rPr>
          <w:rFonts w:hint="default"/>
          <w:color w:val="auto"/>
          <w:highlight w:val="none"/>
          <w:lang w:eastAsia="zh-CN"/>
        </w:rPr>
        <w:t>（巴财建〔</w:t>
      </w:r>
      <w:r>
        <w:rPr>
          <w:rFonts w:hint="default"/>
          <w:color w:val="auto"/>
          <w:highlight w:val="none"/>
          <w:lang w:val="en-US" w:eastAsia="zh-CN"/>
        </w:rPr>
        <w:t>202</w:t>
      </w:r>
      <w:r>
        <w:rPr>
          <w:rFonts w:hint="eastAsia"/>
          <w:color w:val="auto"/>
          <w:highlight w:val="none"/>
          <w:lang w:val="en-US" w:eastAsia="zh-CN"/>
        </w:rPr>
        <w:t>2</w:t>
      </w:r>
      <w:r>
        <w:rPr>
          <w:rFonts w:hint="default"/>
          <w:color w:val="auto"/>
          <w:highlight w:val="none"/>
          <w:lang w:eastAsia="zh-CN"/>
        </w:rPr>
        <w:t>〕</w:t>
      </w:r>
      <w:r>
        <w:rPr>
          <w:rFonts w:hint="eastAsia"/>
          <w:color w:val="auto"/>
          <w:highlight w:val="none"/>
          <w:lang w:val="en-US" w:eastAsia="zh-CN"/>
        </w:rPr>
        <w:t>131</w:t>
      </w:r>
      <w:r>
        <w:rPr>
          <w:rFonts w:hint="default"/>
          <w:color w:val="auto"/>
          <w:highlight w:val="none"/>
          <w:lang w:val="en-US" w:eastAsia="zh-CN"/>
        </w:rPr>
        <w:t>号）</w:t>
      </w:r>
      <w:r>
        <w:rPr>
          <w:rFonts w:hint="default"/>
          <w:color w:val="auto"/>
          <w:highlight w:val="none"/>
        </w:rPr>
        <w:t>精神</w:t>
      </w:r>
      <w:r>
        <w:rPr>
          <w:rFonts w:hint="default"/>
          <w:color w:val="auto"/>
          <w:highlight w:val="none"/>
          <w:lang w:eastAsia="zh-CN"/>
        </w:rPr>
        <w:t>，</w:t>
      </w:r>
      <w:r>
        <w:rPr>
          <w:rFonts w:hint="default"/>
          <w:color w:val="auto"/>
          <w:highlight w:val="none"/>
          <w:lang w:val="en-US" w:eastAsia="zh-CN"/>
        </w:rPr>
        <w:t>下达和静县202</w:t>
      </w:r>
      <w:r>
        <w:rPr>
          <w:rFonts w:hint="eastAsia"/>
          <w:color w:val="auto"/>
          <w:highlight w:val="none"/>
          <w:lang w:val="en-US" w:eastAsia="zh-CN"/>
        </w:rPr>
        <w:t>3</w:t>
      </w:r>
      <w:r>
        <w:rPr>
          <w:rFonts w:hint="default"/>
          <w:color w:val="auto"/>
          <w:highlight w:val="none"/>
          <w:lang w:val="en-US" w:eastAsia="zh-CN"/>
        </w:rPr>
        <w:t>年</w:t>
      </w:r>
      <w:r>
        <w:rPr>
          <w:rFonts w:hint="eastAsia"/>
          <w:color w:val="auto"/>
          <w:highlight w:val="none"/>
          <w:lang w:eastAsia="zh-CN"/>
        </w:rPr>
        <w:t>退化林修复</w:t>
      </w:r>
      <w:r>
        <w:rPr>
          <w:rFonts w:hint="default"/>
          <w:color w:val="auto"/>
          <w:highlight w:val="none"/>
          <w:lang w:eastAsia="zh-CN"/>
        </w:rPr>
        <w:t>项目</w:t>
      </w:r>
      <w:r>
        <w:rPr>
          <w:rFonts w:hint="eastAsia"/>
          <w:color w:val="auto"/>
          <w:highlight w:val="none"/>
          <w:lang w:val="en-US" w:eastAsia="zh-CN"/>
        </w:rPr>
        <w:t>715</w:t>
      </w:r>
      <w:r>
        <w:rPr>
          <w:rFonts w:hint="default"/>
          <w:color w:val="auto"/>
          <w:highlight w:val="none"/>
        </w:rPr>
        <w:t>万元</w:t>
      </w:r>
      <w:r>
        <w:rPr>
          <w:rFonts w:hint="default"/>
          <w:color w:val="auto"/>
          <w:highlight w:val="none"/>
          <w:lang w:eastAsia="zh-CN"/>
        </w:rPr>
        <w:t>，</w:t>
      </w:r>
      <w:r>
        <w:rPr>
          <w:rFonts w:hint="default"/>
          <w:color w:val="auto"/>
          <w:highlight w:val="none"/>
          <w:lang w:val="en-US" w:eastAsia="zh-CN"/>
        </w:rPr>
        <w:t>依照上级部门批复的项目</w:t>
      </w:r>
      <w:r>
        <w:rPr>
          <w:rFonts w:hint="default"/>
          <w:color w:val="auto"/>
          <w:highlight w:val="none"/>
          <w:lang w:eastAsia="zh-CN"/>
        </w:rPr>
        <w:t>实施方案</w:t>
      </w:r>
      <w:r>
        <w:rPr>
          <w:rFonts w:hint="default"/>
          <w:color w:val="auto"/>
          <w:highlight w:val="none"/>
        </w:rPr>
        <w:t>，主要用于</w:t>
      </w:r>
      <w:r>
        <w:rPr>
          <w:rFonts w:hint="eastAsia"/>
          <w:color w:val="auto"/>
          <w:highlight w:val="none"/>
          <w:lang w:val="en-US" w:eastAsia="zh-CN"/>
        </w:rPr>
        <w:t>完成</w:t>
      </w:r>
      <w:r>
        <w:rPr>
          <w:color w:val="auto"/>
          <w:highlight w:val="none"/>
          <w:lang w:val="en-US" w:eastAsia="zh-CN"/>
        </w:rPr>
        <w:t>退化防护林修复</w:t>
      </w:r>
      <w:r>
        <w:rPr>
          <w:rFonts w:hint="default"/>
          <w:color w:val="auto"/>
          <w:highlight w:val="none"/>
          <w:lang w:val="en-US" w:eastAsia="zh-CN"/>
        </w:rPr>
        <w:t>11000</w:t>
      </w:r>
      <w:r>
        <w:rPr>
          <w:rFonts w:hint="eastAsia"/>
          <w:color w:val="auto"/>
          <w:highlight w:val="none"/>
          <w:lang w:val="en-US" w:eastAsia="zh-CN"/>
        </w:rPr>
        <w:t>亩。退化防护林修复建设地点涉及</w:t>
      </w:r>
      <w:r>
        <w:rPr>
          <w:rFonts w:hint="default"/>
          <w:color w:val="auto"/>
          <w:highlight w:val="none"/>
          <w:lang w:val="en-US" w:eastAsia="zh-CN"/>
        </w:rPr>
        <w:t>7</w:t>
      </w:r>
      <w:r>
        <w:rPr>
          <w:rFonts w:hint="eastAsia"/>
          <w:color w:val="auto"/>
          <w:highlight w:val="none"/>
          <w:lang w:val="en-US" w:eastAsia="zh-CN"/>
        </w:rPr>
        <w:t>个乡镇（农场），分别为哈尔莫敦镇</w:t>
      </w:r>
      <w:r>
        <w:rPr>
          <w:rFonts w:hint="default"/>
          <w:color w:val="auto"/>
          <w:highlight w:val="none"/>
          <w:lang w:val="en-US" w:eastAsia="zh-CN"/>
        </w:rPr>
        <w:t>631.3957</w:t>
      </w:r>
      <w:r>
        <w:rPr>
          <w:rFonts w:hint="eastAsia"/>
          <w:color w:val="auto"/>
          <w:highlight w:val="none"/>
          <w:lang w:val="en-US" w:eastAsia="zh-CN"/>
        </w:rPr>
        <w:t>公顷、和静镇</w:t>
      </w:r>
      <w:r>
        <w:rPr>
          <w:rFonts w:hint="default"/>
          <w:color w:val="auto"/>
          <w:highlight w:val="none"/>
          <w:lang w:val="en-US" w:eastAsia="zh-CN"/>
        </w:rPr>
        <w:t>6.7258</w:t>
      </w:r>
      <w:r>
        <w:rPr>
          <w:rFonts w:hint="eastAsia"/>
          <w:color w:val="auto"/>
          <w:highlight w:val="none"/>
          <w:lang w:val="en-US" w:eastAsia="zh-CN"/>
        </w:rPr>
        <w:t>公顷、巴润哈尔莫墩镇</w:t>
      </w:r>
      <w:r>
        <w:rPr>
          <w:rFonts w:hint="default"/>
          <w:color w:val="auto"/>
          <w:highlight w:val="none"/>
          <w:lang w:val="en-US" w:eastAsia="zh-CN"/>
        </w:rPr>
        <w:t>17.128</w:t>
      </w:r>
      <w:r>
        <w:rPr>
          <w:rFonts w:hint="eastAsia"/>
          <w:color w:val="auto"/>
          <w:highlight w:val="none"/>
          <w:lang w:val="en-US" w:eastAsia="zh-CN"/>
        </w:rPr>
        <w:t>公顷、额勒再特乌鲁乡</w:t>
      </w:r>
      <w:r>
        <w:rPr>
          <w:rFonts w:hint="default"/>
          <w:color w:val="auto"/>
          <w:highlight w:val="none"/>
          <w:lang w:val="en-US" w:eastAsia="zh-CN"/>
        </w:rPr>
        <w:t>57.2520</w:t>
      </w:r>
      <w:r>
        <w:rPr>
          <w:rFonts w:hint="eastAsia"/>
          <w:color w:val="auto"/>
          <w:highlight w:val="none"/>
          <w:lang w:val="en-US" w:eastAsia="zh-CN"/>
        </w:rPr>
        <w:t>公顷、良种场</w:t>
      </w:r>
      <w:r>
        <w:rPr>
          <w:rFonts w:hint="default"/>
          <w:color w:val="auto"/>
          <w:highlight w:val="none"/>
          <w:lang w:val="en-US" w:eastAsia="zh-CN"/>
        </w:rPr>
        <w:t>7.7361</w:t>
      </w:r>
      <w:r>
        <w:rPr>
          <w:rFonts w:hint="eastAsia"/>
          <w:color w:val="auto"/>
          <w:highlight w:val="none"/>
          <w:lang w:val="en-US" w:eastAsia="zh-CN"/>
        </w:rPr>
        <w:t>公顷、乃门莫墩乡</w:t>
      </w:r>
      <w:r>
        <w:rPr>
          <w:rFonts w:hint="default"/>
          <w:color w:val="auto"/>
          <w:highlight w:val="none"/>
          <w:lang w:val="en-US" w:eastAsia="zh-CN"/>
        </w:rPr>
        <w:t>1.4109</w:t>
      </w:r>
      <w:r>
        <w:rPr>
          <w:rFonts w:hint="eastAsia"/>
          <w:color w:val="auto"/>
          <w:highlight w:val="none"/>
          <w:lang w:val="en-US" w:eastAsia="zh-CN"/>
        </w:rPr>
        <w:t>公顷、乌拉斯台农场</w:t>
      </w:r>
      <w:r>
        <w:rPr>
          <w:rFonts w:hint="default"/>
          <w:color w:val="auto"/>
          <w:highlight w:val="none"/>
          <w:lang w:val="en-US" w:eastAsia="zh-CN"/>
        </w:rPr>
        <w:t>11.7141</w:t>
      </w:r>
      <w:r>
        <w:rPr>
          <w:rFonts w:hint="eastAsia"/>
          <w:color w:val="auto"/>
          <w:highlight w:val="none"/>
          <w:lang w:val="en-US" w:eastAsia="zh-CN"/>
        </w:rPr>
        <w:t>公顷。</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715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本级部门预算（中央专项资金</w:t>
      </w:r>
      <w:r>
        <w:rPr>
          <w:rFonts w:hint="eastAsia"/>
          <w:color w:val="auto"/>
          <w:highlight w:val="none"/>
          <w:lang w:eastAsia="zh-CN"/>
        </w:rPr>
        <w:t>）</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715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715</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rFonts w:hint="default" w:eastAsia="仿宋_GB2312"/>
          <w:color w:val="auto"/>
          <w:highlight w:val="none"/>
          <w:lang w:val="en-US" w:eastAsia="zh-CN"/>
        </w:rPr>
      </w:pPr>
      <w:r>
        <w:rPr>
          <w:rFonts w:hint="eastAsia"/>
          <w:color w:val="auto"/>
          <w:highlight w:val="none"/>
          <w:lang w:val="en-US" w:eastAsia="zh-CN"/>
        </w:rPr>
        <w:t>截至2023年12月31日，本项目实际支出591.9384万元</w:t>
      </w:r>
      <w:r>
        <w:rPr>
          <w:rFonts w:hint="eastAsia"/>
          <w:color w:val="auto"/>
          <w:highlight w:val="none"/>
        </w:rPr>
        <w:t>，预算执行</w:t>
      </w:r>
      <w:r>
        <w:rPr>
          <w:rFonts w:hint="eastAsia"/>
          <w:color w:val="auto"/>
          <w:highlight w:val="none"/>
        </w:rPr>
        <w:t>率</w:t>
      </w:r>
      <w:r>
        <w:rPr>
          <w:rFonts w:hint="eastAsia"/>
          <w:color w:val="auto"/>
          <w:highlight w:val="none"/>
          <w:lang w:val="en-US" w:eastAsia="zh-CN"/>
        </w:rPr>
        <w:t>82.8</w:t>
      </w:r>
      <w:r>
        <w:rPr>
          <w:color w:val="auto"/>
          <w:highlight w:val="none"/>
        </w:rPr>
        <w:t>%</w:t>
      </w:r>
      <w:r>
        <w:rPr>
          <w:rFonts w:hint="eastAsia"/>
          <w:color w:val="auto"/>
          <w:highlight w:val="none"/>
          <w:lang w:eastAsia="zh-CN"/>
        </w:rPr>
        <w:t>，</w:t>
      </w:r>
      <w:r>
        <w:rPr>
          <w:rFonts w:hint="eastAsia"/>
          <w:color w:val="auto"/>
          <w:highlight w:val="none"/>
        </w:rPr>
        <w:t>结转资金额度</w:t>
      </w:r>
      <w:r>
        <w:rPr>
          <w:rFonts w:hint="eastAsia"/>
          <w:color w:val="auto"/>
          <w:highlight w:val="none"/>
          <w:lang w:eastAsia="zh-CN"/>
        </w:rPr>
        <w:t>为</w:t>
      </w:r>
      <w:r>
        <w:rPr>
          <w:rFonts w:hint="eastAsia"/>
          <w:color w:val="auto"/>
          <w:highlight w:val="none"/>
          <w:lang w:val="en-US" w:eastAsia="zh-CN"/>
        </w:rPr>
        <w:t>123.0616万元</w:t>
      </w:r>
      <w:r>
        <w:rPr>
          <w:rFonts w:hint="eastAsia"/>
          <w:color w:val="auto"/>
          <w:highlight w:val="none"/>
        </w:rPr>
        <w:t>。</w:t>
      </w:r>
      <w:r>
        <w:rPr>
          <w:rFonts w:hint="eastAsia"/>
          <w:color w:val="auto"/>
          <w:highlight w:val="none"/>
        </w:rPr>
        <w:t>本项目资金主要用于</w:t>
      </w:r>
      <w:r>
        <w:rPr>
          <w:rFonts w:hint="eastAsia"/>
          <w:color w:val="auto"/>
          <w:highlight w:val="none"/>
          <w:lang w:eastAsia="zh-CN"/>
        </w:rPr>
        <w:t>支付北山及各乡镇苗木费</w:t>
      </w:r>
      <w:r>
        <w:rPr>
          <w:rFonts w:hint="eastAsia"/>
          <w:color w:val="auto"/>
          <w:highlight w:val="none"/>
          <w:lang w:val="en-US" w:eastAsia="zh-CN"/>
        </w:rPr>
        <w:t>591.9384万元</w:t>
      </w:r>
    </w:p>
    <w:p>
      <w:pPr>
        <w:pStyle w:val="4"/>
        <w:numPr>
          <w:ilvl w:val="0"/>
          <w:numId w:val="2"/>
        </w:numPr>
        <w:ind w:firstLine="643"/>
        <w:rPr>
          <w:color w:val="auto"/>
          <w:highlight w:val="none"/>
        </w:rPr>
      </w:pPr>
      <w:r>
        <w:rPr>
          <w:rFonts w:hint="eastAsia"/>
          <w:color w:val="auto"/>
          <w:highlight w:val="none"/>
        </w:rPr>
        <w:t>项目绩效目标</w:t>
      </w:r>
    </w:p>
    <w:p>
      <w:pPr>
        <w:pStyle w:val="2"/>
        <w:numPr>
          <w:ilvl w:val="0"/>
          <w:numId w:val="3"/>
        </w:numPr>
        <w:ind w:firstLine="562" w:firstLineChars="200"/>
        <w:rPr>
          <w:rFonts w:hint="eastAsia"/>
          <w:color w:val="auto"/>
          <w:highlight w:val="none"/>
        </w:rPr>
      </w:pPr>
      <w:r>
        <w:rPr>
          <w:rFonts w:hint="eastAsia"/>
          <w:color w:val="auto"/>
          <w:highlight w:val="none"/>
        </w:rPr>
        <w:t>总体目标</w:t>
      </w:r>
    </w:p>
    <w:p>
      <w:pPr>
        <w:pStyle w:val="2"/>
        <w:numPr>
          <w:ilvl w:val="0"/>
          <w:numId w:val="0"/>
        </w:numPr>
        <w:ind w:firstLine="560" w:firstLineChars="200"/>
        <w:rPr>
          <w:rFonts w:hint="eastAsia"/>
          <w:b w:val="0"/>
          <w:bCs w:val="0"/>
          <w:color w:val="auto"/>
          <w:highlight w:val="none"/>
          <w:lang w:eastAsia="zh-CN"/>
        </w:rPr>
      </w:pPr>
      <w:r>
        <w:rPr>
          <w:rFonts w:hint="eastAsia"/>
          <w:b w:val="0"/>
          <w:bCs w:val="0"/>
          <w:color w:val="auto"/>
          <w:highlight w:val="none"/>
          <w:lang w:eastAsia="zh-CN"/>
        </w:rPr>
        <w:t>和静县退化林修复项目完成退化林修复1.1万亩，退化林修复补助标准650元/亩，项目的实施提高生态环境质量</w:t>
      </w:r>
    </w:p>
    <w:p>
      <w:pPr>
        <w:pStyle w:val="2"/>
        <w:numPr>
          <w:ilvl w:val="0"/>
          <w:numId w:val="0"/>
        </w:numPr>
        <w:ind w:firstLine="562" w:firstLineChars="200"/>
        <w:rPr>
          <w:color w:val="auto"/>
          <w:highlight w:val="none"/>
        </w:rPr>
      </w:pPr>
      <w:r>
        <w:rPr>
          <w:rFonts w:hint="eastAsia"/>
          <w:color w:val="auto"/>
          <w:highlight w:val="none"/>
          <w:lang w:val="en-US" w:eastAsia="zh-CN"/>
        </w:rPr>
        <w:t>2、</w:t>
      </w:r>
      <w:r>
        <w:rPr>
          <w:rFonts w:hint="eastAsia"/>
          <w:color w:val="auto"/>
          <w:highlight w:val="none"/>
        </w:rPr>
        <w:t>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rPr>
      </w:pPr>
      <w:r>
        <w:rPr>
          <w:rFonts w:hint="eastAsia"/>
          <w:color w:val="auto"/>
          <w:highlight w:val="none"/>
        </w:rPr>
        <w:t>“造林面积”指标，预期指标值为</w:t>
      </w:r>
      <w:r>
        <w:rPr>
          <w:rFonts w:hint="eastAsia"/>
          <w:color w:val="auto"/>
          <w:highlight w:val="none"/>
          <w:lang w:val="en-US" w:eastAsia="zh-CN"/>
        </w:rPr>
        <w:t>1.1</w:t>
      </w:r>
      <w:r>
        <w:rPr>
          <w:rFonts w:hint="eastAsia"/>
          <w:color w:val="auto"/>
          <w:highlight w:val="none"/>
        </w:rPr>
        <w:t>万亩；</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“造林任务完成合格率”指标，预期指标值为≥85% ；</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lang w:eastAsia="zh-CN"/>
        </w:rPr>
        <w:t>造林当期任务完成率</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90%；</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rFonts w:hint="eastAsia"/>
          <w:color w:val="auto"/>
          <w:highlight w:val="none"/>
          <w:lang w:eastAsia="zh-CN"/>
        </w:rPr>
        <w:t>退化林修复补助标准</w:t>
      </w:r>
      <w:r>
        <w:rPr>
          <w:rFonts w:hint="eastAsia"/>
          <w:color w:val="auto"/>
          <w:highlight w:val="none"/>
        </w:rPr>
        <w:t>”指标，预期指标值为</w:t>
      </w:r>
      <w:r>
        <w:rPr>
          <w:rFonts w:hint="eastAsia"/>
          <w:color w:val="auto"/>
          <w:highlight w:val="none"/>
          <w:lang w:eastAsia="zh-CN"/>
        </w:rPr>
        <w:t>=650元/亩</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lang w:eastAsia="zh-CN"/>
        </w:rPr>
        <w:t>提升乡村绿化率</w:t>
      </w:r>
      <w:r>
        <w:rPr>
          <w:rFonts w:hint="eastAsia"/>
          <w:color w:val="auto"/>
          <w:highlight w:val="none"/>
        </w:rPr>
        <w:t>”指标，预期指标值为</w:t>
      </w:r>
      <w:r>
        <w:rPr>
          <w:rFonts w:hint="eastAsia"/>
          <w:color w:val="auto"/>
          <w:highlight w:val="none"/>
          <w:lang w:eastAsia="zh-CN"/>
        </w:rPr>
        <w:t>≥85%</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提高生态环境质量</w:t>
      </w:r>
      <w:r>
        <w:rPr>
          <w:rFonts w:hint="eastAsia"/>
          <w:color w:val="auto"/>
          <w:highlight w:val="none"/>
        </w:rPr>
        <w:t>”指标，预期指标值为</w:t>
      </w:r>
      <w:r>
        <w:rPr>
          <w:rFonts w:hint="eastAsia"/>
          <w:color w:val="auto"/>
          <w:highlight w:val="none"/>
          <w:lang w:eastAsia="zh-CN"/>
        </w:rPr>
        <w:t>明显</w:t>
      </w:r>
      <w:r>
        <w:rPr>
          <w:rFonts w:hint="eastAsia"/>
          <w:color w:val="auto"/>
          <w:highlight w:val="none"/>
        </w:rPr>
        <w:t>；</w:t>
      </w:r>
    </w:p>
    <w:p>
      <w:pPr>
        <w:ind w:firstLine="840" w:firstLineChars="300"/>
        <w:rPr>
          <w:color w:val="auto"/>
          <w:highlight w:val="none"/>
        </w:rPr>
      </w:pPr>
      <w:r>
        <w:rPr>
          <w:rFonts w:hint="eastAsia"/>
          <w:color w:val="auto"/>
          <w:highlight w:val="none"/>
        </w:rPr>
        <w:t>③生态效益指标</w:t>
      </w:r>
    </w:p>
    <w:p>
      <w:pPr>
        <w:ind w:left="0" w:leftChars="0" w:firstLine="840" w:firstLineChars="300"/>
        <w:rPr>
          <w:rFonts w:hint="eastAsia"/>
          <w:color w:val="auto"/>
          <w:highlight w:val="none"/>
          <w:lang w:eastAsia="zh-CN"/>
        </w:rPr>
      </w:pPr>
      <w:r>
        <w:rPr>
          <w:rFonts w:hint="eastAsia"/>
          <w:color w:val="auto"/>
          <w:highlight w:val="none"/>
          <w:lang w:eastAsia="zh-CN"/>
        </w:rPr>
        <w:t>无</w:t>
      </w:r>
    </w:p>
    <w:p>
      <w:pPr>
        <w:ind w:firstLine="840" w:firstLineChars="30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w:t>
      </w:r>
      <w:r>
        <w:rPr>
          <w:rFonts w:hint="eastAsia"/>
          <w:color w:val="auto"/>
          <w:highlight w:val="none"/>
          <w:lang w:eastAsia="zh-CN"/>
        </w:rPr>
        <w:t>林区职工及周边群众满意度</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90%</w:t>
      </w:r>
      <w:r>
        <w:rPr>
          <w:rFonts w:hint="eastAsia"/>
          <w:color w:val="auto"/>
          <w:highlight w:val="none"/>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1" w:name="_Toc22922"/>
      <w:bookmarkStart w:id="2" w:name="_Toc22169_WPSOffice_Level2"/>
      <w:bookmarkStart w:id="3" w:name="_Toc21664"/>
      <w:bookmarkStart w:id="4" w:name="_Toc5258"/>
      <w:bookmarkStart w:id="5" w:name="_Toc12868"/>
      <w:bookmarkStart w:id="6" w:name="_Toc5462343"/>
      <w:bookmarkStart w:id="7" w:name="_Toc480473081"/>
      <w:bookmarkStart w:id="8" w:name="_Toc26632"/>
      <w:r>
        <w:rPr>
          <w:rFonts w:hint="eastAsia"/>
          <w:color w:val="auto"/>
          <w:highlight w:val="none"/>
        </w:rPr>
        <w:t>（一）绩效评价的目的</w:t>
      </w:r>
      <w:bookmarkEnd w:id="1"/>
      <w:bookmarkEnd w:id="2"/>
      <w:bookmarkEnd w:id="3"/>
      <w:bookmarkEnd w:id="4"/>
      <w:bookmarkEnd w:id="5"/>
      <w:bookmarkEnd w:id="6"/>
      <w:bookmarkEnd w:id="7"/>
      <w:bookmarkEnd w:id="8"/>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2023年</w:t>
      </w:r>
      <w:r>
        <w:rPr>
          <w:rFonts w:hint="eastAsia"/>
          <w:color w:val="auto"/>
          <w:highlight w:val="none"/>
          <w:lang w:eastAsia="zh-CN"/>
        </w:rPr>
        <w:t>退化林修复</w:t>
      </w:r>
      <w:r>
        <w:rPr>
          <w:rFonts w:hint="eastAsia"/>
          <w:color w:val="auto"/>
          <w:highlight w:val="none"/>
        </w:rPr>
        <w:t>项目开展本次部门项目支出绩效评价工</w:t>
      </w:r>
      <w:r>
        <w:rPr>
          <w:rFonts w:hint="eastAsia"/>
          <w:color w:val="auto"/>
          <w:highlight w:val="none"/>
        </w:rPr>
        <w:t>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w:t>
      </w:r>
      <w:r>
        <w:rPr>
          <w:rFonts w:hint="eastAsia"/>
          <w:color w:val="auto"/>
          <w:highlight w:val="none"/>
        </w:rPr>
        <w:t>为</w:t>
      </w:r>
      <w:r>
        <w:rPr>
          <w:rFonts w:hint="eastAsia"/>
          <w:color w:val="auto"/>
          <w:highlight w:val="none"/>
          <w:lang w:val="en-US" w:eastAsia="zh-CN"/>
        </w:rPr>
        <w:t>2023年退化林修复</w:t>
      </w:r>
      <w:r>
        <w:rPr>
          <w:rFonts w:hint="eastAsia"/>
          <w:color w:val="auto"/>
          <w:highlight w:val="none"/>
        </w:rPr>
        <w:t>项目，评价核心为项目</w:t>
      </w:r>
      <w:r>
        <w:rPr>
          <w:rFonts w:hint="eastAsia"/>
          <w:color w:val="auto"/>
          <w:highlight w:val="none"/>
          <w:lang w:val="en-US" w:eastAsia="zh-CN"/>
        </w:rPr>
        <w:t>的资金投入</w:t>
      </w:r>
      <w:r>
        <w:rPr>
          <w:rFonts w:hint="eastAsia"/>
          <w:color w:val="auto"/>
          <w:highlight w:val="none"/>
          <w:lang w:val="en-US" w:eastAsia="zh-CN"/>
        </w:rPr>
        <w:t>、产出及效益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9" w:name="_Toc1913"/>
      <w:bookmarkStart w:id="10" w:name="_Toc428278230"/>
      <w:bookmarkStart w:id="11" w:name="_Toc26131"/>
      <w:bookmarkStart w:id="12"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9"/>
      <w:bookmarkEnd w:id="10"/>
      <w:bookmarkEnd w:id="11"/>
      <w:bookmarkEnd w:id="12"/>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b w:val="0"/>
          <w:bCs w:val="0"/>
          <w:color w:val="auto"/>
          <w:highlight w:val="none"/>
        </w:rPr>
      </w:pPr>
      <w:r>
        <w:rPr>
          <w:rFonts w:hint="eastAsia"/>
          <w:b w:val="0"/>
          <w:bCs w:val="0"/>
          <w:color w:val="auto"/>
          <w:highlight w:val="none"/>
          <w:lang w:eastAsia="zh-CN"/>
        </w:rPr>
        <w:t>孙继华</w:t>
      </w:r>
      <w:r>
        <w:rPr>
          <w:rFonts w:hint="eastAsia"/>
          <w:b w:val="0"/>
          <w:bCs w:val="0"/>
          <w:color w:val="auto"/>
          <w:highlight w:val="none"/>
        </w:rPr>
        <w:t>（评价小组组长）：主要负责</w:t>
      </w:r>
      <w:r>
        <w:rPr>
          <w:rFonts w:hint="eastAsia"/>
          <w:b w:val="0"/>
          <w:bCs w:val="0"/>
          <w:color w:val="auto"/>
          <w:highlight w:val="none"/>
          <w:lang w:val="en-US" w:eastAsia="zh-CN"/>
        </w:rPr>
        <w:t>绩效目标及自评的监督与管理</w:t>
      </w:r>
      <w:r>
        <w:rPr>
          <w:rFonts w:hint="eastAsia"/>
          <w:b w:val="0"/>
          <w:bCs w:val="0"/>
          <w:color w:val="auto"/>
          <w:highlight w:val="none"/>
        </w:rPr>
        <w:t>;</w:t>
      </w:r>
    </w:p>
    <w:p>
      <w:pPr>
        <w:ind w:firstLine="560"/>
        <w:rPr>
          <w:b w:val="0"/>
          <w:bCs w:val="0"/>
          <w:color w:val="auto"/>
          <w:highlight w:val="none"/>
        </w:rPr>
      </w:pPr>
      <w:r>
        <w:rPr>
          <w:rFonts w:hint="eastAsia"/>
          <w:b w:val="0"/>
          <w:bCs w:val="0"/>
          <w:color w:val="auto"/>
          <w:highlight w:val="none"/>
          <w:lang w:eastAsia="zh-CN"/>
        </w:rPr>
        <w:t>肉孜完</w:t>
      </w:r>
      <w:r>
        <w:rPr>
          <w:rFonts w:hint="eastAsia"/>
          <w:b w:val="0"/>
          <w:bCs w:val="0"/>
          <w:color w:val="auto"/>
          <w:highlight w:val="none"/>
        </w:rPr>
        <w:t>（评价小组组员）：主要负责</w:t>
      </w:r>
      <w:r>
        <w:rPr>
          <w:rFonts w:hint="eastAsia"/>
          <w:b w:val="0"/>
          <w:bCs w:val="0"/>
          <w:color w:val="auto"/>
          <w:highlight w:val="none"/>
          <w:lang w:val="en-US" w:eastAsia="zh-CN"/>
        </w:rPr>
        <w:t>绩效目标的年初申报</w:t>
      </w:r>
      <w:r>
        <w:rPr>
          <w:rFonts w:hint="eastAsia"/>
          <w:b w:val="0"/>
          <w:bCs w:val="0"/>
          <w:color w:val="auto"/>
          <w:highlight w:val="none"/>
        </w:rPr>
        <w:t>;</w:t>
      </w:r>
    </w:p>
    <w:p>
      <w:pPr>
        <w:ind w:firstLine="560"/>
        <w:rPr>
          <w:b w:val="0"/>
          <w:bCs w:val="0"/>
          <w:color w:val="auto"/>
          <w:highlight w:val="none"/>
        </w:rPr>
      </w:pPr>
      <w:r>
        <w:rPr>
          <w:rFonts w:hint="eastAsia"/>
          <w:b w:val="0"/>
          <w:bCs w:val="0"/>
          <w:color w:val="auto"/>
          <w:highlight w:val="none"/>
          <w:lang w:eastAsia="zh-CN"/>
        </w:rPr>
        <w:t>王蕊锫</w:t>
      </w:r>
      <w:r>
        <w:rPr>
          <w:rFonts w:hint="eastAsia"/>
          <w:b w:val="0"/>
          <w:bCs w:val="0"/>
          <w:color w:val="auto"/>
          <w:highlight w:val="none"/>
        </w:rPr>
        <w:t>（评价小组组员）：主要负责</w:t>
      </w:r>
      <w:r>
        <w:rPr>
          <w:rFonts w:hint="eastAsia"/>
          <w:b w:val="0"/>
          <w:bCs w:val="0"/>
          <w:color w:val="auto"/>
          <w:highlight w:val="none"/>
          <w:lang w:val="en-US" w:eastAsia="zh-CN"/>
        </w:rPr>
        <w:t>绩效自评的相关工作上报</w:t>
      </w:r>
      <w:r>
        <w:rPr>
          <w:rFonts w:hint="eastAsia"/>
          <w:b w:val="0"/>
          <w:bCs w:val="0"/>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4"/>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w:t>
      </w:r>
      <w:r>
        <w:rPr>
          <w:rFonts w:hint="eastAsia"/>
          <w:color w:val="auto"/>
          <w:highlight w:val="none"/>
          <w:lang w:val="zh-TW" w:eastAsia="zh-TW"/>
        </w:rPr>
        <w:t>，在实施过程中取得了良好的成效，具体表现在以下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s="Times New Roman"/>
          <w:color w:val="auto"/>
          <w:highlight w:val="none"/>
        </w:rPr>
      </w:pPr>
      <w:r>
        <w:rPr>
          <w:rFonts w:hint="eastAsia" w:cs="Times New Roman"/>
          <w:color w:val="auto"/>
          <w:highlight w:val="none"/>
        </w:rPr>
        <w:t>一是：</w:t>
      </w:r>
      <w:r>
        <w:rPr>
          <w:rFonts w:hint="eastAsia" w:cs="Times New Roman"/>
          <w:color w:val="auto"/>
          <w:highlight w:val="none"/>
          <w:lang w:val="en-US" w:eastAsia="zh-CN"/>
        </w:rPr>
        <w:t>项目建成后，将增加林地面积，促进项目区林木更新复壮，增强林木抵抗自然灾害的能力，提高森林覆盖率，改善生态环境，提高周边居民生活质量。同时，项目区栽种的具有防风固沙作用的兼用生态林不仅具有生态功能，在挂果期还能增加农牧民的经济收入，进一步促进当地经济发展和结构调整。在林地生态、社会、经济效益相互作用下，初步形成了资源- 环境-经济相互协调发展的防护林体系。</w:t>
      </w:r>
    </w:p>
    <w:p>
      <w:pPr>
        <w:keepNext w:val="0"/>
        <w:keepLines w:val="0"/>
        <w:widowControl/>
        <w:suppressLineNumbers w:val="0"/>
        <w:jc w:val="left"/>
        <w:rPr>
          <w:color w:val="auto"/>
          <w:highlight w:val="none"/>
        </w:rPr>
      </w:pPr>
      <w:r>
        <w:rPr>
          <w:rFonts w:hint="eastAsia" w:cs="Times New Roman"/>
          <w:color w:val="auto"/>
          <w:highlight w:val="none"/>
        </w:rPr>
        <w:t>二是：</w:t>
      </w:r>
      <w:r>
        <w:rPr>
          <w:rFonts w:ascii="仿宋" w:hAnsi="仿宋" w:eastAsia="仿宋" w:cs="仿宋"/>
          <w:color w:val="auto"/>
          <w:kern w:val="0"/>
          <w:sz w:val="28"/>
          <w:szCs w:val="28"/>
          <w:highlight w:val="none"/>
          <w:lang w:val="en-US" w:eastAsia="zh-CN" w:bidi="ar"/>
        </w:rPr>
        <w:t xml:space="preserve">该项目建设需要人工进行清理整地、定植，约需 </w:t>
      </w:r>
      <w:r>
        <w:rPr>
          <w:rFonts w:hint="default" w:ascii="Times New Roman" w:hAnsi="Times New Roman" w:eastAsia="宋体" w:cs="Times New Roman"/>
          <w:color w:val="auto"/>
          <w:kern w:val="0"/>
          <w:sz w:val="28"/>
          <w:szCs w:val="28"/>
          <w:highlight w:val="none"/>
          <w:lang w:val="en-US" w:eastAsia="zh-CN" w:bidi="ar"/>
        </w:rPr>
        <w:t xml:space="preserve">27500 </w:t>
      </w:r>
      <w:r>
        <w:rPr>
          <w:rFonts w:hint="eastAsia" w:ascii="仿宋" w:hAnsi="仿宋" w:eastAsia="仿宋" w:cs="仿宋"/>
          <w:color w:val="auto"/>
          <w:kern w:val="0"/>
          <w:sz w:val="28"/>
          <w:szCs w:val="28"/>
          <w:highlight w:val="none"/>
          <w:lang w:val="en-US" w:eastAsia="zh-CN" w:bidi="ar"/>
        </w:rPr>
        <w:t>个工日，需要聘用一定数量的临时人员，将给项目区周边农牧民提供就业岗位，增加他们收入，在一定程度上也缓解了当地就业压力，促进当地社会稳定。</w:t>
      </w:r>
    </w:p>
    <w:p>
      <w:pPr>
        <w:keepNext w:val="0"/>
        <w:keepLines w:val="0"/>
        <w:widowControl/>
        <w:suppressLineNumbers w:val="0"/>
        <w:jc w:val="left"/>
        <w:rPr>
          <w:rFonts w:cs="Times New Roman"/>
          <w:color w:val="auto"/>
          <w:highlight w:val="none"/>
        </w:rPr>
      </w:pPr>
      <w:r>
        <w:rPr>
          <w:rFonts w:hint="eastAsia" w:cs="Times New Roman"/>
          <w:color w:val="auto"/>
          <w:highlight w:val="none"/>
        </w:rPr>
        <w:t>三是：</w:t>
      </w:r>
      <w:r>
        <w:rPr>
          <w:rFonts w:ascii="仿宋" w:hAnsi="仿宋" w:eastAsia="仿宋" w:cs="仿宋"/>
          <w:color w:val="auto"/>
          <w:kern w:val="0"/>
          <w:sz w:val="28"/>
          <w:szCs w:val="28"/>
          <w:highlight w:val="none"/>
          <w:lang w:val="en-US" w:eastAsia="zh-CN" w:bidi="ar"/>
        </w:rPr>
        <w:t>该项目建设是一项造福全县人民的公益性事业，也是一项提高全县人</w:t>
      </w:r>
      <w:r>
        <w:rPr>
          <w:rFonts w:hint="eastAsia" w:ascii="仿宋" w:hAnsi="仿宋" w:eastAsia="仿宋" w:cs="仿宋"/>
          <w:color w:val="auto"/>
          <w:kern w:val="0"/>
          <w:sz w:val="28"/>
          <w:szCs w:val="28"/>
          <w:highlight w:val="none"/>
          <w:lang w:val="en-US" w:eastAsia="zh-CN" w:bidi="ar"/>
        </w:rPr>
        <w:t>民生活水平的重要生态工程，它将在一定程度上改善和静县的自然环境、改善人民的生存环境，保护家园、保护农田，保障农、林、牧业的增产丰收，将为和静县新农村建设、生态富民工程建设起到积极的作用。同时，该项目实施还将进一步强化全县人民的绿化、美化意识，提高人们对林业在经济建设中重要地位的认识，为全县人民开展全民义务植树运动的深入开展起到积极的推动作用</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97.8</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w:t>
      </w:r>
      <w:r>
        <w:rPr>
          <w:rFonts w:hint="eastAsia"/>
          <w:color w:val="auto"/>
          <w:highlight w:val="none"/>
          <w:lang w:val="en-US" w:eastAsia="zh-CN"/>
        </w:rPr>
        <w:t>5</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83.33</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4"/>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w:t>
      </w:r>
      <w:r>
        <w:rPr>
          <w:rFonts w:hint="eastAsia" w:cs="仿宋_GB2312"/>
          <w:color w:val="auto"/>
          <w:highlight w:val="none"/>
          <w:lang w:val="en-US" w:eastAsia="zh-CN"/>
        </w:rPr>
        <w:t>7</w:t>
      </w:r>
      <w:r>
        <w:rPr>
          <w:rFonts w:hint="eastAsia" w:cs="仿宋_GB2312"/>
          <w:color w:val="auto"/>
          <w:highlight w:val="none"/>
        </w:rPr>
        <w:t>个二级指标和</w:t>
      </w:r>
      <w:r>
        <w:rPr>
          <w:rFonts w:hint="eastAsia" w:cs="仿宋_GB2312"/>
          <w:color w:val="auto"/>
          <w:highlight w:val="none"/>
          <w:lang w:val="en-US" w:eastAsia="zh-CN"/>
        </w:rPr>
        <w:t>6</w:t>
      </w:r>
      <w:r>
        <w:rPr>
          <w:rFonts w:hint="eastAsia" w:cs="仿宋_GB2312"/>
          <w:color w:val="auto"/>
          <w:highlight w:val="none"/>
        </w:rPr>
        <w:t>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keepNext w:val="0"/>
        <w:keepLines w:val="0"/>
        <w:widowControl/>
        <w:suppressLineNumbers w:val="0"/>
        <w:jc w:val="left"/>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ascii="仿宋" w:hAnsi="仿宋" w:eastAsia="仿宋" w:cs="仿宋"/>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val="en-US" w:eastAsia="zh-CN" w:bidi="ar"/>
        </w:rPr>
        <w:t>全国重要生态系统保护和修复重点工程总体规划</w:t>
      </w:r>
      <w:r>
        <w:rPr>
          <w:rFonts w:hint="eastAsia"/>
          <w:color w:val="auto"/>
          <w:highlight w:val="none"/>
          <w:lang w:val="en-US" w:eastAsia="zh-CN"/>
        </w:rPr>
        <w:t>（</w:t>
      </w:r>
      <w:r>
        <w:rPr>
          <w:rFonts w:hint="default"/>
          <w:color w:val="auto"/>
          <w:highlight w:val="none"/>
          <w:lang w:val="en-US" w:eastAsia="zh-CN"/>
        </w:rPr>
        <w:t xml:space="preserve">2021-2035 </w:t>
      </w:r>
      <w:r>
        <w:rPr>
          <w:rFonts w:hint="eastAsia"/>
          <w:color w:val="auto"/>
          <w:highlight w:val="none"/>
          <w:lang w:val="en-US" w:eastAsia="zh-CN"/>
        </w:rPr>
        <w:t>年）》；坚持新发展理念，统筹山水林田湖一体化保护和修复。</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《中华人民共和国森林法》：“要制定林业长远规划，其中就有植树造林规划。”</w:t>
      </w:r>
      <w:r>
        <w:rPr>
          <w:rFonts w:hint="eastAsia"/>
          <w:color w:val="auto"/>
          <w:highlight w:val="none"/>
          <w:lang w:val="en-US" w:eastAsia="zh-Hans"/>
        </w:rPr>
        <w:t>内容，符合行业发展规划和政策要求</w:t>
      </w:r>
      <w:r>
        <w:rPr>
          <w:rFonts w:hint="eastAsia"/>
          <w:color w:val="auto"/>
          <w:highlight w:val="none"/>
          <w:lang w:val="en-US" w:eastAsia="zh-CN"/>
        </w:rPr>
        <w:t>；本</w:t>
      </w:r>
      <w:r>
        <w:rPr>
          <w:rFonts w:hint="eastAsia"/>
          <w:color w:val="auto"/>
          <w:highlight w:val="none"/>
          <w:lang w:val="en-US" w:eastAsia="zh-Hans"/>
        </w:rPr>
        <w:t>项目立项符合《</w:t>
      </w:r>
      <w:r>
        <w:rPr>
          <w:rFonts w:hint="eastAsia"/>
          <w:color w:val="auto"/>
          <w:highlight w:val="none"/>
          <w:lang w:val="en-US" w:eastAsia="zh-CN"/>
        </w:rPr>
        <w:t>和静县林业和草原局单位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指导林业和草原造林</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w:t>
      </w:r>
      <w:r>
        <w:rPr>
          <w:rFonts w:hint="eastAsia"/>
          <w:color w:val="auto"/>
          <w:highlight w:val="none"/>
          <w:lang w:eastAsia="zh-Hans"/>
        </w:rPr>
        <w:t>为“</w:t>
      </w:r>
      <w:r>
        <w:rPr>
          <w:rFonts w:hint="eastAsia"/>
          <w:color w:val="auto"/>
          <w:highlight w:val="none"/>
          <w:lang w:eastAsia="zh-CN"/>
        </w:rPr>
        <w:t>森林资源培育</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keepNext w:val="0"/>
        <w:keepLines w:val="0"/>
        <w:widowControl/>
        <w:suppressLineNumbers w:val="0"/>
        <w:jc w:val="left"/>
        <w:rPr>
          <w:color w:val="auto"/>
          <w:highlight w:val="none"/>
        </w:rPr>
      </w:pPr>
      <w:r>
        <w:rPr>
          <w:rFonts w:hint="eastAsia"/>
          <w:color w:val="auto"/>
          <w:highlight w:val="none"/>
        </w:rPr>
        <w:t>本项目</w:t>
      </w:r>
      <w:r>
        <w:rPr>
          <w:rFonts w:ascii="仿宋" w:hAnsi="仿宋" w:eastAsia="仿宋" w:cs="仿宋"/>
          <w:color w:val="auto"/>
          <w:kern w:val="0"/>
          <w:sz w:val="28"/>
          <w:szCs w:val="28"/>
          <w:highlight w:val="none"/>
          <w:lang w:val="en-US" w:eastAsia="zh-CN" w:bidi="ar"/>
        </w:rPr>
        <w:t>党的二十大报告提出，必须牢固树立和践行绿水青山就是金山银山的</w:t>
      </w:r>
      <w:r>
        <w:rPr>
          <w:rFonts w:hint="eastAsia" w:ascii="仿宋" w:hAnsi="仿宋" w:eastAsia="仿宋" w:cs="仿宋"/>
          <w:color w:val="auto"/>
          <w:kern w:val="0"/>
          <w:sz w:val="28"/>
          <w:szCs w:val="28"/>
          <w:highlight w:val="none"/>
          <w:lang w:val="en-US" w:eastAsia="zh-CN" w:bidi="ar"/>
        </w:rPr>
        <w:t>理念，站在人与自然和谐共生的高度谋划发展。新疆林业和草原系统坚持以习近平生态文明思想为指导，以</w:t>
      </w:r>
      <w:r>
        <w:rPr>
          <w:rFonts w:hint="default" w:ascii="Times New Roman" w:hAnsi="Times New Roman" w:eastAsia="宋体" w:cs="Times New Roman"/>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val="en-US" w:eastAsia="zh-CN" w:bidi="ar"/>
        </w:rPr>
        <w:t>双重</w:t>
      </w:r>
      <w:r>
        <w:rPr>
          <w:rFonts w:hint="default" w:ascii="Times New Roman" w:hAnsi="Times New Roman" w:eastAsia="宋体" w:cs="Times New Roman"/>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val="en-US" w:eastAsia="zh-CN" w:bidi="ar"/>
        </w:rPr>
        <w:t>规划为基础，以《林业草原保护发展规划纲要（</w:t>
      </w:r>
      <w:r>
        <w:rPr>
          <w:rFonts w:hint="default" w:ascii="Times New Roman" w:hAnsi="Times New Roman" w:eastAsia="宋体" w:cs="Times New Roman"/>
          <w:color w:val="auto"/>
          <w:kern w:val="0"/>
          <w:sz w:val="28"/>
          <w:szCs w:val="28"/>
          <w:highlight w:val="none"/>
          <w:lang w:val="en-US" w:eastAsia="zh-CN" w:bidi="ar"/>
        </w:rPr>
        <w:t xml:space="preserve">2021-2025 </w:t>
      </w:r>
      <w:r>
        <w:rPr>
          <w:rFonts w:hint="eastAsia" w:ascii="仿宋" w:hAnsi="仿宋" w:eastAsia="仿宋" w:cs="仿宋"/>
          <w:color w:val="auto"/>
          <w:kern w:val="0"/>
          <w:sz w:val="28"/>
          <w:szCs w:val="28"/>
          <w:highlight w:val="none"/>
          <w:lang w:val="en-US" w:eastAsia="zh-CN" w:bidi="ar"/>
        </w:rPr>
        <w:t>年）》为统领，以新疆维吾尔自治区林草专项规划为支撑，完整准确贯彻新时代党的治疆方略，牢牢扭住社会稳定和长治久安总目标，对新疆林业和草原</w:t>
      </w:r>
      <w:r>
        <w:rPr>
          <w:rFonts w:hint="default" w:ascii="Times New Roman" w:hAnsi="Times New Roman" w:eastAsia="宋体" w:cs="Times New Roman"/>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val="en-US" w:eastAsia="zh-CN" w:bidi="ar"/>
        </w:rPr>
        <w:t>十四五</w:t>
      </w:r>
      <w:r>
        <w:rPr>
          <w:rFonts w:hint="default" w:ascii="Times New Roman" w:hAnsi="Times New Roman" w:eastAsia="宋体" w:cs="Times New Roman"/>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val="en-US" w:eastAsia="zh-CN" w:bidi="ar"/>
        </w:rPr>
        <w:t>发展进行了系统谋划和战略部署，坚决贯彻落实自治区政府决策部署，统筹山水林田湖草沙一体化保护和系统治理，科学推进大规模国土绿化，全面加强森林、草原、湿地和野生动植物资源保护，推动自治区林草事业高质量发展，为加快建设美丽新疆作出新的更大贡</w:t>
      </w:r>
      <w:r>
        <w:rPr>
          <w:rFonts w:hint="eastAsia" w:ascii="仿宋" w:hAnsi="仿宋" w:eastAsia="仿宋" w:cs="仿宋"/>
          <w:color w:val="auto"/>
          <w:kern w:val="0"/>
          <w:sz w:val="28"/>
          <w:szCs w:val="28"/>
          <w:highlight w:val="none"/>
          <w:lang w:val="en-US" w:eastAsia="zh-CN" w:bidi="ar"/>
        </w:rPr>
        <w:t>献。</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2023年中央改革发展</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715</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已编制实施方案</w:t>
      </w:r>
      <w:r>
        <w:rPr>
          <w:rFonts w:hint="eastAsia"/>
          <w:color w:val="auto"/>
          <w:highlight w:val="none"/>
        </w:rPr>
        <w:t>，并经过</w:t>
      </w:r>
      <w:r>
        <w:rPr>
          <w:rFonts w:hint="eastAsia"/>
          <w:color w:val="auto"/>
          <w:highlight w:val="none"/>
          <w:lang w:eastAsia="zh-Hans"/>
        </w:rPr>
        <w:t>专家论证</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ind w:firstLine="562"/>
        <w:rPr>
          <w:color w:val="auto"/>
          <w:highlight w:val="none"/>
        </w:rPr>
      </w:pPr>
      <w:r>
        <w:rPr>
          <w:rFonts w:hint="eastAsia"/>
          <w:color w:val="auto"/>
          <w:highlight w:val="none"/>
        </w:rPr>
        <w:t>2.绩效目标情况分析</w:t>
      </w:r>
    </w:p>
    <w:p>
      <w:pPr>
        <w:ind w:firstLine="562"/>
        <w:rPr>
          <w:rFonts w:hint="eastAsia"/>
          <w:b/>
          <w:bCs/>
          <w:color w:val="auto"/>
          <w:highlight w:val="none"/>
        </w:rPr>
      </w:pPr>
      <w:r>
        <w:rPr>
          <w:rFonts w:hint="eastAsia"/>
          <w:b/>
          <w:bCs/>
          <w:color w:val="auto"/>
          <w:highlight w:val="none"/>
        </w:rPr>
        <w:t>（1）绩效目标合理性</w:t>
      </w:r>
    </w:p>
    <w:p>
      <w:pPr>
        <w:keepNext w:val="0"/>
        <w:keepLines w:val="0"/>
        <w:widowControl/>
        <w:suppressLineNumbers w:val="0"/>
        <w:jc w:val="left"/>
        <w:rPr>
          <w:color w:val="auto"/>
          <w:highlight w:val="none"/>
          <w:lang w:eastAsia="zh-Hans"/>
        </w:rPr>
      </w:pPr>
      <w:r>
        <w:rPr>
          <w:rFonts w:hint="eastAsia"/>
          <w:color w:val="auto"/>
          <w:highlight w:val="none"/>
        </w:rPr>
        <w:t>本项目已设置年度绩效目标，具体内容为“</w:t>
      </w:r>
      <w:r>
        <w:rPr>
          <w:rFonts w:hint="eastAsia"/>
          <w:color w:val="auto"/>
          <w:highlight w:val="none"/>
        </w:rPr>
        <w:t>和静县退化林修复项目完成退化林修复1.1万亩，退化林修复补助标准650元/亩，项目的实施提高生态环境质量</w:t>
      </w:r>
      <w:r>
        <w:rPr>
          <w:rFonts w:hint="eastAsia"/>
          <w:color w:val="auto"/>
          <w:highlight w:val="none"/>
        </w:rPr>
        <w:t>”；本项目实际工作为：</w:t>
      </w:r>
      <w:r>
        <w:rPr>
          <w:rFonts w:ascii="仿宋" w:hAnsi="仿宋" w:eastAsia="仿宋" w:cs="仿宋"/>
          <w:color w:val="auto"/>
          <w:kern w:val="0"/>
          <w:sz w:val="28"/>
          <w:szCs w:val="28"/>
          <w:highlight w:val="none"/>
          <w:lang w:val="en-US" w:eastAsia="zh-CN" w:bidi="ar"/>
        </w:rPr>
        <w:t xml:space="preserve">退化防护林修复建设地点涉及 </w:t>
      </w:r>
      <w:r>
        <w:rPr>
          <w:rFonts w:hint="default" w:ascii="Times New Roman" w:hAnsi="Times New Roman" w:eastAsia="宋体" w:cs="Times New Roman"/>
          <w:color w:val="auto"/>
          <w:kern w:val="0"/>
          <w:sz w:val="28"/>
          <w:szCs w:val="28"/>
          <w:highlight w:val="none"/>
          <w:lang w:val="en-US" w:eastAsia="zh-CN" w:bidi="ar"/>
        </w:rPr>
        <w:t xml:space="preserve">7 </w:t>
      </w:r>
      <w:r>
        <w:rPr>
          <w:rFonts w:hint="eastAsia" w:ascii="仿宋" w:hAnsi="仿宋" w:eastAsia="仿宋" w:cs="仿宋"/>
          <w:color w:val="auto"/>
          <w:kern w:val="0"/>
          <w:sz w:val="28"/>
          <w:szCs w:val="28"/>
          <w:highlight w:val="none"/>
          <w:lang w:val="en-US" w:eastAsia="zh-CN" w:bidi="ar"/>
        </w:rPr>
        <w:t xml:space="preserve">个乡镇（农场），分别为哈尔莫敦镇 </w:t>
      </w:r>
      <w:r>
        <w:rPr>
          <w:rFonts w:hint="default" w:ascii="Times New Roman" w:hAnsi="Times New Roman" w:eastAsia="宋体" w:cs="Times New Roman"/>
          <w:color w:val="auto"/>
          <w:kern w:val="0"/>
          <w:sz w:val="28"/>
          <w:szCs w:val="28"/>
          <w:highlight w:val="none"/>
          <w:lang w:val="en-US" w:eastAsia="zh-CN" w:bidi="ar"/>
        </w:rPr>
        <w:t xml:space="preserve">631.3957 </w:t>
      </w:r>
      <w:r>
        <w:rPr>
          <w:rFonts w:hint="eastAsia" w:ascii="仿宋" w:hAnsi="仿宋" w:eastAsia="仿宋" w:cs="仿宋"/>
          <w:color w:val="auto"/>
          <w:kern w:val="0"/>
          <w:sz w:val="28"/>
          <w:szCs w:val="28"/>
          <w:highlight w:val="none"/>
          <w:lang w:val="en-US" w:eastAsia="zh-CN" w:bidi="ar"/>
        </w:rPr>
        <w:t xml:space="preserve">公顷、和静镇 </w:t>
      </w:r>
      <w:r>
        <w:rPr>
          <w:rFonts w:hint="default" w:ascii="Times New Roman" w:hAnsi="Times New Roman" w:eastAsia="宋体" w:cs="Times New Roman"/>
          <w:color w:val="auto"/>
          <w:kern w:val="0"/>
          <w:sz w:val="28"/>
          <w:szCs w:val="28"/>
          <w:highlight w:val="none"/>
          <w:lang w:val="en-US" w:eastAsia="zh-CN" w:bidi="ar"/>
        </w:rPr>
        <w:t xml:space="preserve">6.7258 </w:t>
      </w:r>
      <w:r>
        <w:rPr>
          <w:rFonts w:hint="eastAsia" w:ascii="仿宋" w:hAnsi="仿宋" w:eastAsia="仿宋" w:cs="仿宋"/>
          <w:color w:val="auto"/>
          <w:kern w:val="0"/>
          <w:sz w:val="28"/>
          <w:szCs w:val="28"/>
          <w:highlight w:val="none"/>
          <w:lang w:val="en-US" w:eastAsia="zh-CN" w:bidi="ar"/>
        </w:rPr>
        <w:t xml:space="preserve">公顷、巴润哈尔莫墩镇 </w:t>
      </w:r>
      <w:r>
        <w:rPr>
          <w:rFonts w:hint="default" w:ascii="Times New Roman" w:hAnsi="Times New Roman" w:eastAsia="宋体" w:cs="Times New Roman"/>
          <w:color w:val="auto"/>
          <w:kern w:val="0"/>
          <w:sz w:val="28"/>
          <w:szCs w:val="28"/>
          <w:highlight w:val="none"/>
          <w:lang w:val="en-US" w:eastAsia="zh-CN" w:bidi="ar"/>
        </w:rPr>
        <w:t xml:space="preserve">17.128 </w:t>
      </w:r>
      <w:r>
        <w:rPr>
          <w:rFonts w:hint="eastAsia" w:ascii="仿宋" w:hAnsi="仿宋" w:eastAsia="仿宋" w:cs="仿宋"/>
          <w:color w:val="auto"/>
          <w:kern w:val="0"/>
          <w:sz w:val="28"/>
          <w:szCs w:val="28"/>
          <w:highlight w:val="none"/>
          <w:lang w:val="en-US" w:eastAsia="zh-CN" w:bidi="ar"/>
        </w:rPr>
        <w:t xml:space="preserve">公顷、额勒再特乌鲁乡 </w:t>
      </w:r>
      <w:r>
        <w:rPr>
          <w:rFonts w:hint="default" w:ascii="Times New Roman" w:hAnsi="Times New Roman" w:eastAsia="宋体" w:cs="Times New Roman"/>
          <w:color w:val="auto"/>
          <w:kern w:val="0"/>
          <w:sz w:val="28"/>
          <w:szCs w:val="28"/>
          <w:highlight w:val="none"/>
          <w:lang w:val="en-US" w:eastAsia="zh-CN" w:bidi="ar"/>
        </w:rPr>
        <w:t xml:space="preserve">57.2520 </w:t>
      </w:r>
      <w:r>
        <w:rPr>
          <w:rFonts w:hint="eastAsia" w:ascii="仿宋" w:hAnsi="仿宋" w:eastAsia="仿宋" w:cs="仿宋"/>
          <w:color w:val="auto"/>
          <w:kern w:val="0"/>
          <w:sz w:val="28"/>
          <w:szCs w:val="28"/>
          <w:highlight w:val="none"/>
          <w:lang w:val="en-US" w:eastAsia="zh-CN" w:bidi="ar"/>
        </w:rPr>
        <w:t xml:space="preserve">公顷、良种场 </w:t>
      </w:r>
      <w:r>
        <w:rPr>
          <w:rFonts w:hint="default" w:ascii="Times New Roman" w:hAnsi="Times New Roman" w:eastAsia="宋体" w:cs="Times New Roman"/>
          <w:color w:val="auto"/>
          <w:kern w:val="0"/>
          <w:sz w:val="28"/>
          <w:szCs w:val="28"/>
          <w:highlight w:val="none"/>
          <w:lang w:val="en-US" w:eastAsia="zh-CN" w:bidi="ar"/>
        </w:rPr>
        <w:t xml:space="preserve">7.7361 </w:t>
      </w:r>
      <w:r>
        <w:rPr>
          <w:rFonts w:hint="eastAsia" w:ascii="仿宋" w:hAnsi="仿宋" w:eastAsia="仿宋" w:cs="仿宋"/>
          <w:color w:val="auto"/>
          <w:kern w:val="0"/>
          <w:sz w:val="28"/>
          <w:szCs w:val="28"/>
          <w:highlight w:val="none"/>
          <w:lang w:val="en-US" w:eastAsia="zh-CN" w:bidi="ar"/>
        </w:rPr>
        <w:t xml:space="preserve">公顷、乃门莫墩乡 </w:t>
      </w:r>
      <w:r>
        <w:rPr>
          <w:rFonts w:hint="default" w:ascii="Times New Roman" w:hAnsi="Times New Roman" w:eastAsia="宋体" w:cs="Times New Roman"/>
          <w:color w:val="auto"/>
          <w:kern w:val="0"/>
          <w:sz w:val="28"/>
          <w:szCs w:val="28"/>
          <w:highlight w:val="none"/>
          <w:lang w:val="en-US" w:eastAsia="zh-CN" w:bidi="ar"/>
        </w:rPr>
        <w:t xml:space="preserve">1.4109 </w:t>
      </w:r>
      <w:r>
        <w:rPr>
          <w:rFonts w:hint="eastAsia" w:ascii="仿宋" w:hAnsi="仿宋" w:eastAsia="仿宋" w:cs="仿宋"/>
          <w:color w:val="auto"/>
          <w:kern w:val="0"/>
          <w:sz w:val="28"/>
          <w:szCs w:val="28"/>
          <w:highlight w:val="none"/>
          <w:lang w:val="en-US" w:eastAsia="zh-CN" w:bidi="ar"/>
        </w:rPr>
        <w:t xml:space="preserve">公顷、乌拉斯台农场 </w:t>
      </w:r>
      <w:r>
        <w:rPr>
          <w:rFonts w:hint="default" w:ascii="Times New Roman" w:hAnsi="Times New Roman" w:eastAsia="宋体" w:cs="Times New Roman"/>
          <w:color w:val="auto"/>
          <w:kern w:val="0"/>
          <w:sz w:val="28"/>
          <w:szCs w:val="28"/>
          <w:highlight w:val="none"/>
          <w:lang w:val="en-US" w:eastAsia="zh-CN" w:bidi="ar"/>
        </w:rPr>
        <w:t xml:space="preserve">11.7141 </w:t>
      </w:r>
      <w:r>
        <w:rPr>
          <w:rFonts w:hint="eastAsia" w:ascii="仿宋" w:hAnsi="仿宋" w:eastAsia="仿宋" w:cs="仿宋"/>
          <w:color w:val="auto"/>
          <w:kern w:val="0"/>
          <w:sz w:val="28"/>
          <w:szCs w:val="28"/>
          <w:highlight w:val="none"/>
          <w:lang w:val="en-US" w:eastAsia="zh-CN" w:bidi="ar"/>
        </w:rPr>
        <w:t>公顷</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ascii="仿宋" w:hAnsi="仿宋" w:eastAsia="仿宋" w:cs="仿宋"/>
          <w:color w:val="auto"/>
          <w:kern w:val="0"/>
          <w:sz w:val="28"/>
          <w:szCs w:val="28"/>
          <w:highlight w:val="none"/>
          <w:lang w:val="en-US" w:eastAsia="zh-CN" w:bidi="ar"/>
        </w:rPr>
        <w:t>通过本项目建设，增加项目区森林植被覆盖率，在一定程度上遏止沙</w:t>
      </w:r>
      <w:r>
        <w:rPr>
          <w:rFonts w:hint="eastAsia" w:ascii="仿宋" w:hAnsi="仿宋" w:eastAsia="仿宋" w:cs="仿宋"/>
          <w:color w:val="auto"/>
          <w:kern w:val="0"/>
          <w:sz w:val="28"/>
          <w:szCs w:val="28"/>
          <w:highlight w:val="none"/>
          <w:lang w:val="en-US" w:eastAsia="zh-CN" w:bidi="ar"/>
        </w:rPr>
        <w:t>漠化、防治或减轻土壤次生盐渍化，同时调节气候、净化空气、改善生态环境，实现森林资源的可持续发展与合理利用，有利于改善区域生态环境。年</w:t>
      </w:r>
      <w:r>
        <w:rPr>
          <w:rFonts w:hint="eastAsia"/>
          <w:color w:val="auto"/>
          <w:highlight w:val="none"/>
          <w:lang w:eastAsia="zh-Hans"/>
        </w:rPr>
        <w:t>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7</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6</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85.71</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通过编制实施方案，上党组会研究，州林草局研判</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keepNext w:val="0"/>
        <w:keepLines w:val="0"/>
        <w:widowControl/>
        <w:suppressLineNumbers w:val="0"/>
        <w:jc w:val="left"/>
        <w:rPr>
          <w:color w:val="auto"/>
          <w:highlight w:val="none"/>
          <w:lang w:bidi="ar"/>
        </w:rPr>
      </w:pPr>
      <w:r>
        <w:rPr>
          <w:rFonts w:hint="eastAsia"/>
          <w:color w:val="auto"/>
          <w:highlight w:val="none"/>
          <w:lang w:eastAsia="zh-Hans" w:bidi="ar"/>
        </w:rPr>
        <w:t>预算申请内容为</w:t>
      </w:r>
      <w:r>
        <w:rPr>
          <w:rFonts w:ascii="仿宋" w:hAnsi="仿宋" w:eastAsia="仿宋" w:cs="仿宋"/>
          <w:color w:val="auto"/>
          <w:kern w:val="0"/>
          <w:sz w:val="28"/>
          <w:szCs w:val="28"/>
          <w:highlight w:val="none"/>
          <w:lang w:val="en-US" w:eastAsia="zh-CN" w:bidi="ar"/>
        </w:rPr>
        <w:t xml:space="preserve">：退化防护林修复 </w:t>
      </w:r>
      <w:r>
        <w:rPr>
          <w:rFonts w:hint="default" w:ascii="Times New Roman" w:hAnsi="Times New Roman" w:eastAsia="宋体" w:cs="Times New Roman"/>
          <w:color w:val="auto"/>
          <w:kern w:val="0"/>
          <w:sz w:val="28"/>
          <w:szCs w:val="28"/>
          <w:highlight w:val="none"/>
          <w:lang w:val="en-US" w:eastAsia="zh-CN" w:bidi="ar"/>
        </w:rPr>
        <w:t xml:space="preserve">11000 </w:t>
      </w:r>
      <w:r>
        <w:rPr>
          <w:rFonts w:hint="eastAsia" w:ascii="仿宋" w:hAnsi="仿宋" w:eastAsia="仿宋" w:cs="仿宋"/>
          <w:color w:val="auto"/>
          <w:kern w:val="0"/>
          <w:sz w:val="28"/>
          <w:szCs w:val="28"/>
          <w:highlight w:val="none"/>
          <w:lang w:val="en-US" w:eastAsia="zh-CN" w:bidi="ar"/>
        </w:rPr>
        <w:t xml:space="preserve">亩。 退化防护林修复建设地点涉及 </w:t>
      </w:r>
      <w:r>
        <w:rPr>
          <w:rFonts w:hint="default" w:ascii="Times New Roman" w:hAnsi="Times New Roman" w:eastAsia="宋体" w:cs="Times New Roman"/>
          <w:color w:val="auto"/>
          <w:kern w:val="0"/>
          <w:sz w:val="28"/>
          <w:szCs w:val="28"/>
          <w:highlight w:val="none"/>
          <w:lang w:val="en-US" w:eastAsia="zh-CN" w:bidi="ar"/>
        </w:rPr>
        <w:t xml:space="preserve">7 </w:t>
      </w:r>
      <w:r>
        <w:rPr>
          <w:rFonts w:hint="eastAsia" w:ascii="仿宋" w:hAnsi="仿宋" w:eastAsia="仿宋" w:cs="仿宋"/>
          <w:color w:val="auto"/>
          <w:kern w:val="0"/>
          <w:sz w:val="28"/>
          <w:szCs w:val="28"/>
          <w:highlight w:val="none"/>
          <w:lang w:val="en-US" w:eastAsia="zh-CN" w:bidi="ar"/>
        </w:rPr>
        <w:t xml:space="preserve">个乡镇（农场），分别为哈尔莫敦镇 </w:t>
      </w:r>
      <w:r>
        <w:rPr>
          <w:rFonts w:hint="default" w:ascii="Times New Roman" w:hAnsi="Times New Roman" w:eastAsia="宋体" w:cs="Times New Roman"/>
          <w:color w:val="auto"/>
          <w:kern w:val="0"/>
          <w:sz w:val="28"/>
          <w:szCs w:val="28"/>
          <w:highlight w:val="none"/>
          <w:lang w:val="en-US" w:eastAsia="zh-CN" w:bidi="ar"/>
        </w:rPr>
        <w:t xml:space="preserve">631.3957 </w:t>
      </w:r>
      <w:r>
        <w:rPr>
          <w:rFonts w:hint="eastAsia" w:ascii="仿宋" w:hAnsi="仿宋" w:eastAsia="仿宋" w:cs="仿宋"/>
          <w:color w:val="auto"/>
          <w:kern w:val="0"/>
          <w:sz w:val="28"/>
          <w:szCs w:val="28"/>
          <w:highlight w:val="none"/>
          <w:lang w:val="en-US" w:eastAsia="zh-CN" w:bidi="ar"/>
        </w:rPr>
        <w:t xml:space="preserve">公顷、和静镇 </w:t>
      </w:r>
      <w:r>
        <w:rPr>
          <w:rFonts w:hint="default" w:ascii="Times New Roman" w:hAnsi="Times New Roman" w:eastAsia="宋体" w:cs="Times New Roman"/>
          <w:color w:val="auto"/>
          <w:kern w:val="0"/>
          <w:sz w:val="28"/>
          <w:szCs w:val="28"/>
          <w:highlight w:val="none"/>
          <w:lang w:val="en-US" w:eastAsia="zh-CN" w:bidi="ar"/>
        </w:rPr>
        <w:t xml:space="preserve">6.7258 </w:t>
      </w:r>
      <w:r>
        <w:rPr>
          <w:rFonts w:hint="eastAsia" w:ascii="仿宋" w:hAnsi="仿宋" w:eastAsia="仿宋" w:cs="仿宋"/>
          <w:color w:val="auto"/>
          <w:kern w:val="0"/>
          <w:sz w:val="28"/>
          <w:szCs w:val="28"/>
          <w:highlight w:val="none"/>
          <w:lang w:val="en-US" w:eastAsia="zh-CN" w:bidi="ar"/>
        </w:rPr>
        <w:t xml:space="preserve">公顷、巴润哈尔莫墩镇 </w:t>
      </w:r>
      <w:r>
        <w:rPr>
          <w:rFonts w:hint="default" w:ascii="Times New Roman" w:hAnsi="Times New Roman" w:eastAsia="宋体" w:cs="Times New Roman"/>
          <w:color w:val="auto"/>
          <w:kern w:val="0"/>
          <w:sz w:val="28"/>
          <w:szCs w:val="28"/>
          <w:highlight w:val="none"/>
          <w:lang w:val="en-US" w:eastAsia="zh-CN" w:bidi="ar"/>
        </w:rPr>
        <w:t xml:space="preserve">17.128 </w:t>
      </w:r>
      <w:r>
        <w:rPr>
          <w:rFonts w:hint="eastAsia" w:ascii="仿宋" w:hAnsi="仿宋" w:eastAsia="仿宋" w:cs="仿宋"/>
          <w:color w:val="auto"/>
          <w:kern w:val="0"/>
          <w:sz w:val="28"/>
          <w:szCs w:val="28"/>
          <w:highlight w:val="none"/>
          <w:lang w:val="en-US" w:eastAsia="zh-CN" w:bidi="ar"/>
        </w:rPr>
        <w:t xml:space="preserve">公顷、额勒再特乌鲁乡 </w:t>
      </w:r>
      <w:r>
        <w:rPr>
          <w:rFonts w:hint="default" w:ascii="Times New Roman" w:hAnsi="Times New Roman" w:eastAsia="宋体" w:cs="Times New Roman"/>
          <w:color w:val="auto"/>
          <w:kern w:val="0"/>
          <w:sz w:val="28"/>
          <w:szCs w:val="28"/>
          <w:highlight w:val="none"/>
          <w:lang w:val="en-US" w:eastAsia="zh-CN" w:bidi="ar"/>
        </w:rPr>
        <w:t xml:space="preserve">57.2520 </w:t>
      </w:r>
      <w:r>
        <w:rPr>
          <w:rFonts w:hint="eastAsia" w:ascii="仿宋" w:hAnsi="仿宋" w:eastAsia="仿宋" w:cs="仿宋"/>
          <w:color w:val="auto"/>
          <w:kern w:val="0"/>
          <w:sz w:val="28"/>
          <w:szCs w:val="28"/>
          <w:highlight w:val="none"/>
          <w:lang w:val="en-US" w:eastAsia="zh-CN" w:bidi="ar"/>
        </w:rPr>
        <w:t xml:space="preserve">公顷、良种场 </w:t>
      </w:r>
      <w:r>
        <w:rPr>
          <w:rFonts w:hint="default" w:ascii="Times New Roman" w:hAnsi="Times New Roman" w:eastAsia="宋体" w:cs="Times New Roman"/>
          <w:color w:val="auto"/>
          <w:kern w:val="0"/>
          <w:sz w:val="28"/>
          <w:szCs w:val="28"/>
          <w:highlight w:val="none"/>
          <w:lang w:val="en-US" w:eastAsia="zh-CN" w:bidi="ar"/>
        </w:rPr>
        <w:t xml:space="preserve">7.7361 </w:t>
      </w:r>
      <w:r>
        <w:rPr>
          <w:rFonts w:hint="eastAsia" w:ascii="仿宋" w:hAnsi="仿宋" w:eastAsia="仿宋" w:cs="仿宋"/>
          <w:color w:val="auto"/>
          <w:kern w:val="0"/>
          <w:sz w:val="28"/>
          <w:szCs w:val="28"/>
          <w:highlight w:val="none"/>
          <w:lang w:val="en-US" w:eastAsia="zh-CN" w:bidi="ar"/>
        </w:rPr>
        <w:t xml:space="preserve">公顷、乃门莫墩乡 </w:t>
      </w:r>
      <w:r>
        <w:rPr>
          <w:rFonts w:hint="default" w:ascii="Times New Roman" w:hAnsi="Times New Roman" w:eastAsia="宋体" w:cs="Times New Roman"/>
          <w:color w:val="auto"/>
          <w:kern w:val="0"/>
          <w:sz w:val="28"/>
          <w:szCs w:val="28"/>
          <w:highlight w:val="none"/>
          <w:lang w:val="en-US" w:eastAsia="zh-CN" w:bidi="ar"/>
        </w:rPr>
        <w:t xml:space="preserve">1.4109 </w:t>
      </w:r>
      <w:r>
        <w:rPr>
          <w:rFonts w:hint="eastAsia" w:ascii="仿宋" w:hAnsi="仿宋" w:eastAsia="仿宋" w:cs="仿宋"/>
          <w:color w:val="auto"/>
          <w:kern w:val="0"/>
          <w:sz w:val="28"/>
          <w:szCs w:val="28"/>
          <w:highlight w:val="none"/>
          <w:lang w:val="en-US" w:eastAsia="zh-CN" w:bidi="ar"/>
        </w:rPr>
        <w:t xml:space="preserve">公顷、乌拉斯台农场 </w:t>
      </w:r>
      <w:r>
        <w:rPr>
          <w:rFonts w:hint="default" w:ascii="Times New Roman" w:hAnsi="Times New Roman" w:eastAsia="宋体" w:cs="Times New Roman"/>
          <w:color w:val="auto"/>
          <w:kern w:val="0"/>
          <w:sz w:val="28"/>
          <w:szCs w:val="28"/>
          <w:highlight w:val="none"/>
          <w:lang w:val="en-US" w:eastAsia="zh-CN" w:bidi="ar"/>
        </w:rPr>
        <w:t xml:space="preserve">11.7141 </w:t>
      </w:r>
      <w:r>
        <w:rPr>
          <w:rFonts w:hint="eastAsia" w:ascii="仿宋" w:hAnsi="仿宋" w:eastAsia="仿宋" w:cs="仿宋"/>
          <w:color w:val="auto"/>
          <w:kern w:val="0"/>
          <w:sz w:val="28"/>
          <w:szCs w:val="28"/>
          <w:highlight w:val="none"/>
          <w:lang w:val="en-US" w:eastAsia="zh-CN" w:bidi="ar"/>
        </w:rPr>
        <w:t>公顷</w:t>
      </w:r>
      <w:r>
        <w:rPr>
          <w:rFonts w:hint="eastAsia" w:ascii="Times New Roman" w:hAnsi="Times New Roman" w:eastAsia="方正仿宋_GBK" w:cs="Times New Roman"/>
          <w:color w:val="auto"/>
          <w:spacing w:val="0"/>
          <w:sz w:val="30"/>
          <w:szCs w:val="30"/>
          <w:highlight w:val="none"/>
          <w:lang w:val="en-US" w:eastAsia="zh-CN"/>
        </w:rPr>
        <w:t>等</w:t>
      </w:r>
      <w:r>
        <w:rPr>
          <w:rFonts w:hint="eastAsia"/>
          <w:color w:val="auto"/>
          <w:highlight w:val="none"/>
          <w:lang w:eastAsia="zh-Hans" w:bidi="ar"/>
        </w:rPr>
        <w:t>，预算申请与</w:t>
      </w:r>
      <w:r>
        <w:rPr>
          <w:rFonts w:hint="eastAsia"/>
          <w:color w:val="auto"/>
          <w:highlight w:val="none"/>
          <w:lang w:eastAsia="zh-Hans" w:bidi="ar"/>
        </w:rPr>
        <w:t>《</w:t>
      </w:r>
      <w:r>
        <w:rPr>
          <w:rFonts w:hint="default" w:ascii="Times New Roman" w:hAnsi="Times New Roman" w:eastAsia="宋体" w:cs="Times New Roman"/>
          <w:color w:val="auto"/>
          <w:kern w:val="0"/>
          <w:sz w:val="28"/>
          <w:szCs w:val="28"/>
          <w:highlight w:val="none"/>
          <w:lang w:val="en-US" w:eastAsia="zh-CN" w:bidi="ar"/>
        </w:rPr>
        <w:t xml:space="preserve">2023 </w:t>
      </w:r>
      <w:r>
        <w:rPr>
          <w:rFonts w:ascii="仿宋" w:hAnsi="仿宋" w:eastAsia="仿宋" w:cs="仿宋"/>
          <w:color w:val="auto"/>
          <w:kern w:val="0"/>
          <w:sz w:val="28"/>
          <w:szCs w:val="28"/>
          <w:highlight w:val="none"/>
          <w:lang w:val="en-US" w:eastAsia="zh-CN" w:bidi="ar"/>
        </w:rPr>
        <w:t>年中央财政林业改革发展资金（造林补助）项目实施方案</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7</w:t>
      </w:r>
      <w:r>
        <w:rPr>
          <w:rFonts w:hint="eastAsia"/>
          <w:color w:val="auto"/>
          <w:highlight w:val="none"/>
          <w:lang w:val="en-US" w:eastAsia="zh-CN"/>
        </w:rPr>
        <w:t>15</w:t>
      </w:r>
      <w:r>
        <w:rPr>
          <w:rFonts w:hint="eastAsia"/>
          <w:color w:val="auto"/>
          <w:highlight w:val="none"/>
        </w:rPr>
        <w:t>万元，</w:t>
      </w:r>
      <w:r>
        <w:rPr>
          <w:rFonts w:hint="eastAsia"/>
          <w:color w:val="auto"/>
          <w:highlight w:val="none"/>
        </w:rPr>
        <w:t>我单位在预算申请中严格按照单位标准和数量进行核算，其中：单位标准为</w:t>
      </w:r>
      <w:r>
        <w:rPr>
          <w:rFonts w:hint="eastAsia"/>
          <w:color w:val="auto"/>
          <w:highlight w:val="none"/>
          <w:lang w:eastAsia="zh-CN"/>
        </w:rPr>
        <w:t>购买苗木</w:t>
      </w:r>
      <w:r>
        <w:rPr>
          <w:rFonts w:hint="eastAsia"/>
          <w:color w:val="auto"/>
          <w:highlight w:val="none"/>
        </w:rPr>
        <w:t>，数量为</w:t>
      </w:r>
      <w:r>
        <w:rPr>
          <w:rFonts w:hint="eastAsia"/>
          <w:color w:val="auto"/>
          <w:highlight w:val="none"/>
          <w:lang w:val="en-US" w:eastAsia="zh-CN"/>
        </w:rPr>
        <w:t>1125029株</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default" w:ascii="Times New Roman" w:hAnsi="Times New Roman" w:eastAsia="宋体" w:cs="Times New Roman"/>
          <w:color w:val="auto"/>
          <w:kern w:val="0"/>
          <w:sz w:val="28"/>
          <w:szCs w:val="28"/>
          <w:highlight w:val="none"/>
          <w:lang w:val="en-US" w:eastAsia="zh-CN" w:bidi="ar"/>
        </w:rPr>
        <w:t xml:space="preserve">2023 </w:t>
      </w:r>
      <w:r>
        <w:rPr>
          <w:rFonts w:ascii="仿宋" w:hAnsi="仿宋" w:eastAsia="仿宋" w:cs="仿宋"/>
          <w:color w:val="auto"/>
          <w:kern w:val="0"/>
          <w:sz w:val="28"/>
          <w:szCs w:val="28"/>
          <w:highlight w:val="none"/>
          <w:lang w:val="en-US" w:eastAsia="zh-CN" w:bidi="ar"/>
        </w:rPr>
        <w:t>年中央财政林业改革发展资金（造林补助）项目</w:t>
      </w:r>
      <w:r>
        <w:rPr>
          <w:rFonts w:hint="eastAsia"/>
          <w:color w:val="auto"/>
          <w:highlight w:val="none"/>
          <w:lang w:bidi="ar"/>
        </w:rPr>
        <w:t>资金的请示</w:t>
      </w:r>
      <w:r>
        <w:rPr>
          <w:rFonts w:hint="eastAsia"/>
          <w:color w:val="auto"/>
          <w:highlight w:val="none"/>
          <w:lang w:eastAsia="zh-Hans" w:bidi="ar"/>
        </w:rPr>
        <w:t>》</w:t>
      </w:r>
      <w:r>
        <w:rPr>
          <w:rFonts w:hint="eastAsia"/>
          <w:color w:val="auto"/>
          <w:highlight w:val="none"/>
          <w:lang w:bidi="ar"/>
        </w:rPr>
        <w:t>和《</w:t>
      </w:r>
      <w:r>
        <w:rPr>
          <w:rFonts w:hint="default" w:ascii="Times New Roman" w:hAnsi="Times New Roman" w:eastAsia="宋体" w:cs="Times New Roman"/>
          <w:color w:val="auto"/>
          <w:kern w:val="0"/>
          <w:sz w:val="28"/>
          <w:szCs w:val="28"/>
          <w:highlight w:val="none"/>
          <w:lang w:val="en-US" w:eastAsia="zh-CN" w:bidi="ar"/>
        </w:rPr>
        <w:t xml:space="preserve">2023 </w:t>
      </w:r>
      <w:r>
        <w:rPr>
          <w:rFonts w:ascii="仿宋" w:hAnsi="仿宋" w:eastAsia="仿宋" w:cs="仿宋"/>
          <w:color w:val="auto"/>
          <w:kern w:val="0"/>
          <w:sz w:val="28"/>
          <w:szCs w:val="28"/>
          <w:highlight w:val="none"/>
          <w:lang w:val="en-US" w:eastAsia="zh-CN" w:bidi="ar"/>
        </w:rPr>
        <w:t>年中央财政林业改革发展资金（造林补助）项目</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w:t>
      </w:r>
      <w:r>
        <w:rPr>
          <w:rFonts w:hint="default" w:ascii="Times New Roman" w:hAnsi="Times New Roman" w:eastAsia="宋体" w:cs="Times New Roman"/>
          <w:color w:val="auto"/>
          <w:kern w:val="0"/>
          <w:sz w:val="28"/>
          <w:szCs w:val="28"/>
          <w:highlight w:val="none"/>
          <w:lang w:val="en-US" w:eastAsia="zh-CN" w:bidi="ar"/>
        </w:rPr>
        <w:t xml:space="preserve">2023 </w:t>
      </w:r>
      <w:r>
        <w:rPr>
          <w:rFonts w:ascii="仿宋" w:hAnsi="仿宋" w:eastAsia="仿宋" w:cs="仿宋"/>
          <w:color w:val="auto"/>
          <w:kern w:val="0"/>
          <w:sz w:val="28"/>
          <w:szCs w:val="28"/>
          <w:highlight w:val="none"/>
          <w:lang w:val="en-US" w:eastAsia="zh-CN" w:bidi="ar"/>
        </w:rPr>
        <w:t>年中央财政林业改革发展资金（造林补助）</w:t>
      </w:r>
      <w:r>
        <w:rPr>
          <w:rFonts w:hint="eastAsia"/>
          <w:color w:val="auto"/>
          <w:highlight w:val="none"/>
          <w:lang w:bidi="ar"/>
        </w:rPr>
        <w:t>项目资金下达文件》</w:t>
      </w:r>
      <w:r>
        <w:rPr>
          <w:rFonts w:hint="eastAsia"/>
          <w:color w:val="auto"/>
          <w:highlight w:val="none"/>
          <w:lang w:bidi="ar"/>
        </w:rPr>
        <w:t>文件显示，本项目实际到位资金</w:t>
      </w:r>
      <w:r>
        <w:rPr>
          <w:rFonts w:hint="eastAsia"/>
          <w:color w:val="auto"/>
          <w:highlight w:val="none"/>
          <w:lang w:val="en-US" w:eastAsia="zh-CN" w:bidi="ar"/>
        </w:rPr>
        <w:t>715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715</w:t>
      </w:r>
      <w:r>
        <w:rPr>
          <w:rFonts w:hint="eastAsia"/>
          <w:color w:val="auto"/>
          <w:highlight w:val="none"/>
        </w:rPr>
        <w:t>万元，其中：本级财政安排资金</w:t>
      </w:r>
      <w:r>
        <w:rPr>
          <w:rFonts w:hint="eastAsia"/>
          <w:color w:val="auto"/>
          <w:highlight w:val="none"/>
          <w:lang w:val="en-US" w:eastAsia="zh-CN"/>
        </w:rPr>
        <w:t>7</w:t>
      </w:r>
      <w:r>
        <w:rPr>
          <w:rFonts w:hint="eastAsia"/>
          <w:color w:val="auto"/>
          <w:highlight w:val="none"/>
          <w:lang w:val="en-US" w:eastAsia="zh-CN"/>
        </w:rPr>
        <w:t>15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715</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715</w:t>
      </w:r>
      <w:r>
        <w:rPr>
          <w:rFonts w:hint="eastAsia"/>
          <w:color w:val="auto"/>
          <w:highlight w:val="none"/>
        </w:rPr>
        <w:t>/</w:t>
      </w:r>
      <w:r>
        <w:rPr>
          <w:rFonts w:hint="eastAsia"/>
          <w:color w:val="auto"/>
          <w:highlight w:val="none"/>
          <w:lang w:val="en-US" w:eastAsia="zh-CN"/>
        </w:rPr>
        <w:t>715</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591.9384</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591.9384</w:t>
      </w:r>
      <w:r>
        <w:rPr>
          <w:rFonts w:hint="eastAsia"/>
          <w:color w:val="auto"/>
          <w:highlight w:val="none"/>
        </w:rPr>
        <w:t>/</w:t>
      </w:r>
      <w:r>
        <w:rPr>
          <w:rFonts w:hint="eastAsia"/>
          <w:color w:val="auto"/>
          <w:highlight w:val="none"/>
          <w:lang w:val="en-US" w:eastAsia="zh-CN"/>
        </w:rPr>
        <w:t>715</w:t>
      </w:r>
      <w:r>
        <w:rPr>
          <w:rFonts w:hint="eastAsia"/>
          <w:color w:val="auto"/>
          <w:highlight w:val="none"/>
        </w:rPr>
        <w:t>）*100%=</w:t>
      </w:r>
      <w:r>
        <w:rPr>
          <w:rFonts w:hint="eastAsia"/>
          <w:color w:val="auto"/>
          <w:highlight w:val="none"/>
          <w:lang w:val="en-US" w:eastAsia="zh-CN"/>
        </w:rPr>
        <w:t>82.8</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82.8</w:t>
      </w:r>
      <w:r>
        <w:rPr>
          <w:rFonts w:hint="eastAsia"/>
          <w:color w:val="auto"/>
          <w:highlight w:val="none"/>
        </w:rPr>
        <w:t>%*7=</w:t>
      </w:r>
      <w:r>
        <w:rPr>
          <w:rFonts w:hint="eastAsia"/>
          <w:color w:val="auto"/>
          <w:highlight w:val="none"/>
          <w:lang w:val="en-US" w:eastAsia="zh-CN"/>
        </w:rPr>
        <w:t>5.8</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5.8</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eastAsia="zh-CN"/>
        </w:rPr>
        <w:t>和静县林草局</w:t>
      </w:r>
      <w:r>
        <w:rPr>
          <w:rFonts w:hint="eastAsia"/>
          <w:color w:val="auto"/>
          <w:highlight w:val="none"/>
        </w:rPr>
        <w:t>单位</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val="en-US" w:eastAsia="zh-CN"/>
        </w:rPr>
        <w:t>和静县林草局</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eastAsia="zh-CN"/>
        </w:rPr>
        <w:t>和静县林草局</w:t>
      </w:r>
      <w:r>
        <w:rPr>
          <w:rFonts w:hint="eastAsia"/>
          <w:color w:val="auto"/>
          <w:highlight w:val="none"/>
        </w:rPr>
        <w:t>资金管理办法》《</w:t>
      </w:r>
      <w:r>
        <w:rPr>
          <w:rFonts w:hint="eastAsia"/>
          <w:color w:val="auto"/>
          <w:highlight w:val="none"/>
          <w:lang w:eastAsia="zh-CN"/>
        </w:rPr>
        <w:t>和静县林草局</w:t>
      </w:r>
      <w:r>
        <w:rPr>
          <w:rFonts w:hint="eastAsia"/>
          <w:color w:val="auto"/>
          <w:highlight w:val="none"/>
        </w:rPr>
        <w:t>收支业务管理制度》《</w:t>
      </w:r>
      <w:r>
        <w:rPr>
          <w:rFonts w:hint="eastAsia"/>
          <w:color w:val="auto"/>
          <w:highlight w:val="none"/>
          <w:lang w:eastAsia="zh-CN"/>
        </w:rPr>
        <w:t>和静县林草局</w:t>
      </w:r>
      <w:r>
        <w:rPr>
          <w:rFonts w:hint="eastAsia"/>
          <w:color w:val="auto"/>
          <w:highlight w:val="none"/>
        </w:rPr>
        <w:t>政府采购业务管理制度》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default" w:ascii="Times New Roman" w:hAnsi="Times New Roman" w:eastAsia="宋体" w:cs="Times New Roman"/>
          <w:color w:val="auto"/>
          <w:kern w:val="0"/>
          <w:sz w:val="28"/>
          <w:szCs w:val="28"/>
          <w:highlight w:val="none"/>
          <w:lang w:val="en-US" w:eastAsia="zh-CN" w:bidi="ar"/>
        </w:rPr>
        <w:t xml:space="preserve">2023 </w:t>
      </w:r>
      <w:r>
        <w:rPr>
          <w:rFonts w:ascii="仿宋" w:hAnsi="仿宋" w:eastAsia="仿宋" w:cs="仿宋"/>
          <w:color w:val="auto"/>
          <w:kern w:val="0"/>
          <w:sz w:val="28"/>
          <w:szCs w:val="28"/>
          <w:highlight w:val="none"/>
          <w:lang w:val="en-US" w:eastAsia="zh-CN" w:bidi="ar"/>
        </w:rPr>
        <w:t>年中央财政林业改革发展资金（造林补助）</w:t>
      </w:r>
      <w:r>
        <w:rPr>
          <w:rFonts w:hint="eastAsia"/>
          <w:color w:val="auto"/>
          <w:highlight w:val="none"/>
        </w:rPr>
        <w:t>项目工作领导小组，</w:t>
      </w:r>
      <w:r>
        <w:rPr>
          <w:rFonts w:hint="eastAsia"/>
          <w:color w:val="auto"/>
          <w:highlight w:val="none"/>
        </w:rPr>
        <w:t>由党组书记</w:t>
      </w:r>
      <w:r>
        <w:rPr>
          <w:rFonts w:hint="eastAsia"/>
          <w:color w:val="auto"/>
          <w:highlight w:val="none"/>
          <w:lang w:eastAsia="zh-CN"/>
        </w:rPr>
        <w:t>刘军</w:t>
      </w:r>
      <w:r>
        <w:rPr>
          <w:rFonts w:hint="eastAsia"/>
          <w:color w:val="auto"/>
          <w:highlight w:val="none"/>
        </w:rPr>
        <w:t>任组长，负责项目的组织工作；</w:t>
      </w:r>
      <w:r>
        <w:rPr>
          <w:rFonts w:hint="eastAsia"/>
          <w:color w:val="auto"/>
          <w:highlight w:val="none"/>
          <w:lang w:eastAsia="zh-CN"/>
        </w:rPr>
        <w:t>孙继华</w:t>
      </w:r>
      <w:r>
        <w:rPr>
          <w:rFonts w:hint="eastAsia"/>
          <w:color w:val="auto"/>
          <w:highlight w:val="none"/>
        </w:rPr>
        <w:t>任副组长，负责项目的实施工作；组员包括：</w:t>
      </w:r>
      <w:r>
        <w:rPr>
          <w:rFonts w:hint="eastAsia"/>
          <w:color w:val="auto"/>
          <w:highlight w:val="none"/>
          <w:lang w:eastAsia="zh-CN"/>
        </w:rPr>
        <w:t>马学武</w:t>
      </w:r>
      <w:r>
        <w:rPr>
          <w:rFonts w:hint="eastAsia"/>
          <w:color w:val="auto"/>
          <w:highlight w:val="none"/>
        </w:rPr>
        <w:t>和</w:t>
      </w:r>
      <w:r>
        <w:rPr>
          <w:rFonts w:hint="eastAsia"/>
          <w:color w:val="auto"/>
          <w:highlight w:val="none"/>
          <w:lang w:eastAsia="zh-CN"/>
        </w:rPr>
        <w:t>王蕊琣</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13.59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rFonts w:hint="eastAsia"/>
          <w:color w:val="auto"/>
          <w:highlight w:val="none"/>
        </w:rPr>
      </w:pPr>
      <w:r>
        <w:rPr>
          <w:rFonts w:hint="eastAsia"/>
          <w:color w:val="auto"/>
          <w:highlight w:val="none"/>
        </w:rPr>
        <w:t>“造林面积”指标：预期指标值为=1.10万亩，实际完成指标值为</w:t>
      </w:r>
      <w:r>
        <w:rPr>
          <w:rFonts w:hint="eastAsia"/>
          <w:color w:val="auto"/>
          <w:highlight w:val="none"/>
          <w:lang w:val="en-US" w:eastAsia="zh-CN"/>
        </w:rPr>
        <w:t>1.1万亩</w:t>
      </w:r>
      <w:r>
        <w:rPr>
          <w:rFonts w:hint="eastAsia"/>
          <w:color w:val="auto"/>
          <w:highlight w:val="none"/>
        </w:rPr>
        <w:t>，指标完成率为</w:t>
      </w:r>
      <w:r>
        <w:rPr>
          <w:rFonts w:hint="default"/>
          <w:color w:val="auto"/>
          <w:highlight w:val="none"/>
        </w:rPr>
        <w:t>100</w:t>
      </w:r>
      <w:r>
        <w:rPr>
          <w:rFonts w:hint="eastAsia"/>
          <w:color w:val="auto"/>
          <w:highlight w:val="none"/>
        </w:rPr>
        <w:t>%，偏差率</w:t>
      </w:r>
      <w:r>
        <w:rPr>
          <w:rFonts w:hint="default"/>
          <w:color w:val="auto"/>
          <w:highlight w:val="none"/>
        </w:rPr>
        <w:t>0</w:t>
      </w:r>
      <w:r>
        <w:rPr>
          <w:rFonts w:hint="eastAsia"/>
          <w:color w:val="auto"/>
          <w:highlight w:val="none"/>
        </w:rPr>
        <w:t>%；</w:t>
      </w:r>
    </w:p>
    <w:p>
      <w:pPr>
        <w:pStyle w:val="2"/>
        <w:ind w:firstLine="562"/>
        <w:rPr>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质量指标完成情况分析</w:t>
      </w:r>
    </w:p>
    <w:p>
      <w:pPr>
        <w:ind w:firstLine="560"/>
        <w:rPr>
          <w:rFonts w:hint="eastAsia"/>
          <w:color w:val="auto"/>
          <w:highlight w:val="none"/>
          <w:lang w:val="en-US" w:eastAsia="zh-CN"/>
        </w:rPr>
      </w:pPr>
      <w:r>
        <w:rPr>
          <w:rFonts w:hint="eastAsia"/>
          <w:color w:val="auto"/>
          <w:highlight w:val="none"/>
          <w:lang w:val="en-US" w:eastAsia="zh-CN"/>
        </w:rPr>
        <w:t>“造林任务完成合格率”指标，预期指标值为≥85%，</w:t>
      </w:r>
      <w:r>
        <w:rPr>
          <w:rFonts w:hint="eastAsia"/>
          <w:color w:val="auto"/>
          <w:highlight w:val="none"/>
        </w:rPr>
        <w:t>实际完成指标值为</w:t>
      </w:r>
      <w:r>
        <w:rPr>
          <w:rFonts w:hint="eastAsia"/>
          <w:color w:val="auto"/>
          <w:highlight w:val="none"/>
          <w:lang w:val="en-US" w:eastAsia="zh-CN"/>
        </w:rPr>
        <w:t>75</w:t>
      </w:r>
      <w:r>
        <w:rPr>
          <w:rFonts w:hint="eastAsia"/>
          <w:color w:val="auto"/>
          <w:highlight w:val="none"/>
        </w:rPr>
        <w:t>%，指标完成率为</w:t>
      </w:r>
      <w:r>
        <w:rPr>
          <w:rFonts w:hint="eastAsia"/>
          <w:color w:val="auto"/>
          <w:highlight w:val="none"/>
          <w:lang w:val="en-US" w:eastAsia="zh-CN"/>
        </w:rPr>
        <w:t>88</w:t>
      </w:r>
      <w:r>
        <w:rPr>
          <w:rFonts w:hint="eastAsia"/>
          <w:color w:val="auto"/>
          <w:highlight w:val="none"/>
        </w:rPr>
        <w:t>%，偏差率</w:t>
      </w:r>
      <w:r>
        <w:rPr>
          <w:rFonts w:hint="eastAsia"/>
          <w:color w:val="auto"/>
          <w:highlight w:val="none"/>
          <w:lang w:val="en-US" w:eastAsia="zh-CN"/>
        </w:rPr>
        <w:t>12</w:t>
      </w:r>
      <w:r>
        <w:rPr>
          <w:rFonts w:hint="eastAsia"/>
          <w:color w:val="auto"/>
          <w:highlight w:val="none"/>
        </w:rPr>
        <w:t>%</w:t>
      </w:r>
      <w:r>
        <w:rPr>
          <w:rFonts w:hint="eastAsia"/>
          <w:color w:val="auto"/>
          <w:highlight w:val="none"/>
          <w:lang w:val="en-US" w:eastAsia="zh-CN"/>
        </w:rPr>
        <w:t>；</w:t>
      </w:r>
      <w:r>
        <w:rPr>
          <w:rFonts w:hint="eastAsia"/>
          <w:color w:val="auto"/>
          <w:highlight w:val="none"/>
        </w:rPr>
        <w:t>偏差主要原因是：年初设定目标较高。拟采取得改进措施：今后将加强对项目实施的调研，提高实施方案编制精度，强化目标制定的准确性，项目实施过程中，加强沟通及时反映项目情况，促进项目保质保量完成</w:t>
      </w:r>
      <w:r>
        <w:rPr>
          <w:rFonts w:hint="eastAsia"/>
          <w:color w:val="auto"/>
          <w:highlight w:val="none"/>
          <w:lang w:eastAsia="zh-CN"/>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造林当期任务完成率</w:t>
      </w:r>
      <w:r>
        <w:rPr>
          <w:rFonts w:hint="eastAsia"/>
          <w:color w:val="auto"/>
          <w:highlight w:val="none"/>
        </w:rPr>
        <w:t>”指标，预期指标值为</w:t>
      </w:r>
      <w:r>
        <w:rPr>
          <w:rFonts w:hint="eastAsia"/>
          <w:color w:val="auto"/>
          <w:highlight w:val="none"/>
          <w:lang w:val="en-US" w:eastAsia="zh-CN"/>
        </w:rPr>
        <w:t>≥90%</w:t>
      </w:r>
      <w:r>
        <w:rPr>
          <w:rFonts w:hint="eastAsia"/>
          <w:color w:val="auto"/>
          <w:highlight w:val="none"/>
        </w:rPr>
        <w:t>，实际完成指标值为90%，指标完成率为</w:t>
      </w:r>
      <w:r>
        <w:rPr>
          <w:rFonts w:hint="default"/>
          <w:color w:val="auto"/>
          <w:highlight w:val="none"/>
        </w:rPr>
        <w:t>100</w:t>
      </w:r>
      <w:r>
        <w:rPr>
          <w:rFonts w:hint="eastAsia"/>
          <w:color w:val="auto"/>
          <w:highlight w:val="none"/>
        </w:rPr>
        <w:t>%，偏差率</w:t>
      </w:r>
      <w:r>
        <w:rPr>
          <w:rFonts w:hint="default"/>
          <w:color w:val="auto"/>
          <w:highlight w:val="none"/>
        </w:rPr>
        <w:t>0</w:t>
      </w:r>
      <w:r>
        <w:rPr>
          <w:rFonts w:hint="eastAsia"/>
          <w:color w:val="auto"/>
          <w:highlight w:val="none"/>
        </w:rPr>
        <w:t>%;</w:t>
      </w:r>
    </w:p>
    <w:p>
      <w:pPr>
        <w:pStyle w:val="4"/>
        <w:ind w:firstLine="643"/>
        <w:rPr>
          <w:rFonts w:hint="eastAsia"/>
          <w:color w:val="auto"/>
          <w:highlight w:val="none"/>
          <w:lang w:val="en-US" w:eastAsia="zh-CN"/>
        </w:rPr>
      </w:pPr>
      <w:r>
        <w:rPr>
          <w:rFonts w:hint="eastAsia"/>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14</w:t>
      </w:r>
      <w:r>
        <w:rPr>
          <w:rFonts w:hint="eastAsia"/>
          <w:color w:val="auto"/>
          <w:highlight w:val="none"/>
          <w:lang w:val="zh-TW" w:eastAsia="zh-TW"/>
        </w:rPr>
        <w:t>分，实际得分</w:t>
      </w:r>
      <w:r>
        <w:rPr>
          <w:rFonts w:hint="eastAsia"/>
          <w:color w:val="auto"/>
          <w:highlight w:val="none"/>
          <w:lang w:val="en-US" w:eastAsia="zh-CN"/>
        </w:rPr>
        <w:t>14</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退化林修复补助标准</w:t>
      </w:r>
      <w:r>
        <w:rPr>
          <w:rFonts w:hint="eastAsia"/>
          <w:color w:val="auto"/>
          <w:highlight w:val="none"/>
        </w:rPr>
        <w:t>”指标，预期指标值为</w:t>
      </w:r>
      <w:r>
        <w:rPr>
          <w:rFonts w:hint="eastAsia"/>
          <w:color w:val="auto"/>
          <w:highlight w:val="none"/>
          <w:lang w:val="en-US" w:eastAsia="zh-CN"/>
        </w:rPr>
        <w:t>650元/亩</w:t>
      </w:r>
      <w:r>
        <w:rPr>
          <w:rFonts w:hint="eastAsia"/>
          <w:color w:val="auto"/>
          <w:highlight w:val="none"/>
        </w:rPr>
        <w:t>，实际完成指标值为</w:t>
      </w:r>
      <w:r>
        <w:rPr>
          <w:rFonts w:hint="eastAsia"/>
          <w:color w:val="auto"/>
          <w:highlight w:val="none"/>
          <w:lang w:val="en-US" w:eastAsia="zh-CN"/>
        </w:rPr>
        <w:t>650元/亩</w:t>
      </w:r>
      <w:r>
        <w:rPr>
          <w:rFonts w:hint="eastAsia"/>
          <w:color w:val="auto"/>
          <w:highlight w:val="none"/>
        </w:rPr>
        <w:t>，指标完成率为</w:t>
      </w:r>
      <w:r>
        <w:rPr>
          <w:rFonts w:hint="default"/>
          <w:color w:val="auto"/>
          <w:highlight w:val="none"/>
        </w:rPr>
        <w:t>100</w:t>
      </w:r>
      <w:r>
        <w:rPr>
          <w:rFonts w:hint="eastAsia"/>
          <w:color w:val="auto"/>
          <w:highlight w:val="none"/>
        </w:rPr>
        <w:t>%，偏差率</w:t>
      </w:r>
      <w:r>
        <w:rPr>
          <w:rFonts w:hint="default"/>
          <w:color w:val="auto"/>
          <w:highlight w:val="none"/>
        </w:rPr>
        <w:t>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20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left="0" w:leftChars="0" w:firstLine="560" w:firstLineChars="20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提高生态环境质量</w:t>
      </w:r>
      <w:r>
        <w:rPr>
          <w:rFonts w:hint="eastAsia"/>
          <w:color w:val="auto"/>
          <w:highlight w:val="none"/>
        </w:rPr>
        <w:t>”指标：预期指标值为</w:t>
      </w:r>
      <w:r>
        <w:rPr>
          <w:rFonts w:hint="eastAsia"/>
          <w:color w:val="auto"/>
          <w:highlight w:val="none"/>
          <w:lang w:eastAsia="zh-CN"/>
        </w:rPr>
        <w:t>明显</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lang w:eastAsia="zh-CN"/>
        </w:rPr>
        <w:t>提升乡村绿化率</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85%</w:t>
      </w:r>
      <w:r>
        <w:rPr>
          <w:rFonts w:hint="eastAsia"/>
          <w:color w:val="auto"/>
          <w:highlight w:val="none"/>
        </w:rPr>
        <w:t>，实际完成指标值为</w:t>
      </w:r>
      <w:r>
        <w:rPr>
          <w:rFonts w:hint="eastAsia"/>
          <w:color w:val="auto"/>
          <w:highlight w:val="none"/>
          <w:lang w:val="en-US" w:eastAsia="zh-CN"/>
        </w:rPr>
        <w:t>80%</w:t>
      </w:r>
      <w:r>
        <w:rPr>
          <w:rFonts w:hint="eastAsia"/>
          <w:color w:val="auto"/>
          <w:highlight w:val="none"/>
        </w:rPr>
        <w:t>，指标完成率为</w:t>
      </w:r>
      <w:r>
        <w:rPr>
          <w:rFonts w:hint="eastAsia"/>
          <w:color w:val="auto"/>
          <w:highlight w:val="none"/>
          <w:lang w:val="en-US" w:eastAsia="zh-CN"/>
        </w:rPr>
        <w:t>94</w:t>
      </w:r>
      <w:r>
        <w:rPr>
          <w:rFonts w:hint="eastAsia"/>
          <w:color w:val="auto"/>
          <w:highlight w:val="none"/>
        </w:rPr>
        <w:t>%，偏差率</w:t>
      </w:r>
      <w:r>
        <w:rPr>
          <w:rFonts w:hint="eastAsia"/>
          <w:color w:val="auto"/>
          <w:highlight w:val="none"/>
          <w:lang w:val="en-US" w:eastAsia="zh-CN"/>
        </w:rPr>
        <w:t>6</w:t>
      </w:r>
      <w:r>
        <w:rPr>
          <w:rFonts w:hint="eastAsia"/>
          <w:color w:val="auto"/>
          <w:highlight w:val="none"/>
        </w:rPr>
        <w:t>%</w:t>
      </w:r>
      <w:r>
        <w:rPr>
          <w:rFonts w:hint="eastAsia"/>
          <w:color w:val="auto"/>
          <w:highlight w:val="none"/>
          <w:lang w:eastAsia="zh-CN"/>
        </w:rPr>
        <w:t>，</w:t>
      </w:r>
      <w:r>
        <w:rPr>
          <w:rFonts w:hint="eastAsia"/>
          <w:color w:val="auto"/>
          <w:highlight w:val="none"/>
        </w:rPr>
        <w:t>偏差主要原因是：年初设定目标较高。拟采取得改进措施：今后将加强对项目实施的调研，提高实施方案编制精度，强化目标制定的准确性，项目实施过程中，加强沟通及时反映项目情况，促进项目保质保量完成。</w:t>
      </w:r>
      <w:r>
        <w:rPr>
          <w:rFonts w:hint="eastAsia"/>
          <w:color w:val="auto"/>
          <w:highlight w:val="none"/>
          <w:lang w:eastAsia="zh-CN"/>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林区职工及周边群众满意度</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715</w:t>
      </w:r>
      <w:r>
        <w:rPr>
          <w:rFonts w:hint="eastAsia"/>
          <w:color w:val="auto"/>
          <w:highlight w:val="none"/>
          <w:lang w:val="en-US" w:eastAsia="zh-CN"/>
        </w:rPr>
        <w:t>万元，全年预算数为</w:t>
      </w:r>
      <w:r>
        <w:rPr>
          <w:rFonts w:hint="eastAsia"/>
          <w:color w:val="auto"/>
          <w:highlight w:val="none"/>
          <w:lang w:val="en-US" w:eastAsia="zh-CN"/>
        </w:rPr>
        <w:t>715</w:t>
      </w:r>
      <w:r>
        <w:rPr>
          <w:rFonts w:hint="eastAsia"/>
          <w:color w:val="auto"/>
          <w:highlight w:val="none"/>
          <w:lang w:val="en-US" w:eastAsia="zh-CN"/>
        </w:rPr>
        <w:t>万元，全年执行数为</w:t>
      </w:r>
      <w:r>
        <w:rPr>
          <w:rFonts w:hint="eastAsia"/>
          <w:color w:val="auto"/>
          <w:highlight w:val="none"/>
          <w:lang w:val="en-US" w:eastAsia="zh-CN"/>
        </w:rPr>
        <w:t>591.9384</w:t>
      </w:r>
      <w:r>
        <w:rPr>
          <w:rFonts w:hint="eastAsia"/>
          <w:color w:val="auto"/>
          <w:highlight w:val="none"/>
          <w:lang w:val="en-US" w:eastAsia="zh-CN"/>
        </w:rPr>
        <w:t>万元，预算执行率为</w:t>
      </w:r>
      <w:r>
        <w:rPr>
          <w:rFonts w:hint="eastAsia"/>
          <w:color w:val="auto"/>
          <w:highlight w:val="none"/>
          <w:lang w:val="en-US" w:eastAsia="zh-CN"/>
        </w:rPr>
        <w:t>82.8</w:t>
      </w:r>
      <w:r>
        <w:rPr>
          <w:rFonts w:hint="eastAsia"/>
          <w:color w:val="auto"/>
          <w:highlight w:val="none"/>
          <w:lang w:val="en-US" w:eastAsia="zh-CN"/>
        </w:rPr>
        <w:t>%。</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w:t>
      </w:r>
      <w:r>
        <w:rPr>
          <w:rFonts w:hint="eastAsia"/>
          <w:color w:val="auto"/>
          <w:highlight w:val="none"/>
          <w:lang w:val="en-US" w:eastAsia="zh-CN"/>
        </w:rPr>
        <w:t>5</w:t>
      </w:r>
      <w:r>
        <w:rPr>
          <w:rFonts w:hint="eastAsia"/>
          <w:color w:val="auto"/>
          <w:highlight w:val="none"/>
          <w:lang w:val="en-US" w:eastAsia="zh-CN"/>
        </w:rPr>
        <w:t>个，扣分指标数量</w:t>
      </w:r>
      <w:r>
        <w:rPr>
          <w:rFonts w:hint="eastAsia"/>
          <w:color w:val="auto"/>
          <w:highlight w:val="none"/>
          <w:lang w:val="en-US" w:eastAsia="zh-CN"/>
        </w:rPr>
        <w:t>3</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98.06</w:t>
      </w:r>
      <w:r>
        <w:rPr>
          <w:rFonts w:hint="eastAsia"/>
          <w:color w:val="auto"/>
          <w:highlight w:val="none"/>
          <w:lang w:val="zh-TW" w:eastAsia="zh-TW"/>
        </w:rPr>
        <w:t>%</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15.26</w:t>
      </w:r>
      <w:r>
        <w:rPr>
          <w:rFonts w:hint="eastAsia"/>
          <w:color w:val="auto"/>
          <w:highlight w:val="none"/>
          <w:lang w:val="en-US" w:eastAsia="zh-CN"/>
        </w:rPr>
        <w:t>%。</w:t>
      </w:r>
    </w:p>
    <w:p>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15.26</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en-US" w:eastAsia="zh-CN"/>
        </w:rPr>
        <w:t>造林绿化</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，年初设定目标较高。拟采取得改进措施：今后将加强对项目实施的调研，提高实施方案编制精度，强化目标制定的准确性，项目实施过程中，加强沟通及时反映项目情况，促进项目保质保量完成。</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5"/>
        </w:numPr>
        <w:ind w:firstLine="643"/>
        <w:rPr>
          <w:color w:val="auto"/>
          <w:highlight w:val="none"/>
        </w:rPr>
      </w:pPr>
      <w:bookmarkStart w:id="13" w:name="_Toc28290"/>
      <w:bookmarkStart w:id="14" w:name="_Toc1921"/>
      <w:r>
        <w:rPr>
          <w:rFonts w:hint="eastAsia"/>
          <w:color w:val="auto"/>
          <w:highlight w:val="none"/>
        </w:rPr>
        <w:t>主要经验及做法</w:t>
      </w:r>
    </w:p>
    <w:bookmarkEnd w:id="13"/>
    <w:bookmarkEnd w:id="14"/>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b/>
          <w:bCs/>
          <w:color w:val="auto"/>
          <w:highlight w:val="none"/>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pPr>
        <w:pStyle w:val="4"/>
        <w:numPr>
          <w:ilvl w:val="0"/>
          <w:numId w:val="5"/>
        </w:numPr>
        <w:ind w:firstLine="643"/>
        <w:rPr>
          <w:color w:val="auto"/>
          <w:highlight w:val="none"/>
        </w:rPr>
      </w:pPr>
      <w:r>
        <w:rPr>
          <w:rFonts w:hint="eastAsia"/>
          <w:color w:val="auto"/>
          <w:highlight w:val="none"/>
        </w:rPr>
        <w:t>存在的问题及原因分析</w:t>
      </w:r>
    </w:p>
    <w:p>
      <w:pPr>
        <w:pStyle w:val="3"/>
        <w:ind w:firstLine="640"/>
        <w:rPr>
          <w:rFonts w:hint="eastAsia" w:ascii="宋体" w:hAnsi="宋体" w:eastAsia="仿宋_GB2312" w:cs="宋体"/>
          <w:b w:val="0"/>
          <w:color w:val="auto"/>
          <w:kern w:val="0"/>
          <w:sz w:val="28"/>
          <w:szCs w:val="21"/>
          <w:highlight w:val="none"/>
          <w:lang w:val="en-US" w:eastAsia="zh-CN" w:bidi="ar"/>
        </w:rPr>
      </w:pPr>
      <w:r>
        <w:rPr>
          <w:rFonts w:hint="eastAsia" w:ascii="宋体" w:hAnsi="宋体" w:eastAsia="仿宋_GB2312" w:cs="宋体"/>
          <w:b w:val="0"/>
          <w:color w:val="auto"/>
          <w:kern w:val="0"/>
          <w:sz w:val="28"/>
          <w:szCs w:val="21"/>
          <w:highlight w:val="none"/>
          <w:lang w:val="en-US" w:eastAsia="zh-CN" w:bidi="ar"/>
        </w:rPr>
        <w:t>植树造林的实施过程中面临的最大问题之一是种植区域太大，树木无法在相对较短的时间内实施种植，从而使植树造林工作效率低下，影响种植效果。此外，由于植树造林常常在封闭的环境中进行，易受外界环境因素影响，这种影响往往使植物生长收到影响，从而影响造林效果。</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3"/>
        <w:ind w:firstLine="640"/>
        <w:rPr>
          <w:rFonts w:hint="eastAsia" w:ascii="宋体" w:hAnsi="宋体" w:eastAsia="仿宋_GB2312" w:cs="宋体"/>
          <w:b w:val="0"/>
          <w:color w:val="auto"/>
          <w:kern w:val="0"/>
          <w:sz w:val="28"/>
          <w:szCs w:val="21"/>
          <w:highlight w:val="none"/>
          <w:lang w:val="en-US" w:eastAsia="zh-CN" w:bidi="ar"/>
        </w:rPr>
      </w:pPr>
      <w:r>
        <w:rPr>
          <w:rFonts w:hint="eastAsia" w:ascii="宋体" w:hAnsi="宋体" w:eastAsia="仿宋_GB2312" w:cs="宋体"/>
          <w:b w:val="0"/>
          <w:color w:val="auto"/>
          <w:kern w:val="0"/>
          <w:sz w:val="28"/>
          <w:szCs w:val="21"/>
          <w:highlight w:val="none"/>
          <w:lang w:val="en-US" w:eastAsia="zh-CN" w:bidi="ar"/>
        </w:rPr>
        <w:t>召开乡镇主要领导会议，安排部署造林整地和造林工作。坚持科学植树，避免种植苗木规格太大，苗木太大影响成活率，同时也破坏异地生态环境；避免种植密度过大，避免片面追求景观效果。</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5"/>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CEC83991"/>
    <w:multiLevelType w:val="singleLevel"/>
    <w:tmpl w:val="CEC83991"/>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yNWIyN2U5MGRjZWI3NDI1NzVmMTAwMGYyYWYyODc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04135B"/>
    <w:rsid w:val="0259180A"/>
    <w:rsid w:val="034818B7"/>
    <w:rsid w:val="03BA14E7"/>
    <w:rsid w:val="03BB00BF"/>
    <w:rsid w:val="03BD5643"/>
    <w:rsid w:val="04FF572D"/>
    <w:rsid w:val="056E2950"/>
    <w:rsid w:val="06047A63"/>
    <w:rsid w:val="062722BF"/>
    <w:rsid w:val="066F70AA"/>
    <w:rsid w:val="06A63E31"/>
    <w:rsid w:val="0708351A"/>
    <w:rsid w:val="083F20F3"/>
    <w:rsid w:val="08AF7315"/>
    <w:rsid w:val="08EB1A8B"/>
    <w:rsid w:val="09944CF1"/>
    <w:rsid w:val="099D6902"/>
    <w:rsid w:val="09C57D96"/>
    <w:rsid w:val="0A401CF1"/>
    <w:rsid w:val="0AD64679"/>
    <w:rsid w:val="0ADC6325"/>
    <w:rsid w:val="0B3A62F3"/>
    <w:rsid w:val="0BAD35D5"/>
    <w:rsid w:val="0C855C27"/>
    <w:rsid w:val="0CB12375"/>
    <w:rsid w:val="0CD126D9"/>
    <w:rsid w:val="0D537DC9"/>
    <w:rsid w:val="0D885E3E"/>
    <w:rsid w:val="0DAE2941"/>
    <w:rsid w:val="0DB13246"/>
    <w:rsid w:val="0E5451B9"/>
    <w:rsid w:val="0E760F4E"/>
    <w:rsid w:val="0E8E638E"/>
    <w:rsid w:val="0EA2383D"/>
    <w:rsid w:val="0F9F0794"/>
    <w:rsid w:val="1103023A"/>
    <w:rsid w:val="11570ACE"/>
    <w:rsid w:val="118C0775"/>
    <w:rsid w:val="11D742E0"/>
    <w:rsid w:val="11DE7133"/>
    <w:rsid w:val="128D0D77"/>
    <w:rsid w:val="12F1313F"/>
    <w:rsid w:val="13291EEB"/>
    <w:rsid w:val="15081509"/>
    <w:rsid w:val="15375586"/>
    <w:rsid w:val="15C33B93"/>
    <w:rsid w:val="1609105D"/>
    <w:rsid w:val="16D66ED1"/>
    <w:rsid w:val="17AF7810"/>
    <w:rsid w:val="18016905"/>
    <w:rsid w:val="18574ED5"/>
    <w:rsid w:val="194903DC"/>
    <w:rsid w:val="199E60EA"/>
    <w:rsid w:val="1A002E18"/>
    <w:rsid w:val="1A041D47"/>
    <w:rsid w:val="1BBB6279"/>
    <w:rsid w:val="1BEA0FE8"/>
    <w:rsid w:val="1C4A596B"/>
    <w:rsid w:val="1D733699"/>
    <w:rsid w:val="1D8474BA"/>
    <w:rsid w:val="1E837FF7"/>
    <w:rsid w:val="1EC03AE1"/>
    <w:rsid w:val="1FDC50EC"/>
    <w:rsid w:val="204B4CC1"/>
    <w:rsid w:val="20A2086D"/>
    <w:rsid w:val="20A32962"/>
    <w:rsid w:val="20B21A37"/>
    <w:rsid w:val="20DC6683"/>
    <w:rsid w:val="211D2FE5"/>
    <w:rsid w:val="21817779"/>
    <w:rsid w:val="21A41209"/>
    <w:rsid w:val="22AE149C"/>
    <w:rsid w:val="239323A5"/>
    <w:rsid w:val="23B67204"/>
    <w:rsid w:val="23C93BD9"/>
    <w:rsid w:val="245E1E24"/>
    <w:rsid w:val="2555389C"/>
    <w:rsid w:val="256845EA"/>
    <w:rsid w:val="25A91CF5"/>
    <w:rsid w:val="25D52180"/>
    <w:rsid w:val="25F25830"/>
    <w:rsid w:val="26333A1F"/>
    <w:rsid w:val="26EF3957"/>
    <w:rsid w:val="289879A1"/>
    <w:rsid w:val="28A61969"/>
    <w:rsid w:val="28E60D8A"/>
    <w:rsid w:val="29997022"/>
    <w:rsid w:val="29C05630"/>
    <w:rsid w:val="2A053F0F"/>
    <w:rsid w:val="2A0C569A"/>
    <w:rsid w:val="2A2F1F0C"/>
    <w:rsid w:val="2A5C3075"/>
    <w:rsid w:val="2B1F5779"/>
    <w:rsid w:val="2C103347"/>
    <w:rsid w:val="2DC37189"/>
    <w:rsid w:val="2DFA2E97"/>
    <w:rsid w:val="2E483E7E"/>
    <w:rsid w:val="2FCE2953"/>
    <w:rsid w:val="2FDE37A9"/>
    <w:rsid w:val="315B7BD0"/>
    <w:rsid w:val="31ED7B35"/>
    <w:rsid w:val="32C430CC"/>
    <w:rsid w:val="332F7DDD"/>
    <w:rsid w:val="33944516"/>
    <w:rsid w:val="33FE342B"/>
    <w:rsid w:val="3522787D"/>
    <w:rsid w:val="36185B49"/>
    <w:rsid w:val="367600D7"/>
    <w:rsid w:val="375E0964"/>
    <w:rsid w:val="378C5106"/>
    <w:rsid w:val="379F4CA9"/>
    <w:rsid w:val="386532D8"/>
    <w:rsid w:val="38CC7587"/>
    <w:rsid w:val="38F6479D"/>
    <w:rsid w:val="39321B78"/>
    <w:rsid w:val="39355AFB"/>
    <w:rsid w:val="3A8B235A"/>
    <w:rsid w:val="3B395821"/>
    <w:rsid w:val="3BB84807"/>
    <w:rsid w:val="3C494A2A"/>
    <w:rsid w:val="3C5C59C0"/>
    <w:rsid w:val="3D2F7E4F"/>
    <w:rsid w:val="3D7F036C"/>
    <w:rsid w:val="3E04329F"/>
    <w:rsid w:val="3E2856AB"/>
    <w:rsid w:val="3E9E059A"/>
    <w:rsid w:val="3ED454B4"/>
    <w:rsid w:val="3EFC4F14"/>
    <w:rsid w:val="3F20314E"/>
    <w:rsid w:val="402112BD"/>
    <w:rsid w:val="4073666C"/>
    <w:rsid w:val="407D7403"/>
    <w:rsid w:val="40C07B85"/>
    <w:rsid w:val="410649FD"/>
    <w:rsid w:val="413E2617"/>
    <w:rsid w:val="426D5922"/>
    <w:rsid w:val="42C22F8B"/>
    <w:rsid w:val="44243885"/>
    <w:rsid w:val="443B595C"/>
    <w:rsid w:val="446A2417"/>
    <w:rsid w:val="453453BA"/>
    <w:rsid w:val="46265DCC"/>
    <w:rsid w:val="47944656"/>
    <w:rsid w:val="488C03D3"/>
    <w:rsid w:val="49DF11B1"/>
    <w:rsid w:val="4A895F8C"/>
    <w:rsid w:val="4A94466D"/>
    <w:rsid w:val="4A996944"/>
    <w:rsid w:val="4AE3440D"/>
    <w:rsid w:val="4B545786"/>
    <w:rsid w:val="4C3216AC"/>
    <w:rsid w:val="4C8533D9"/>
    <w:rsid w:val="4CCE4C24"/>
    <w:rsid w:val="4D214F53"/>
    <w:rsid w:val="4D600BD3"/>
    <w:rsid w:val="4E4A6D47"/>
    <w:rsid w:val="4EC15329"/>
    <w:rsid w:val="4EF535BF"/>
    <w:rsid w:val="4F186F46"/>
    <w:rsid w:val="4F5D4474"/>
    <w:rsid w:val="4F733A2D"/>
    <w:rsid w:val="4FB67747"/>
    <w:rsid w:val="4FD56C07"/>
    <w:rsid w:val="500656EA"/>
    <w:rsid w:val="50707E94"/>
    <w:rsid w:val="511FF2A1"/>
    <w:rsid w:val="51E435CF"/>
    <w:rsid w:val="52AB04CA"/>
    <w:rsid w:val="52EB6A7D"/>
    <w:rsid w:val="53777954"/>
    <w:rsid w:val="539B0907"/>
    <w:rsid w:val="545B6AA1"/>
    <w:rsid w:val="54C03C61"/>
    <w:rsid w:val="54F46D33"/>
    <w:rsid w:val="55A5494A"/>
    <w:rsid w:val="55EC1B69"/>
    <w:rsid w:val="56803BC3"/>
    <w:rsid w:val="56827AC6"/>
    <w:rsid w:val="56BD6769"/>
    <w:rsid w:val="56FD7960"/>
    <w:rsid w:val="58BE28C2"/>
    <w:rsid w:val="592B52CE"/>
    <w:rsid w:val="59C02DAD"/>
    <w:rsid w:val="5A7C46D2"/>
    <w:rsid w:val="5B1433B1"/>
    <w:rsid w:val="5BBA3ADB"/>
    <w:rsid w:val="5C0731FC"/>
    <w:rsid w:val="5C4E318D"/>
    <w:rsid w:val="5C631782"/>
    <w:rsid w:val="5C8E2505"/>
    <w:rsid w:val="5D187283"/>
    <w:rsid w:val="5E0A0A9B"/>
    <w:rsid w:val="5EB261F6"/>
    <w:rsid w:val="5F4E7973"/>
    <w:rsid w:val="5F9C5101"/>
    <w:rsid w:val="5F9C67F2"/>
    <w:rsid w:val="5FAD3ACF"/>
    <w:rsid w:val="60462F93"/>
    <w:rsid w:val="60EF64EF"/>
    <w:rsid w:val="618129F7"/>
    <w:rsid w:val="61DF4D88"/>
    <w:rsid w:val="626F3307"/>
    <w:rsid w:val="62E6117E"/>
    <w:rsid w:val="62EE2619"/>
    <w:rsid w:val="63215886"/>
    <w:rsid w:val="632458D3"/>
    <w:rsid w:val="639938AF"/>
    <w:rsid w:val="652D59D1"/>
    <w:rsid w:val="653A5570"/>
    <w:rsid w:val="66C16BFF"/>
    <w:rsid w:val="66F91E37"/>
    <w:rsid w:val="68291A1A"/>
    <w:rsid w:val="68906F8E"/>
    <w:rsid w:val="689D726C"/>
    <w:rsid w:val="691B1594"/>
    <w:rsid w:val="69BD5A21"/>
    <w:rsid w:val="6ACE22AC"/>
    <w:rsid w:val="6BCF67DF"/>
    <w:rsid w:val="6CBF6EF4"/>
    <w:rsid w:val="6E082664"/>
    <w:rsid w:val="6E457A9B"/>
    <w:rsid w:val="6EA204AF"/>
    <w:rsid w:val="6EB21663"/>
    <w:rsid w:val="6F0D6C22"/>
    <w:rsid w:val="6FC377D8"/>
    <w:rsid w:val="6FD57E76"/>
    <w:rsid w:val="6FF06988"/>
    <w:rsid w:val="71801FA8"/>
    <w:rsid w:val="71901010"/>
    <w:rsid w:val="71FB17B8"/>
    <w:rsid w:val="72B05F6E"/>
    <w:rsid w:val="7324475F"/>
    <w:rsid w:val="733013F7"/>
    <w:rsid w:val="73F727AA"/>
    <w:rsid w:val="74370315"/>
    <w:rsid w:val="745F5557"/>
    <w:rsid w:val="749537F9"/>
    <w:rsid w:val="74B60DFD"/>
    <w:rsid w:val="74DE0CFC"/>
    <w:rsid w:val="75685E15"/>
    <w:rsid w:val="75B82234"/>
    <w:rsid w:val="765669A4"/>
    <w:rsid w:val="76C21ABB"/>
    <w:rsid w:val="76D2301A"/>
    <w:rsid w:val="774329A8"/>
    <w:rsid w:val="77861774"/>
    <w:rsid w:val="77C253BD"/>
    <w:rsid w:val="79300B45"/>
    <w:rsid w:val="7937084D"/>
    <w:rsid w:val="79A17504"/>
    <w:rsid w:val="79FF3433"/>
    <w:rsid w:val="7AB73395"/>
    <w:rsid w:val="7AD34507"/>
    <w:rsid w:val="7AF96DC0"/>
    <w:rsid w:val="7B686778"/>
    <w:rsid w:val="7BA87659"/>
    <w:rsid w:val="7BCE4A5E"/>
    <w:rsid w:val="7C752981"/>
    <w:rsid w:val="7D432F69"/>
    <w:rsid w:val="7E1D05BE"/>
    <w:rsid w:val="7E286D13"/>
    <w:rsid w:val="7E617414"/>
    <w:rsid w:val="7F181D36"/>
    <w:rsid w:val="7F1E1CCC"/>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 w:type="paragraph" w:customStyle="1" w:styleId="22">
    <w:name w:val="p0"/>
    <w:basedOn w:val="1"/>
    <w:qFormat/>
    <w:uiPriority w:val="0"/>
    <w:pPr>
      <w:widowControl/>
    </w:pPr>
    <w:rPr>
      <w:rFonts w:ascii="Calibri" w:hAnsi="Calibri" w:cs="宋体"/>
      <w:kern w:val="0"/>
      <w:szCs w:val="21"/>
    </w:rPr>
  </w:style>
  <w:style w:type="paragraph" w:customStyle="1" w:styleId="23">
    <w:name w:val="目录"/>
    <w:basedOn w:val="1"/>
    <w:qFormat/>
    <w:uiPriority w:val="0"/>
    <w:pPr>
      <w:spacing w:line="540" w:lineRule="exact"/>
      <w:ind w:left="53" w:firstLine="560" w:firstLineChars="200"/>
    </w:pPr>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81</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2024-03-25T04:31:09Z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