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Arial"/>
          <w:b/>
          <w:bCs/>
          <w:color w:val="auto"/>
          <w:sz w:val="36"/>
          <w:szCs w:val="36"/>
          <w:highlight w:val="none"/>
          <w:lang w:eastAsia="zh-CN"/>
        </w:rPr>
      </w:pPr>
      <w:bookmarkStart w:id="14" w:name="_GoBack"/>
      <w:r>
        <w:rPr>
          <w:rFonts w:hint="eastAsia" w:ascii="宋体" w:hAnsi="宋体" w:eastAsia="宋体" w:cs="Arial"/>
          <w:b/>
          <w:bCs/>
          <w:color w:val="auto"/>
          <w:sz w:val="36"/>
          <w:szCs w:val="36"/>
          <w:highlight w:val="none"/>
          <w:lang w:eastAsia="zh-CN"/>
        </w:rPr>
        <w:t xml:space="preserve"> </w:t>
      </w: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2023年国家非物质文化遗产保护资金</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项目名称：2023年国家非物质文化遗产保护资金</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和静县东归文化馆</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曲杰</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2023年国家非物质文化遗产保护资金项目支出绩效评价报告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color w:val="auto"/>
          <w:highlight w:val="none"/>
        </w:rPr>
      </w:pPr>
      <w:r>
        <w:rPr>
          <w:rFonts w:hint="eastAsia"/>
          <w:color w:val="auto"/>
          <w:highlight w:val="none"/>
        </w:rPr>
        <w:t>1.项目背景</w:t>
      </w:r>
    </w:p>
    <w:p>
      <w:pPr>
        <w:pStyle w:val="4"/>
        <w:ind w:firstLine="562"/>
        <w:rPr>
          <w:rFonts w:hint="eastAsia"/>
          <w:b w:val="0"/>
          <w:bCs w:val="0"/>
          <w:color w:val="auto"/>
          <w:highlight w:val="none"/>
        </w:rPr>
      </w:pPr>
      <w:r>
        <w:rPr>
          <w:rFonts w:hint="eastAsia"/>
          <w:b w:val="0"/>
          <w:bCs w:val="0"/>
          <w:color w:val="auto"/>
          <w:highlight w:val="none"/>
        </w:rPr>
        <w:t>国家级非物质文化遗产名录是经中华人民共和国国务院批准，由文化部确定并公布的非物质文化遗产名录。《国家级非物质文化遗产保护与管理暂行办法》已经2006年10月25日文化部部务会议审议通过，现予发布，自2006年12月1日起施行。</w:t>
      </w:r>
    </w:p>
    <w:p>
      <w:pPr>
        <w:pStyle w:val="4"/>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补助1个国家级非遗代表性项目；举办一场非遗文化普及及教育活动；非遗文化外出交流展演天数不少于5天；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p>
    <w:p>
      <w:pPr>
        <w:pStyle w:val="4"/>
        <w:ind w:left="0" w:leftChars="0" w:firstLine="281" w:firstLineChars="100"/>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和静县东归文化馆</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要求截止到2023年12月31日，实际形成支出16.31万元，已完成补助国家级非遗代表性项目1个、举办非遗文化普及及教育活动10场次、非遗文化外出交流展演5天，达到了保障各族群众精神文化需求，非遗保护与传承活动受益公众满意度满意度达到95%.</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w:t>
      </w:r>
      <w:r>
        <w:rPr>
          <w:rFonts w:hint="eastAsia"/>
          <w:color w:val="auto"/>
          <w:highlight w:val="none"/>
        </w:rPr>
        <w:t>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截至2023年12月31日，本项目实际支出16.3103万元</w:t>
      </w:r>
      <w:r>
        <w:rPr>
          <w:rFonts w:hint="eastAsia"/>
          <w:color w:val="auto"/>
          <w:highlight w:val="none"/>
        </w:rPr>
        <w:t>，预算执行率</w:t>
      </w:r>
      <w:r>
        <w:rPr>
          <w:rFonts w:hint="eastAsia"/>
          <w:color w:val="auto"/>
          <w:highlight w:val="none"/>
          <w:lang w:val="en-US" w:eastAsia="zh-CN"/>
        </w:rPr>
        <w:t>81.55</w:t>
      </w:r>
      <w:r>
        <w:rPr>
          <w:color w:val="auto"/>
          <w:highlight w:val="none"/>
        </w:rPr>
        <w:t>%</w:t>
      </w:r>
      <w:r>
        <w:rPr>
          <w:rFonts w:hint="eastAsia"/>
          <w:color w:val="auto"/>
          <w:highlight w:val="none"/>
          <w:lang w:eastAsia="zh-CN"/>
        </w:rPr>
        <w:t>，</w:t>
      </w:r>
      <w:r>
        <w:rPr>
          <w:rFonts w:hint="eastAsia"/>
          <w:color w:val="auto"/>
          <w:highlight w:val="none"/>
          <w:lang w:val="en-US" w:eastAsia="zh-CN"/>
        </w:rPr>
        <w:t>3.69万元结转至下一年度使用</w:t>
      </w:r>
      <w:r>
        <w:rPr>
          <w:rFonts w:hint="eastAsia"/>
          <w:color w:val="auto"/>
          <w:highlight w:val="none"/>
        </w:rPr>
        <w:t>。本项目资金主要用于支付</w:t>
      </w:r>
      <w:r>
        <w:rPr>
          <w:rFonts w:hint="eastAsia"/>
          <w:color w:val="auto"/>
          <w:highlight w:val="none"/>
        </w:rPr>
        <w:t>非遗保护项目支出费用</w:t>
      </w:r>
      <w:r>
        <w:rPr>
          <w:rFonts w:hint="eastAsia"/>
          <w:color w:val="auto"/>
          <w:highlight w:val="none"/>
          <w:lang w:val="en-US" w:eastAsia="zh-CN"/>
        </w:rPr>
        <w:t>6</w:t>
      </w:r>
      <w:r>
        <w:rPr>
          <w:rFonts w:hint="eastAsia"/>
          <w:color w:val="auto"/>
          <w:highlight w:val="none"/>
        </w:rPr>
        <w:t>万元、非遗文化普及活动支出费用</w:t>
      </w:r>
      <w:r>
        <w:rPr>
          <w:rFonts w:hint="eastAsia"/>
          <w:color w:val="auto"/>
          <w:highlight w:val="none"/>
          <w:lang w:val="en-US" w:eastAsia="zh-CN"/>
        </w:rPr>
        <w:t>4</w:t>
      </w:r>
      <w:r>
        <w:rPr>
          <w:rFonts w:hint="eastAsia"/>
          <w:color w:val="auto"/>
          <w:highlight w:val="none"/>
        </w:rPr>
        <w:t>万元</w:t>
      </w:r>
      <w:r>
        <w:rPr>
          <w:rFonts w:hint="eastAsia"/>
          <w:color w:val="auto"/>
          <w:highlight w:val="none"/>
          <w:lang w:eastAsia="zh-CN"/>
        </w:rPr>
        <w:t>、</w:t>
      </w:r>
      <w:r>
        <w:rPr>
          <w:rFonts w:hint="eastAsia"/>
          <w:color w:val="auto"/>
          <w:highlight w:val="none"/>
        </w:rPr>
        <w:t>非遗文化展演支出费用</w:t>
      </w:r>
      <w:r>
        <w:rPr>
          <w:rFonts w:hint="eastAsia"/>
          <w:color w:val="auto"/>
          <w:highlight w:val="none"/>
          <w:lang w:val="en-US" w:eastAsia="zh-CN"/>
        </w:rPr>
        <w:t>10</w:t>
      </w:r>
      <w:r>
        <w:rPr>
          <w:rFonts w:hint="eastAsia"/>
          <w:color w:val="auto"/>
          <w:highlight w:val="none"/>
        </w:rPr>
        <w:t>万元。</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 xml:space="preserve">目标1:补助1个国家级非遗代表性项目；举办一场非遗文化普及及教育活动；非遗文化外出交流展演天数不少于5天；                              </w:t>
      </w:r>
    </w:p>
    <w:p>
      <w:pPr>
        <w:ind w:firstLine="560"/>
        <w:rPr>
          <w:rFonts w:hint="eastAsia"/>
          <w:color w:val="auto"/>
          <w:highlight w:val="none"/>
        </w:rPr>
      </w:pPr>
      <w:r>
        <w:rPr>
          <w:rFonts w:hint="eastAsia"/>
          <w:color w:val="auto"/>
          <w:highlight w:val="none"/>
        </w:rPr>
        <w:t>目标2: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补助国家级非遗代表性项目个数</w:t>
      </w:r>
      <w:r>
        <w:rPr>
          <w:rFonts w:hint="eastAsia"/>
          <w:color w:val="auto"/>
          <w:highlight w:val="none"/>
          <w:lang w:val="en-US" w:eastAsia="zh-CN"/>
        </w:rPr>
        <w:t>”指标，预期指标值为</w:t>
      </w:r>
      <w:r>
        <w:rPr>
          <w:rFonts w:hint="eastAsia"/>
          <w:color w:val="auto"/>
          <w:highlight w:val="none"/>
          <w:lang w:val="en-US" w:eastAsia="zh-CN"/>
        </w:rPr>
        <w:t>=1个</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举办非遗文化普及及教育活动场次</w:t>
      </w:r>
      <w:r>
        <w:rPr>
          <w:rFonts w:hint="eastAsia"/>
          <w:color w:val="auto"/>
          <w:highlight w:val="none"/>
          <w:lang w:val="en-US" w:eastAsia="zh-CN"/>
        </w:rPr>
        <w:t>”指标，预期指标值为</w:t>
      </w:r>
      <w:r>
        <w:rPr>
          <w:rFonts w:hint="eastAsia"/>
          <w:color w:val="auto"/>
          <w:highlight w:val="none"/>
          <w:lang w:val="en-US" w:eastAsia="zh-CN"/>
        </w:rPr>
        <w:t>≥10场</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非遗文化外出交流展演天数</w:t>
      </w:r>
      <w:r>
        <w:rPr>
          <w:rFonts w:hint="eastAsia"/>
          <w:color w:val="auto"/>
          <w:highlight w:val="none"/>
          <w:lang w:val="en-US" w:eastAsia="zh-CN"/>
        </w:rPr>
        <w:t>”指标，预期指标值为</w:t>
      </w:r>
      <w:r>
        <w:rPr>
          <w:rFonts w:hint="eastAsia"/>
          <w:color w:val="auto"/>
          <w:highlight w:val="none"/>
          <w:lang w:val="en-US" w:eastAsia="zh-CN"/>
        </w:rPr>
        <w:t>≥5天</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演出上座率</w:t>
      </w:r>
      <w:r>
        <w:rPr>
          <w:rFonts w:hint="eastAsia"/>
          <w:color w:val="auto"/>
          <w:highlight w:val="none"/>
          <w:lang w:val="en-US" w:eastAsia="zh-CN"/>
        </w:rPr>
        <w:t>”指标，预期指标值为</w:t>
      </w:r>
      <w:r>
        <w:rPr>
          <w:rFonts w:hint="eastAsia"/>
          <w:color w:val="auto"/>
          <w:highlight w:val="none"/>
          <w:lang w:val="en-US" w:eastAsia="zh-CN"/>
        </w:rPr>
        <w:t>≥90%。</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观众投诉率</w:t>
      </w:r>
      <w:r>
        <w:rPr>
          <w:rFonts w:hint="eastAsia"/>
          <w:color w:val="auto"/>
          <w:highlight w:val="none"/>
          <w:lang w:val="en-US" w:eastAsia="zh-CN"/>
        </w:rPr>
        <w:t>”指标，预期指标值为</w:t>
      </w:r>
      <w:r>
        <w:rPr>
          <w:rFonts w:hint="eastAsia"/>
          <w:color w:val="auto"/>
          <w:highlight w:val="none"/>
          <w:lang w:val="en-US" w:eastAsia="zh-CN"/>
        </w:rPr>
        <w:t>≤5%</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资金支付及时率</w:t>
      </w:r>
      <w:r>
        <w:rPr>
          <w:rFonts w:hint="eastAsia"/>
          <w:color w:val="auto"/>
          <w:highlight w:val="none"/>
        </w:rPr>
        <w:t>”指标，预期指标值为</w:t>
      </w:r>
      <w:r>
        <w:rPr>
          <w:rFonts w:hint="eastAsia"/>
          <w:color w:val="auto"/>
          <w:highlight w:val="none"/>
        </w:rPr>
        <w:t>≥95%</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非遗保护项目支出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6</w:t>
      </w:r>
      <w:r>
        <w:rPr>
          <w:rFonts w:hint="eastAsia"/>
          <w:color w:val="auto"/>
          <w:highlight w:val="none"/>
        </w:rPr>
        <w:t>万元</w:t>
      </w:r>
      <w:r>
        <w:rPr>
          <w:rFonts w:hint="eastAsia"/>
          <w:color w:val="auto"/>
          <w:highlight w:val="none"/>
          <w:lang w:eastAsia="zh-CN"/>
        </w:rPr>
        <w:t>。</w:t>
      </w:r>
    </w:p>
    <w:p>
      <w:pPr>
        <w:ind w:firstLine="560"/>
        <w:rPr>
          <w:color w:val="auto"/>
          <w:highlight w:val="none"/>
        </w:rPr>
      </w:pPr>
      <w:r>
        <w:rPr>
          <w:rFonts w:hint="eastAsia"/>
          <w:color w:val="auto"/>
          <w:highlight w:val="none"/>
        </w:rPr>
        <w:t>“</w:t>
      </w:r>
      <w:r>
        <w:rPr>
          <w:rFonts w:hint="eastAsia"/>
          <w:color w:val="auto"/>
          <w:highlight w:val="none"/>
        </w:rPr>
        <w:t>非遗文化普及活动支出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4</w:t>
      </w:r>
      <w:r>
        <w:rPr>
          <w:rFonts w:hint="eastAsia"/>
          <w:color w:val="auto"/>
          <w:highlight w:val="none"/>
        </w:rPr>
        <w:t>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非遗文化展演支出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10</w:t>
      </w:r>
      <w:r>
        <w:rPr>
          <w:rFonts w:hint="eastAsia"/>
          <w:color w:val="auto"/>
          <w:highlight w:val="none"/>
        </w:rPr>
        <w:t>万元</w:t>
      </w:r>
      <w:r>
        <w:rPr>
          <w:rFonts w:hint="eastAsia"/>
          <w:color w:val="auto"/>
          <w:highlight w:val="none"/>
        </w:rPr>
        <w:t>；</w:t>
      </w:r>
    </w:p>
    <w:p>
      <w:pPr>
        <w:ind w:firstLine="560"/>
        <w:rPr>
          <w:rFonts w:hint="eastAsia"/>
          <w:color w:val="auto"/>
          <w:highlight w:val="none"/>
        </w:rPr>
      </w:pP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非遗保护与传承受益公众增长率</w:t>
      </w:r>
      <w:r>
        <w:rPr>
          <w:rFonts w:hint="eastAsia"/>
          <w:color w:val="auto"/>
          <w:highlight w:val="none"/>
        </w:rPr>
        <w:t>”指标，预期指标值为</w:t>
      </w:r>
      <w:r>
        <w:rPr>
          <w:rFonts w:hint="eastAsia"/>
          <w:color w:val="auto"/>
          <w:highlight w:val="none"/>
        </w:rPr>
        <w:t>逐步稳定</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非遗保护与传承活动受益公众满意度</w:t>
      </w:r>
      <w:r>
        <w:rPr>
          <w:rFonts w:hint="eastAsia"/>
          <w:color w:val="auto"/>
          <w:highlight w:val="none"/>
        </w:rPr>
        <w:t>”指标，预期指标值为</w:t>
      </w:r>
      <w:r>
        <w:rPr>
          <w:rFonts w:hint="eastAsia"/>
          <w:color w:val="auto"/>
          <w:highlight w:val="none"/>
        </w:rPr>
        <w:t>≥95%</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922"/>
      <w:bookmarkStart w:id="1" w:name="_Toc5462343"/>
      <w:bookmarkStart w:id="2" w:name="_Toc12868"/>
      <w:bookmarkStart w:id="3" w:name="_Toc22169_WPSOffice_Level2"/>
      <w:bookmarkStart w:id="4" w:name="_Toc480473081"/>
      <w:bookmarkStart w:id="5" w:name="_Toc21664"/>
      <w:bookmarkStart w:id="6" w:name="_Toc5258"/>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2023年国家非物质文化遗产保护资金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2023年国家非物质文化遗产保护资金</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李鹏</w:t>
      </w:r>
      <w:r>
        <w:rPr>
          <w:rFonts w:hint="eastAsia"/>
          <w:color w:val="auto"/>
          <w:highlight w:val="none"/>
        </w:rPr>
        <w:t>（评价小组组长）：主要负责</w:t>
      </w:r>
      <w:r>
        <w:rPr>
          <w:rFonts w:hint="eastAsia"/>
          <w:color w:val="auto"/>
          <w:highlight w:val="none"/>
        </w:rPr>
        <w:t>项目绩效评价工作</w:t>
      </w:r>
      <w:r>
        <w:rPr>
          <w:rFonts w:hint="eastAsia"/>
          <w:color w:val="auto"/>
          <w:highlight w:val="none"/>
          <w:lang w:eastAsia="zh-CN"/>
        </w:rPr>
        <w:t>部署审核</w:t>
      </w:r>
      <w:r>
        <w:rPr>
          <w:rFonts w:hint="eastAsia"/>
          <w:color w:val="auto"/>
          <w:highlight w:val="none"/>
        </w:rPr>
        <w:t>;</w:t>
      </w:r>
    </w:p>
    <w:p>
      <w:pPr>
        <w:ind w:firstLine="560"/>
        <w:rPr>
          <w:color w:val="auto"/>
          <w:highlight w:val="none"/>
        </w:rPr>
      </w:pPr>
      <w:r>
        <w:rPr>
          <w:rFonts w:hint="eastAsia"/>
          <w:color w:val="auto"/>
          <w:highlight w:val="none"/>
          <w:lang w:val="en-US" w:eastAsia="zh-CN"/>
        </w:rPr>
        <w:t>邹东堂</w:t>
      </w:r>
      <w:r>
        <w:rPr>
          <w:rFonts w:hint="eastAsia"/>
          <w:color w:val="auto"/>
          <w:highlight w:val="none"/>
        </w:rPr>
        <w:t>（评价小组组员）：主要负责</w:t>
      </w:r>
      <w:r>
        <w:rPr>
          <w:rFonts w:hint="eastAsia"/>
          <w:color w:val="auto"/>
          <w:highlight w:val="none"/>
        </w:rPr>
        <w:t>项目</w:t>
      </w:r>
      <w:r>
        <w:rPr>
          <w:rFonts w:hint="eastAsia"/>
          <w:color w:val="auto"/>
          <w:highlight w:val="none"/>
          <w:lang w:val="en-US" w:eastAsia="zh-CN"/>
        </w:rPr>
        <w:t>资金支出情况</w:t>
      </w:r>
      <w:r>
        <w:rPr>
          <w:rFonts w:hint="eastAsia"/>
          <w:color w:val="auto"/>
          <w:highlight w:val="none"/>
        </w:rPr>
        <w:t>;</w:t>
      </w:r>
    </w:p>
    <w:p>
      <w:pPr>
        <w:ind w:firstLine="560"/>
        <w:rPr>
          <w:color w:val="auto"/>
          <w:highlight w:val="none"/>
        </w:rPr>
      </w:pPr>
      <w:r>
        <w:rPr>
          <w:rFonts w:hint="eastAsia"/>
          <w:color w:val="auto"/>
          <w:highlight w:val="none"/>
          <w:lang w:val="en-US" w:eastAsia="zh-CN"/>
        </w:rPr>
        <w:t>曲洁</w:t>
      </w:r>
      <w:r>
        <w:rPr>
          <w:rFonts w:hint="eastAsia"/>
          <w:color w:val="auto"/>
          <w:highlight w:val="none"/>
        </w:rPr>
        <w:t>（评价小组组员）：主要负责</w:t>
      </w:r>
      <w:r>
        <w:rPr>
          <w:rFonts w:hint="eastAsia"/>
          <w:color w:val="auto"/>
          <w:highlight w:val="none"/>
        </w:rPr>
        <w:t>项目绩效评价的</w:t>
      </w:r>
      <w:r>
        <w:rPr>
          <w:rFonts w:hint="eastAsia"/>
          <w:color w:val="auto"/>
          <w:highlight w:val="none"/>
          <w:lang w:eastAsia="zh-CN"/>
        </w:rPr>
        <w:t>分析</w:t>
      </w:r>
      <w:r>
        <w:rPr>
          <w:rFonts w:hint="eastAsia"/>
          <w:color w:val="auto"/>
          <w:highlight w:val="none"/>
        </w:rPr>
        <w:t>实施</w:t>
      </w:r>
      <w:r>
        <w:rPr>
          <w:rFonts w:hint="eastAsia"/>
          <w:color w:val="auto"/>
          <w:highlight w:val="none"/>
        </w:rPr>
        <w:t>。</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rPr>
        <w:t>补助1个国家级非遗代表性项目；举办一场非遗文化普及及教育活动；非遗文化外出交流展演天数不少于5天；</w:t>
      </w:r>
      <w:r>
        <w:rPr>
          <w:rFonts w:hint="eastAsia"/>
          <w:color w:val="auto"/>
          <w:highlight w:val="none"/>
          <w:lang w:val="en-US" w:eastAsia="zh-CN"/>
        </w:rPr>
        <w:t>例：</w:t>
      </w:r>
      <w:r>
        <w:rPr>
          <w:rFonts w:hint="eastAsia"/>
          <w:color w:val="auto"/>
          <w:highlight w:val="none"/>
        </w:rPr>
        <w:t>落实政策，做好困难群众救助工作。根据自治区民政厅、财政厅《关于提高全区困难群众基本生活救助保障标准的通知》，进一步做好提高喀什市困难群众基本生活救助保障，及时调整了困难群众救助补助标准，有效提升了低保困难群众生活水平。</w:t>
      </w:r>
    </w:p>
    <w:p>
      <w:pPr>
        <w:ind w:firstLine="560"/>
        <w:rPr>
          <w:color w:val="auto"/>
          <w:highlight w:val="none"/>
        </w:rPr>
      </w:pPr>
      <w:r>
        <w:rPr>
          <w:rFonts w:hint="eastAsia"/>
          <w:color w:val="auto"/>
          <w:highlight w:val="none"/>
        </w:rPr>
        <w:t>二是：</w:t>
      </w:r>
      <w:r>
        <w:rPr>
          <w:rFonts w:hint="eastAsia"/>
          <w:color w:val="auto"/>
          <w:highlight w:val="none"/>
        </w:rPr>
        <w:t>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lang w:val="en-US" w:eastAsia="zh-CN"/>
        </w:rPr>
        <w:t>例：</w:t>
      </w:r>
      <w:r>
        <w:rPr>
          <w:rFonts w:hint="eastAsia"/>
          <w:color w:val="auto"/>
          <w:highlight w:val="none"/>
        </w:rPr>
        <w:t>精准识别，切实保障困难群众基本生活。喀什市加强摸底排查、主动及时发现救助需求，跟进实施救助帮扶。充分利用低收入人口动态动态检测信息平台，强化对低收入人口动态检测预警，对发现的困难的群众及时干预、精准救助、综合帮扶。统筹运用发放实物和提供服务等方式，提供精准救助帮扶，完善和落实支持社会力量参与社会救助的政策措施，切实保障困难群众基本生活。</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97.21</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90.91</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w:t>
      </w:r>
      <w:r>
        <w:rPr>
          <w:rFonts w:hint="eastAsia"/>
          <w:color w:val="auto"/>
          <w:highlight w:val="none"/>
          <w:lang w:eastAsia="zh-Hans"/>
        </w:rPr>
        <w:t>颁发的</w:t>
      </w:r>
      <w:r>
        <w:rPr>
          <w:rFonts w:hint="eastAsia"/>
          <w:color w:val="auto"/>
          <w:highlight w:val="none"/>
          <w:lang w:val="en-US" w:eastAsia="zh-CN"/>
        </w:rPr>
        <w:t>《关于加强文化遗产保护的通知》</w:t>
      </w:r>
      <w:r>
        <w:rPr>
          <w:rFonts w:hint="eastAsia"/>
          <w:color w:val="auto"/>
          <w:highlight w:val="none"/>
          <w:lang w:val="en-US" w:eastAsia="zh-Hans"/>
        </w:rPr>
        <w:t>中</w:t>
      </w:r>
      <w:r>
        <w:rPr>
          <w:rFonts w:hint="eastAsia"/>
          <w:color w:val="auto"/>
          <w:highlight w:val="none"/>
          <w:lang w:val="en-US" w:eastAsia="zh-CN"/>
        </w:rPr>
        <w:t>：“保护为主、抢救第一、合理利用、传承发展”</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eastAsia"/>
          <w:color w:val="auto"/>
          <w:highlight w:val="none"/>
          <w:lang w:val="en-US" w:eastAsia="zh-CN"/>
        </w:rPr>
        <w:t>国家非物质文化遗产保护资金管理办法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2023年自治区财政拨付下达资金用于支持自治区非物质文化遗产保护工作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和静县东归文化馆</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方正仿宋_GBK" w:hAnsi="方正仿宋_GBK" w:eastAsia="方正仿宋_GBK" w:cs="方正仿宋_GBK"/>
          <w:color w:val="auto"/>
          <w:sz w:val="32"/>
          <w:szCs w:val="32"/>
          <w:highlight w:val="none"/>
          <w:shd w:val="clear" w:color="auto" w:fill="FFFFFF"/>
        </w:rPr>
        <w:t>推动非物质文化遗产的挖掘、传承、普及和非遗产业开发利用</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rPr>
        <w:t>为使中国的非物质文化遗产保护工作规范化，国务院发布《关于加强文化遗产保护的通知》，并制定“国家 + 省 + 市 + 县”共4级保护体系，要求各地方和各有关部门贯彻“保护为主、抢救第一、合理利用、传承发展”的工作方针，切实做好非物质文化遗产的保护、管理和合理利用工作。</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中央专项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w:t>
      </w:r>
      <w:r>
        <w:rPr>
          <w:rFonts w:hint="eastAsia"/>
          <w:color w:val="auto"/>
          <w:highlight w:val="none"/>
          <w:lang w:val="en-US" w:eastAsia="zh-CN"/>
        </w:rPr>
        <w:t>1.</w:t>
      </w:r>
      <w:r>
        <w:rPr>
          <w:rFonts w:hint="eastAsia"/>
          <w:color w:val="auto"/>
          <w:highlight w:val="none"/>
        </w:rPr>
        <w:t>补助1个国家级非遗代表性项目；举办一场非遗文化普及及教育活动；非遗文化外出交流展演天数不少于5天</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rPr>
        <w:t>”；本项目实际工作为：</w:t>
      </w:r>
      <w:r>
        <w:rPr>
          <w:rFonts w:hint="eastAsia"/>
          <w:color w:val="auto"/>
          <w:highlight w:val="none"/>
        </w:rPr>
        <w:t>已完成补助国家级非遗代表性项目1个、举办非遗文化普及及教育活动10场次、非遗文化外出交流展演5天，达到了保障各族群众精神文化需求，非遗保护与传承活动受益公众满意度满意度达到95%</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rPr>
        <w:t>非遗保护与传承受益公众增长率</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国家级非物质文化遗产名录是经中华人民共和国国务院批准，由文化部确定并公布的非物质文化遗产名录</w:t>
      </w:r>
      <w:r>
        <w:rPr>
          <w:rFonts w:hint="eastAsia"/>
          <w:color w:val="auto"/>
          <w:highlight w:val="none"/>
          <w:lang w:eastAsia="zh-Hans" w:bidi="ar"/>
        </w:rPr>
        <w:t>，项目实际内容为</w:t>
      </w:r>
      <w:r>
        <w:rPr>
          <w:rFonts w:hint="eastAsia"/>
          <w:color w:val="auto"/>
          <w:highlight w:val="none"/>
          <w:lang w:bidi="ar"/>
        </w:rPr>
        <w:t>补助1个国家级非遗代表性项目；举办一场非遗文化普及及教育活动；非遗文化外出交流展演天数不少于5天；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bidi="ar"/>
        </w:rPr>
        <w:t>国家非物质文化遗产保护资金管理办法</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20万元</w:t>
      </w:r>
      <w:r>
        <w:rPr>
          <w:rFonts w:hint="eastAsia"/>
          <w:color w:val="auto"/>
          <w:highlight w:val="none"/>
        </w:rPr>
        <w:t>，数量为</w:t>
      </w:r>
      <w:r>
        <w:rPr>
          <w:rFonts w:hint="eastAsia"/>
          <w:color w:val="auto"/>
          <w:highlight w:val="none"/>
          <w:lang w:val="en-US" w:eastAsia="zh-CN"/>
        </w:rPr>
        <w:t>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2023非物质文化遗产</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非物质文化遗产项</w:t>
      </w:r>
      <w:r>
        <w:rPr>
          <w:rFonts w:hint="eastAsia"/>
          <w:color w:val="auto"/>
          <w:highlight w:val="none"/>
          <w:lang w:bidi="ar"/>
        </w:rPr>
        <w:t>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bidi="ar"/>
        </w:rPr>
        <w:t>非物质文化遗产</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20</w:t>
      </w:r>
      <w:r>
        <w:rPr>
          <w:rFonts w:hint="eastAsia"/>
          <w:color w:val="auto"/>
          <w:highlight w:val="none"/>
          <w:lang w:bidi="ar"/>
        </w:rPr>
        <w:t>万元，实际分配</w:t>
      </w:r>
      <w:r>
        <w:rPr>
          <w:rFonts w:hint="eastAsia"/>
          <w:color w:val="auto"/>
          <w:highlight w:val="none"/>
          <w:lang w:val="en-US" w:eastAsia="zh-CN" w:bidi="ar"/>
        </w:rPr>
        <w:t>非物质文化遗产</w:t>
      </w:r>
      <w:r>
        <w:rPr>
          <w:rFonts w:hint="eastAsia"/>
          <w:color w:val="auto"/>
          <w:highlight w:val="none"/>
          <w:lang w:bidi="ar"/>
        </w:rPr>
        <w:t>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17.71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16.3103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16.31</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81.55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81.55</w:t>
      </w:r>
      <w:r>
        <w:rPr>
          <w:rFonts w:hint="eastAsia"/>
          <w:color w:val="auto"/>
          <w:highlight w:val="none"/>
        </w:rPr>
        <w:t>%*7=</w:t>
      </w:r>
      <w:r>
        <w:rPr>
          <w:rFonts w:hint="eastAsia"/>
          <w:color w:val="auto"/>
          <w:highlight w:val="none"/>
          <w:lang w:val="en-US" w:eastAsia="zh-CN"/>
        </w:rPr>
        <w:t>5.71</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5.71</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和静县文化体育广播和旅游局</w:t>
      </w:r>
      <w:r>
        <w:rPr>
          <w:color w:val="auto"/>
          <w:highlight w:val="none"/>
        </w:rPr>
        <w:t>资金管理办法</w:t>
      </w:r>
      <w:r>
        <w:rPr>
          <w:color w:val="auto"/>
          <w:highlight w:val="none"/>
        </w:rPr>
        <w:t>》</w:t>
      </w:r>
      <w:r>
        <w:rPr>
          <w:rFonts w:hint="eastAsia"/>
          <w:color w:val="auto"/>
          <w:highlight w:val="none"/>
          <w:lang w:eastAsia="zh-CN"/>
        </w:rPr>
        <w:t>《</w:t>
      </w:r>
      <w:r>
        <w:rPr>
          <w:color w:val="auto"/>
          <w:highlight w:val="none"/>
        </w:rPr>
        <w:t>国家非物质文化遗产保护</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和静县文化体育广播和旅游局</w:t>
      </w:r>
      <w:r>
        <w:rPr>
          <w:color w:val="auto"/>
          <w:highlight w:val="none"/>
        </w:rPr>
        <w:t>资金管理办法</w:t>
      </w:r>
      <w:r>
        <w:rPr>
          <w:rFonts w:hint="eastAsia"/>
          <w:color w:val="auto"/>
          <w:highlight w:val="none"/>
        </w:rPr>
        <w:t>》《</w:t>
      </w:r>
      <w:r>
        <w:rPr>
          <w:rFonts w:hint="eastAsia"/>
          <w:color w:val="auto"/>
          <w:highlight w:val="none"/>
          <w:lang w:val="en-US" w:eastAsia="zh-CN"/>
        </w:rPr>
        <w:t>和静县文化体育广播和旅游局</w:t>
      </w:r>
      <w:r>
        <w:rPr>
          <w:rFonts w:hint="eastAsia"/>
          <w:color w:val="auto"/>
          <w:highlight w:val="none"/>
        </w:rPr>
        <w:t>收支业务管理制度》《</w:t>
      </w:r>
      <w:r>
        <w:rPr>
          <w:rFonts w:hint="eastAsia"/>
          <w:color w:val="auto"/>
          <w:highlight w:val="none"/>
          <w:lang w:val="en-US" w:eastAsia="zh-CN"/>
        </w:rPr>
        <w:t>和静县文化体育广播和旅游局</w:t>
      </w:r>
      <w:r>
        <w:rPr>
          <w:rFonts w:hint="eastAsia"/>
          <w:color w:val="auto"/>
          <w:highlight w:val="none"/>
        </w:rPr>
        <w:t>政府采购业务管理制度》《</w:t>
      </w:r>
      <w:r>
        <w:rPr>
          <w:rFonts w:hint="eastAsia"/>
          <w:color w:val="auto"/>
          <w:highlight w:val="none"/>
          <w:lang w:val="en-US" w:eastAsia="zh-CN"/>
        </w:rPr>
        <w:t>和静县文化体育广播和旅游局</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w:t>
      </w:r>
      <w:r>
        <w:rPr>
          <w:rFonts w:hint="eastAsia"/>
          <w:color w:val="auto"/>
          <w:highlight w:val="none"/>
        </w:rPr>
        <w:t>非物质文化遗产保护资金</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李鹏</w:t>
      </w:r>
      <w:r>
        <w:rPr>
          <w:rFonts w:hint="eastAsia"/>
          <w:color w:val="auto"/>
          <w:highlight w:val="none"/>
        </w:rPr>
        <w:t>任组长，负责项目的组织工作；</w:t>
      </w:r>
      <w:r>
        <w:rPr>
          <w:rFonts w:hint="eastAsia"/>
          <w:color w:val="auto"/>
          <w:highlight w:val="none"/>
          <w:lang w:val="en-US" w:eastAsia="zh-CN"/>
        </w:rPr>
        <w:t>欧云</w:t>
      </w:r>
      <w:r>
        <w:rPr>
          <w:rFonts w:hint="eastAsia"/>
          <w:color w:val="auto"/>
          <w:highlight w:val="none"/>
        </w:rPr>
        <w:t>任副组长，负责项目的实施工作；组员包括：</w:t>
      </w:r>
      <w:r>
        <w:rPr>
          <w:rFonts w:hint="eastAsia"/>
          <w:color w:val="auto"/>
          <w:highlight w:val="none"/>
          <w:lang w:val="en-US" w:eastAsia="zh-CN"/>
        </w:rPr>
        <w:t>邹东堂</w:t>
      </w:r>
      <w:r>
        <w:rPr>
          <w:rFonts w:hint="eastAsia"/>
          <w:color w:val="auto"/>
          <w:highlight w:val="none"/>
        </w:rPr>
        <w:t>和</w:t>
      </w:r>
      <w:r>
        <w:rPr>
          <w:rFonts w:hint="eastAsia"/>
          <w:color w:val="auto"/>
          <w:highlight w:val="none"/>
          <w:lang w:val="en-US" w:eastAsia="zh-CN"/>
        </w:rPr>
        <w:t>曲洁</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shd w:val="clear" w:color="auto" w:fill="auto"/>
          <w:lang w:eastAsia="zh-CN"/>
        </w:rPr>
      </w:pPr>
      <w:r>
        <w:rPr>
          <w:rFonts w:hint="eastAsia"/>
          <w:color w:val="auto"/>
          <w:highlight w:val="none"/>
          <w:shd w:val="clear" w:color="auto" w:fill="auto"/>
          <w:lang w:eastAsia="zh-CN"/>
        </w:rPr>
        <w:t>“</w:t>
      </w:r>
      <w:r>
        <w:rPr>
          <w:rFonts w:hint="eastAsia"/>
          <w:color w:val="auto"/>
          <w:highlight w:val="none"/>
          <w:shd w:val="clear" w:color="auto" w:fill="auto"/>
        </w:rPr>
        <w:t>补助国家级非遗代表性项目个数</w:t>
      </w:r>
      <w:r>
        <w:rPr>
          <w:rFonts w:hint="eastAsia"/>
          <w:color w:val="auto"/>
          <w:highlight w:val="none"/>
          <w:shd w:val="clear" w:color="auto" w:fill="auto"/>
          <w:lang w:eastAsia="zh-CN"/>
        </w:rPr>
        <w:t>”指标</w:t>
      </w:r>
      <w:r>
        <w:rPr>
          <w:rFonts w:hint="eastAsia"/>
          <w:color w:val="auto"/>
          <w:highlight w:val="none"/>
          <w:shd w:val="clear" w:color="auto" w:fill="auto"/>
        </w:rPr>
        <w:t>:预期指标值为=1</w:t>
      </w:r>
      <w:r>
        <w:rPr>
          <w:rFonts w:hint="eastAsia"/>
          <w:color w:val="auto"/>
          <w:highlight w:val="none"/>
          <w:shd w:val="clear" w:color="auto" w:fill="auto"/>
          <w:lang w:val="en-US" w:eastAsia="zh-CN"/>
        </w:rPr>
        <w:t>个</w:t>
      </w:r>
      <w:r>
        <w:rPr>
          <w:rFonts w:hint="eastAsia"/>
          <w:color w:val="auto"/>
          <w:highlight w:val="none"/>
          <w:shd w:val="clear" w:color="auto" w:fill="auto"/>
        </w:rPr>
        <w:t>，实际完成值为1</w:t>
      </w:r>
      <w:r>
        <w:rPr>
          <w:rFonts w:hint="eastAsia"/>
          <w:color w:val="auto"/>
          <w:highlight w:val="none"/>
          <w:shd w:val="clear" w:color="auto" w:fill="auto"/>
          <w:lang w:eastAsia="zh-CN"/>
        </w:rPr>
        <w:t>个</w:t>
      </w:r>
      <w:r>
        <w:rPr>
          <w:rFonts w:hint="eastAsia"/>
          <w:color w:val="auto"/>
          <w:highlight w:val="none"/>
          <w:shd w:val="clear" w:color="auto" w:fill="auto"/>
        </w:rPr>
        <w:t>,指标完成率为1</w:t>
      </w:r>
      <w:r>
        <w:rPr>
          <w:rFonts w:hint="eastAsia"/>
          <w:color w:val="auto"/>
          <w:highlight w:val="none"/>
          <w:shd w:val="clear" w:color="auto" w:fill="auto"/>
          <w:lang w:val="en-US" w:eastAsia="zh-CN"/>
        </w:rPr>
        <w:t>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pPr>
        <w:pStyle w:val="6"/>
        <w:rPr>
          <w:rFonts w:hint="eastAsia"/>
          <w:color w:val="auto"/>
          <w:highlight w:val="none"/>
          <w:shd w:val="clear" w:color="auto" w:fill="auto"/>
        </w:rPr>
      </w:pPr>
      <w:r>
        <w:rPr>
          <w:rFonts w:hint="eastAsia"/>
          <w:color w:val="auto"/>
          <w:highlight w:val="none"/>
          <w:shd w:val="clear" w:color="auto" w:fill="auto"/>
          <w:lang w:eastAsia="zh-CN"/>
        </w:rPr>
        <w:t>“</w:t>
      </w:r>
      <w:r>
        <w:rPr>
          <w:rFonts w:hint="eastAsia"/>
          <w:color w:val="auto"/>
          <w:highlight w:val="none"/>
          <w:shd w:val="clear" w:color="auto" w:fill="auto"/>
        </w:rPr>
        <w:t>举办非遗文化普及及教育活动场次</w:t>
      </w:r>
      <w:r>
        <w:rPr>
          <w:rFonts w:hint="eastAsia"/>
          <w:color w:val="auto"/>
          <w:highlight w:val="none"/>
          <w:shd w:val="clear" w:color="auto" w:fill="auto"/>
          <w:lang w:eastAsia="zh-CN"/>
        </w:rPr>
        <w:t>”指标</w:t>
      </w:r>
      <w:r>
        <w:rPr>
          <w:rFonts w:hint="eastAsia"/>
          <w:color w:val="auto"/>
          <w:highlight w:val="none"/>
          <w:shd w:val="clear" w:color="auto" w:fill="auto"/>
        </w:rPr>
        <w:t>:预期指标值为≥10场，实际完成值为10场,指标完成率为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p>
    <w:p>
      <w:pPr>
        <w:pStyle w:val="6"/>
        <w:rPr>
          <w:rFonts w:hint="eastAsia"/>
          <w:color w:val="auto"/>
          <w:highlight w:val="none"/>
          <w:shd w:val="clear" w:color="auto" w:fill="auto"/>
        </w:rPr>
      </w:pPr>
      <w:r>
        <w:rPr>
          <w:rFonts w:hint="eastAsia"/>
          <w:color w:val="auto"/>
          <w:highlight w:val="none"/>
          <w:shd w:val="clear" w:color="auto" w:fill="auto"/>
          <w:lang w:eastAsia="zh-CN"/>
        </w:rPr>
        <w:t>“</w:t>
      </w:r>
      <w:r>
        <w:rPr>
          <w:rFonts w:hint="eastAsia"/>
          <w:color w:val="auto"/>
          <w:highlight w:val="none"/>
          <w:shd w:val="clear" w:color="auto" w:fill="auto"/>
        </w:rPr>
        <w:t>非遗文化外出交流展演天数</w:t>
      </w:r>
      <w:r>
        <w:rPr>
          <w:rFonts w:hint="eastAsia"/>
          <w:color w:val="auto"/>
          <w:highlight w:val="none"/>
          <w:shd w:val="clear" w:color="auto" w:fill="auto"/>
          <w:lang w:eastAsia="zh-CN"/>
        </w:rPr>
        <w:t>”指标</w:t>
      </w:r>
      <w:r>
        <w:rPr>
          <w:rFonts w:hint="eastAsia"/>
          <w:color w:val="auto"/>
          <w:highlight w:val="none"/>
          <w:shd w:val="clear" w:color="auto" w:fill="auto"/>
        </w:rPr>
        <w:t>:预期指标值为≥5天，实际完成值为5天,指标完成率为1</w:t>
      </w:r>
      <w:r>
        <w:rPr>
          <w:rFonts w:hint="eastAsia"/>
          <w:color w:val="auto"/>
          <w:highlight w:val="none"/>
          <w:shd w:val="clear" w:color="auto" w:fill="auto"/>
          <w:lang w:val="en-US" w:eastAsia="zh-CN"/>
        </w:rPr>
        <w:t>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p>
    <w:p>
      <w:pPr>
        <w:pStyle w:val="4"/>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演出上座率</w:t>
      </w:r>
      <w:r>
        <w:rPr>
          <w:rFonts w:hint="eastAsia"/>
          <w:color w:val="auto"/>
          <w:highlight w:val="none"/>
        </w:rPr>
        <w:t>”指标：预期指标值为</w:t>
      </w:r>
      <w:r>
        <w:rPr>
          <w:rFonts w:hint="eastAsia"/>
          <w:color w:val="auto"/>
          <w:highlight w:val="none"/>
        </w:rPr>
        <w:t>≥90%</w:t>
      </w:r>
      <w:r>
        <w:rPr>
          <w:rFonts w:hint="eastAsia"/>
          <w:color w:val="auto"/>
          <w:highlight w:val="none"/>
        </w:rPr>
        <w:t>，实际完成指标值为</w:t>
      </w:r>
      <w:r>
        <w:rPr>
          <w:rFonts w:hint="eastAsia"/>
          <w:color w:val="auto"/>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eastAsia="仿宋_GB2312"/>
          <w:color w:val="auto"/>
          <w:highlight w:val="none"/>
          <w:lang w:val="en-US" w:eastAsia="zh-CN"/>
        </w:rPr>
      </w:pPr>
      <w:r>
        <w:rPr>
          <w:rFonts w:hint="eastAsia"/>
          <w:color w:val="auto"/>
          <w:highlight w:val="none"/>
        </w:rPr>
        <w:t>“</w:t>
      </w:r>
      <w:r>
        <w:rPr>
          <w:rFonts w:hint="eastAsia"/>
          <w:color w:val="auto"/>
          <w:highlight w:val="none"/>
        </w:rPr>
        <w:t>观众投诉率</w:t>
      </w:r>
      <w:r>
        <w:rPr>
          <w:rFonts w:hint="eastAsia"/>
          <w:color w:val="auto"/>
          <w:highlight w:val="none"/>
        </w:rPr>
        <w:t>”指标：预期指标值为</w:t>
      </w:r>
      <w:r>
        <w:rPr>
          <w:rFonts w:hint="eastAsia"/>
          <w:color w:val="auto"/>
          <w:highlight w:val="none"/>
        </w:rPr>
        <w:t>≤5%</w:t>
      </w:r>
      <w:r>
        <w:rPr>
          <w:rFonts w:hint="eastAsia"/>
          <w:color w:val="auto"/>
          <w:highlight w:val="none"/>
        </w:rPr>
        <w:t>，实际完成指标值为</w:t>
      </w:r>
      <w:r>
        <w:rPr>
          <w:rFonts w:hint="eastAsia"/>
          <w:color w:val="auto"/>
          <w:highlight w:val="none"/>
        </w:rPr>
        <w:t>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资金支付及时率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14.5</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非遗保护项目支出</w:t>
      </w:r>
      <w:r>
        <w:rPr>
          <w:rFonts w:hint="eastAsia"/>
          <w:color w:val="auto"/>
          <w:highlight w:val="none"/>
        </w:rPr>
        <w:t>”指标：预期指标值为</w:t>
      </w:r>
      <w:r>
        <w:rPr>
          <w:rFonts w:hint="eastAsia"/>
          <w:color w:val="auto"/>
          <w:highlight w:val="none"/>
        </w:rPr>
        <w:t>≤6万元</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非遗文化普及活动支出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4</w:t>
      </w:r>
      <w:r>
        <w:rPr>
          <w:rFonts w:hint="eastAsia"/>
          <w:color w:val="auto"/>
          <w:highlight w:val="none"/>
        </w:rPr>
        <w:t>万元</w:t>
      </w:r>
      <w:r>
        <w:rPr>
          <w:rFonts w:hint="eastAsia"/>
          <w:color w:val="auto"/>
          <w:highlight w:val="none"/>
        </w:rPr>
        <w:t>，实际完成指标值为</w:t>
      </w:r>
      <w:r>
        <w:rPr>
          <w:rFonts w:hint="eastAsia"/>
          <w:color w:val="auto"/>
          <w:highlight w:val="none"/>
          <w:lang w:val="en-US" w:eastAsia="zh-CN"/>
        </w:rPr>
        <w:t>4万元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非遗保护项目支出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10</w:t>
      </w:r>
      <w:r>
        <w:rPr>
          <w:rFonts w:hint="eastAsia"/>
          <w:color w:val="auto"/>
          <w:highlight w:val="none"/>
        </w:rPr>
        <w:t>万元</w:t>
      </w:r>
      <w:r>
        <w:rPr>
          <w:rFonts w:hint="eastAsia"/>
          <w:color w:val="auto"/>
          <w:highlight w:val="none"/>
        </w:rPr>
        <w:t>，实际完成指标值为</w:t>
      </w:r>
      <w:r>
        <w:rPr>
          <w:rFonts w:hint="eastAsia"/>
          <w:color w:val="auto"/>
          <w:highlight w:val="none"/>
          <w:lang w:val="en-US" w:eastAsia="zh-CN"/>
        </w:rPr>
        <w:t>7.31万元</w:t>
      </w:r>
      <w:r>
        <w:rPr>
          <w:rFonts w:hint="eastAsia"/>
          <w:color w:val="auto"/>
          <w:highlight w:val="none"/>
        </w:rPr>
        <w:t>，指标完成率为</w:t>
      </w:r>
      <w:r>
        <w:rPr>
          <w:rFonts w:hint="eastAsia"/>
          <w:color w:val="auto"/>
          <w:highlight w:val="none"/>
          <w:lang w:val="en-US" w:eastAsia="zh-CN"/>
        </w:rPr>
        <w:t>73.1</w:t>
      </w:r>
      <w:r>
        <w:rPr>
          <w:rFonts w:hint="eastAsia"/>
          <w:color w:val="auto"/>
          <w:highlight w:val="none"/>
        </w:rPr>
        <w:t>%，偏差率</w:t>
      </w:r>
      <w:r>
        <w:rPr>
          <w:rFonts w:hint="eastAsia"/>
          <w:color w:val="auto"/>
          <w:highlight w:val="none"/>
          <w:lang w:val="en-US" w:eastAsia="zh-CN"/>
        </w:rPr>
        <w:t>26.9</w:t>
      </w:r>
      <w:r>
        <w:rPr>
          <w:rFonts w:hint="eastAsia"/>
          <w:color w:val="auto"/>
          <w:highlight w:val="none"/>
        </w:rPr>
        <w:t>%，偏差主要原因是：手续办理及资金支付进度慢，改进措施：使用来年资金尽快办理支付</w:t>
      </w:r>
      <w:r>
        <w:rPr>
          <w:rFonts w:hint="eastAsia"/>
          <w:color w:val="auto"/>
          <w:highlight w:val="none"/>
        </w:rPr>
        <w:t>。</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非遗保护与传承受益公众增长率</w:t>
      </w:r>
      <w:r>
        <w:rPr>
          <w:rFonts w:hint="eastAsia"/>
          <w:color w:val="auto"/>
          <w:highlight w:val="none"/>
        </w:rPr>
        <w:t>”指标：预期指标值为</w:t>
      </w:r>
      <w:r>
        <w:rPr>
          <w:rFonts w:hint="eastAsia"/>
          <w:color w:val="auto"/>
          <w:highlight w:val="none"/>
        </w:rPr>
        <w:t>逐步稳定</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非遗保护与传承活动受益公众满意度</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w:t>
      </w:r>
      <w:r>
        <w:rPr>
          <w:rFonts w:hint="eastAsia"/>
          <w:color w:val="auto"/>
          <w:highlight w:val="none"/>
          <w:lang w:val="en-US" w:eastAsia="zh-CN"/>
        </w:rPr>
        <w:t>万元，全年预算数为</w:t>
      </w:r>
      <w:r>
        <w:rPr>
          <w:rFonts w:hint="eastAsia"/>
          <w:color w:val="auto"/>
          <w:highlight w:val="none"/>
          <w:lang w:val="en-US" w:eastAsia="zh-CN"/>
        </w:rPr>
        <w:t>20</w:t>
      </w:r>
      <w:r>
        <w:rPr>
          <w:rFonts w:hint="eastAsia"/>
          <w:color w:val="auto"/>
          <w:highlight w:val="none"/>
          <w:lang w:val="en-US" w:eastAsia="zh-CN"/>
        </w:rPr>
        <w:t>万元，全年执行数为</w:t>
      </w:r>
      <w:r>
        <w:rPr>
          <w:rFonts w:hint="eastAsia"/>
          <w:color w:val="auto"/>
          <w:highlight w:val="none"/>
          <w:lang w:val="en-US" w:eastAsia="zh-CN"/>
        </w:rPr>
        <w:t>16.31</w:t>
      </w:r>
      <w:r>
        <w:rPr>
          <w:rFonts w:hint="eastAsia"/>
          <w:color w:val="auto"/>
          <w:highlight w:val="none"/>
          <w:lang w:val="en-US" w:eastAsia="zh-CN"/>
        </w:rPr>
        <w:t>万元，预算执行率为</w:t>
      </w:r>
      <w:r>
        <w:rPr>
          <w:rFonts w:hint="eastAsia"/>
          <w:color w:val="auto"/>
          <w:highlight w:val="none"/>
          <w:lang w:val="en-US" w:eastAsia="zh-CN"/>
        </w:rPr>
        <w:t>81.5</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w:t>
      </w:r>
      <w:r>
        <w:rPr>
          <w:rFonts w:hint="eastAsia"/>
          <w:color w:val="auto"/>
          <w:highlight w:val="none"/>
          <w:lang w:val="en-US" w:eastAsia="zh-CN"/>
        </w:rPr>
        <w:t>个，扣分指标数量</w:t>
      </w:r>
      <w:r>
        <w:rPr>
          <w:rFonts w:hint="eastAsia"/>
          <w:color w:val="auto"/>
          <w:highlight w:val="none"/>
          <w:lang w:val="en-US" w:eastAsia="zh-CN"/>
        </w:rPr>
        <w:t>2</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97.94</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16.44</w:t>
      </w:r>
      <w:r>
        <w:rPr>
          <w:rFonts w:hint="eastAsia"/>
          <w:color w:val="auto"/>
          <w:highlight w:val="none"/>
          <w:lang w:val="en-US" w:eastAsia="zh-CN"/>
        </w:rPr>
        <w:t>%。</w:t>
      </w:r>
    </w:p>
    <w:p>
      <w:pPr>
        <w:ind w:firstLine="560"/>
        <w:rPr>
          <w:rFonts w:hint="eastAsia"/>
          <w:color w:val="auto"/>
          <w:highlight w:val="none"/>
          <w:lang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16.44</w:t>
      </w:r>
      <w:r>
        <w:rPr>
          <w:rFonts w:hint="default" w:ascii="Times New Roman" w:hAnsi="Times New Roman" w:cs="Times New Roman"/>
          <w:color w:val="auto"/>
          <w:highlight w:val="none"/>
          <w:u w:color="000000"/>
          <w:lang w:val="zh-TW" w:eastAsia="zh-CN"/>
        </w:rPr>
        <w:t>%，造成偏离的主要原因是：</w:t>
      </w:r>
      <w:r>
        <w:rPr>
          <w:rFonts w:hint="eastAsia"/>
          <w:color w:val="auto"/>
          <w:highlight w:val="none"/>
        </w:rPr>
        <w:t>手续办理及资金支付进度慢</w:t>
      </w:r>
      <w:r>
        <w:rPr>
          <w:rFonts w:hint="eastAsia"/>
          <w:color w:val="auto"/>
          <w:highlight w:val="none"/>
          <w:lang w:eastAsia="zh-CN"/>
        </w:rPr>
        <w:t>。</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pPr>
        <w:pStyle w:val="3"/>
        <w:numPr>
          <w:ilvl w:val="0"/>
          <w:numId w:val="0"/>
        </w:numPr>
        <w:ind w:firstLine="840" w:firstLineChars="3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对于需要实施政府采购的项目，严格履行政府采购手续，根据不同项目的采购形式组织专家评审或公开招标，将采购政策、采购程序、采购过程规范化、透明化，提升了对社会资源和财政资金的使用效果。</w:t>
      </w:r>
    </w:p>
    <w:bookmarkEnd w:id="12"/>
    <w:bookmarkEnd w:id="13"/>
    <w:p>
      <w:pPr>
        <w:pStyle w:val="3"/>
        <w:numPr>
          <w:ilvl w:val="0"/>
          <w:numId w:val="4"/>
        </w:numPr>
        <w:ind w:firstLine="643"/>
        <w:rPr>
          <w:color w:val="auto"/>
          <w:highlight w:val="none"/>
        </w:rPr>
      </w:pPr>
      <w:r>
        <w:rPr>
          <w:rFonts w:hint="eastAsia"/>
          <w:color w:val="auto"/>
          <w:highlight w:val="none"/>
        </w:rPr>
        <w:t>存在的问题及原因分析</w:t>
      </w:r>
    </w:p>
    <w:p>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1.项目表演、艺术性有续进一步提升；影响范围还没走向全国；传承队伍相对老化、缺少中青年传承人。</w:t>
      </w:r>
    </w:p>
    <w:p>
      <w:pPr>
        <w:pStyle w:val="2"/>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2.本项目实际形成支出16.31万元，已完成补助国家级非遗代表性项目1个,项目审批程序复杂，建设用地指标少、审批难，因各项手续多、周期长，在一定程度上影响了资金支付进度；</w:t>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firstLineChars="200"/>
        <w:rPr>
          <w:rFonts w:ascii="黑体" w:hAnsi="黑体" w:eastAsia="黑体" w:cs="黑体"/>
          <w:b w:val="0"/>
          <w:bCs w:val="0"/>
          <w:color w:val="auto"/>
          <w:sz w:val="32"/>
          <w:szCs w:val="32"/>
          <w:highlight w:val="none"/>
        </w:rPr>
      </w:pPr>
      <w:r>
        <w:rPr>
          <w:rFonts w:hint="eastAsia" w:cs="Times New Roman"/>
          <w:b w:val="0"/>
          <w:bCs w:val="0"/>
          <w:color w:val="auto"/>
          <w:kern w:val="2"/>
          <w:sz w:val="28"/>
          <w:szCs w:val="24"/>
          <w:highlight w:val="none"/>
          <w:lang w:val="en-US" w:eastAsia="zh-CN" w:bidi="ar-SA"/>
        </w:rPr>
        <w:t>1.</w:t>
      </w:r>
      <w:r>
        <w:rPr>
          <w:rFonts w:hint="eastAsia" w:ascii="仿宋_GB2312" w:hAnsi="仿宋_GB2312" w:eastAsia="仿宋_GB2312" w:cs="Times New Roman"/>
          <w:b w:val="0"/>
          <w:bCs w:val="0"/>
          <w:color w:val="auto"/>
          <w:kern w:val="2"/>
          <w:sz w:val="28"/>
          <w:szCs w:val="24"/>
          <w:highlight w:val="none"/>
          <w:lang w:val="en-US" w:eastAsia="zh-CN" w:bidi="ar-SA"/>
        </w:rPr>
        <w:t>进一步推广萨吾尔登舞蹈，多进学校和社区辅导，影响年轻人，培养年轻人稳步提升中华优秀传统艺术与普及。</w:t>
      </w:r>
    </w:p>
    <w:p>
      <w:p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2.</w:t>
      </w:r>
      <w:r>
        <w:rPr>
          <w:rFonts w:hint="eastAsia" w:ascii="仿宋_GB2312" w:hAnsi="仿宋_GB2312" w:eastAsia="仿宋_GB2312" w:cs="Times New Roman"/>
          <w:b w:val="0"/>
          <w:bCs w:val="0"/>
          <w:color w:val="auto"/>
          <w:kern w:val="2"/>
          <w:sz w:val="28"/>
          <w:szCs w:val="24"/>
          <w:highlight w:val="none"/>
          <w:lang w:val="en-US" w:eastAsia="zh-CN" w:bidi="ar-SA"/>
        </w:rPr>
        <w:t>推进项目实施管理与资金使用的匹配，根据项目实施计划，制定出科学合理的资金支出方式，不断提高资金使用效率,合理安排使用资金，严抓专项资金的规范使用。为保证资金的安全、合理、高效使用，根据和静县政府、财政局的要求，我单位按照有关资金管理规定，对项目资金的安排、资金使用、资金监管等严格把控。完善单位绩效考核机制，保证预算资金按照目标执行,加强绩效目标设置管理，减少数据偏差，规范预算人员对项目的核算，提高项目预算的准确性。加强单位各科室之间对预算编制的充分沟通，预算编制主要由财务部门负责，财务人员重点在于对数据的统计分析，缺乏对单位项目实际情况的了解，应与各科室加强沟通，使得预算得到有效执行。</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1ZDEzMmQ2YzViYWVjNmI0NzUzZWQ0ZTg4M2Y1MT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7E29E8"/>
    <w:rsid w:val="0708351A"/>
    <w:rsid w:val="0817778D"/>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1F098A"/>
    <w:rsid w:val="17853471"/>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74973E6"/>
    <w:rsid w:val="289879A1"/>
    <w:rsid w:val="28A61969"/>
    <w:rsid w:val="28E60D8A"/>
    <w:rsid w:val="29C05630"/>
    <w:rsid w:val="2A053F0F"/>
    <w:rsid w:val="2A0C569A"/>
    <w:rsid w:val="2A315563"/>
    <w:rsid w:val="2A5C3075"/>
    <w:rsid w:val="2AE61515"/>
    <w:rsid w:val="2B1F5779"/>
    <w:rsid w:val="2C103347"/>
    <w:rsid w:val="2DC37189"/>
    <w:rsid w:val="2DFA2E97"/>
    <w:rsid w:val="2E483E7E"/>
    <w:rsid w:val="2FCE2953"/>
    <w:rsid w:val="2FDE37A9"/>
    <w:rsid w:val="315B7BD0"/>
    <w:rsid w:val="332F7DDD"/>
    <w:rsid w:val="33944516"/>
    <w:rsid w:val="33FE342B"/>
    <w:rsid w:val="3522787D"/>
    <w:rsid w:val="36185B49"/>
    <w:rsid w:val="36A23DE4"/>
    <w:rsid w:val="379F4CA9"/>
    <w:rsid w:val="38300B2F"/>
    <w:rsid w:val="386532D8"/>
    <w:rsid w:val="38CC7587"/>
    <w:rsid w:val="3A8B235A"/>
    <w:rsid w:val="3BB84807"/>
    <w:rsid w:val="3C494A2A"/>
    <w:rsid w:val="3E04329F"/>
    <w:rsid w:val="3ED454B4"/>
    <w:rsid w:val="3F7F1B3D"/>
    <w:rsid w:val="402112BD"/>
    <w:rsid w:val="413E2617"/>
    <w:rsid w:val="426D5922"/>
    <w:rsid w:val="446A2417"/>
    <w:rsid w:val="453453BA"/>
    <w:rsid w:val="49DF11B1"/>
    <w:rsid w:val="4A301681"/>
    <w:rsid w:val="4A94466D"/>
    <w:rsid w:val="4A996944"/>
    <w:rsid w:val="4B545786"/>
    <w:rsid w:val="4C3216AC"/>
    <w:rsid w:val="4D600BD3"/>
    <w:rsid w:val="4E4A6D47"/>
    <w:rsid w:val="4E936844"/>
    <w:rsid w:val="4EC15329"/>
    <w:rsid w:val="4F733A2D"/>
    <w:rsid w:val="4FB67747"/>
    <w:rsid w:val="4FD56C07"/>
    <w:rsid w:val="500656EA"/>
    <w:rsid w:val="511FF2A1"/>
    <w:rsid w:val="55A5494A"/>
    <w:rsid w:val="56803BC3"/>
    <w:rsid w:val="56C318CE"/>
    <w:rsid w:val="56FD7960"/>
    <w:rsid w:val="57010F17"/>
    <w:rsid w:val="59C02DAD"/>
    <w:rsid w:val="5B1433B1"/>
    <w:rsid w:val="5C0731FC"/>
    <w:rsid w:val="5E0A0A9B"/>
    <w:rsid w:val="5F9C5101"/>
    <w:rsid w:val="5FAD3ACF"/>
    <w:rsid w:val="618129F7"/>
    <w:rsid w:val="626F3307"/>
    <w:rsid w:val="62EE2619"/>
    <w:rsid w:val="653A5570"/>
    <w:rsid w:val="66F91E37"/>
    <w:rsid w:val="68291A1A"/>
    <w:rsid w:val="691B1594"/>
    <w:rsid w:val="69BD5A21"/>
    <w:rsid w:val="6A8120E5"/>
    <w:rsid w:val="6ACE22AC"/>
    <w:rsid w:val="6C8F7691"/>
    <w:rsid w:val="6CBF6EF4"/>
    <w:rsid w:val="6F0D6C22"/>
    <w:rsid w:val="6FD57E76"/>
    <w:rsid w:val="6FF06988"/>
    <w:rsid w:val="70F44064"/>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4</TotalTime>
  <ScaleCrop>false</ScaleCrop>
  <LinksUpToDate>false</LinksUpToDate>
  <CharactersWithSpaces>9435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Chiu_Lung_Dan</cp:lastModifiedBy>
  <dcterms:modified xsi:type="dcterms:W3CDTF">2024-04-02T12:41:56Z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367025670B514AF2B1A89FAF27F69472_13</vt:lpwstr>
  </property>
</Properties>
</file>