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312" w:beforeLines="100" w:line="480" w:lineRule="auto"/>
        <w:ind w:firstLine="0" w:firstLineChars="0"/>
        <w:jc w:val="center"/>
        <w:rPr>
          <w:rFonts w:ascii="黑体" w:hAnsi="黑体" w:eastAsia="黑体" w:cs="黑体"/>
          <w:color w:val="auto"/>
          <w:sz w:val="44"/>
          <w:szCs w:val="44"/>
          <w:highlight w:val="none"/>
        </w:rPr>
      </w:pPr>
      <w:bookmarkStart w:id="0" w:name="_Toc23945_WPSOffice_Level1"/>
      <w:r>
        <w:rPr>
          <w:rFonts w:hint="eastAsia" w:ascii="黑体" w:hAnsi="黑体" w:eastAsia="黑体" w:cs="黑体"/>
          <w:color w:val="auto"/>
          <w:sz w:val="44"/>
          <w:szCs w:val="44"/>
          <w:highlight w:val="none"/>
        </w:rPr>
        <w:t>部门单位整体支出绩效自评报告</w:t>
      </w:r>
    </w:p>
    <w:p>
      <w:pPr>
        <w:pStyle w:val="3"/>
        <w:rPr>
          <w:color w:val="auto"/>
          <w:highlight w:val="none"/>
        </w:rPr>
      </w:pPr>
      <w:r>
        <w:rPr>
          <w:rFonts w:hint="eastAsia"/>
          <w:color w:val="auto"/>
          <w:highlight w:val="none"/>
        </w:rPr>
        <w:t>一、基本概况</w:t>
      </w:r>
      <w:bookmarkEnd w:id="0"/>
    </w:p>
    <w:p>
      <w:pPr>
        <w:pStyle w:val="4"/>
        <w:spacing w:before="156"/>
        <w:ind w:firstLine="643"/>
        <w:rPr>
          <w:color w:val="auto"/>
          <w:highlight w:val="none"/>
        </w:rPr>
      </w:pPr>
      <w:r>
        <w:rPr>
          <w:rFonts w:hint="eastAsia"/>
          <w:color w:val="auto"/>
          <w:highlight w:val="none"/>
        </w:rPr>
        <w:t>（一）部门单位基本情况</w:t>
      </w:r>
    </w:p>
    <w:p>
      <w:pPr>
        <w:ind w:firstLine="560"/>
        <w:rPr>
          <w:color w:val="auto"/>
          <w:highlight w:val="none"/>
        </w:rPr>
      </w:pPr>
      <w:r>
        <w:rPr>
          <w:rFonts w:hint="eastAsia"/>
          <w:color w:val="auto"/>
          <w:highlight w:val="none"/>
        </w:rPr>
        <w:t>1.部门主要职能</w:t>
      </w:r>
    </w:p>
    <w:p>
      <w:pPr>
        <w:ind w:firstLine="560"/>
        <w:rPr>
          <w:color w:val="auto"/>
          <w:highlight w:val="none"/>
        </w:rPr>
      </w:pPr>
      <w:r>
        <w:rPr>
          <w:rFonts w:hint="eastAsia"/>
          <w:color w:val="auto"/>
          <w:highlight w:val="none"/>
        </w:rPr>
        <w:t>和静县教育和科学技术局为参照公务员管理的正科级单位，主要职责是：</w:t>
      </w:r>
      <w:r>
        <w:rPr>
          <w:rFonts w:hint="eastAsia"/>
          <w:color w:val="auto"/>
          <w:highlight w:val="none"/>
        </w:rPr>
        <w:br w:type="textWrapping"/>
      </w:r>
      <w:r>
        <w:rPr>
          <w:rFonts w:hint="eastAsia"/>
          <w:color w:val="auto"/>
          <w:highlight w:val="none"/>
        </w:rPr>
        <w:t>（1）贯彻执行党和国家的教育科技方针、政策和法律、法规，组织开展教育行政执法。　　</w:t>
      </w:r>
      <w:r>
        <w:rPr>
          <w:rFonts w:hint="eastAsia"/>
          <w:color w:val="auto"/>
          <w:highlight w:val="none"/>
        </w:rPr>
        <w:br w:type="textWrapping"/>
      </w:r>
      <w:r>
        <w:rPr>
          <w:rFonts w:hint="eastAsia"/>
          <w:color w:val="auto"/>
          <w:highlight w:val="none"/>
        </w:rPr>
        <w:t>（2）根据上级主管部门和县委、县人民政府的总体部署，制定教育科技事业发展规划、年度计划和适合本地实际的教育、科技实施办法、细则和具体措施，并做好监督执行工作。巩固提高“两基”工作成果和整体水平</w:t>
      </w:r>
      <w:r>
        <w:rPr>
          <w:rFonts w:hint="eastAsia"/>
          <w:color w:val="auto"/>
          <w:highlight w:val="none"/>
          <w:lang w:eastAsia="zh-CN"/>
        </w:rPr>
        <w:t>，</w:t>
      </w:r>
      <w:r>
        <w:rPr>
          <w:rFonts w:hint="eastAsia"/>
          <w:color w:val="auto"/>
          <w:highlight w:val="none"/>
        </w:rPr>
        <w:t>配合各级人民政府依法动员、组织适龄儿童少年入学</w:t>
      </w:r>
      <w:r>
        <w:rPr>
          <w:rFonts w:hint="eastAsia"/>
          <w:color w:val="auto"/>
          <w:highlight w:val="none"/>
          <w:lang w:eastAsia="zh-CN"/>
        </w:rPr>
        <w:t>，</w:t>
      </w:r>
      <w:r>
        <w:rPr>
          <w:rFonts w:hint="eastAsia"/>
          <w:color w:val="auto"/>
          <w:highlight w:val="none"/>
        </w:rPr>
        <w:t>严格控制辍学。　　</w:t>
      </w:r>
      <w:r>
        <w:rPr>
          <w:rFonts w:hint="eastAsia"/>
          <w:color w:val="auto"/>
          <w:highlight w:val="none"/>
        </w:rPr>
        <w:br w:type="textWrapping"/>
      </w:r>
      <w:r>
        <w:rPr>
          <w:rFonts w:hint="eastAsia"/>
          <w:color w:val="auto"/>
          <w:highlight w:val="none"/>
        </w:rPr>
        <w:t>（3）归口管理全县教育系统对外及地区间教育系统的交流、学习工作。负责参与拟定教育经费筹措、管理和学生资助的方针、政策的制定，负责统计全县教育经费的投入情况、指导、协调全县各中小学家庭经济困难学生的资助管理工作。　　</w:t>
      </w:r>
      <w:r>
        <w:rPr>
          <w:rFonts w:hint="eastAsia"/>
          <w:color w:val="auto"/>
          <w:highlight w:val="none"/>
        </w:rPr>
        <w:br w:type="textWrapping"/>
      </w:r>
      <w:r>
        <w:rPr>
          <w:rFonts w:hint="eastAsia"/>
          <w:color w:val="auto"/>
          <w:highlight w:val="none"/>
        </w:rPr>
        <w:t>（4）会同有关部门落实教育科技经费预决算的管理，拟定和静县教育基础建设投资原则与计划，改善办学条件，归口管理国家和自治州对我县的教育援助，统计全县教育经费投入情况，监督全县教育经费的使用情况。　　</w:t>
      </w:r>
      <w:r>
        <w:rPr>
          <w:rFonts w:hint="eastAsia"/>
          <w:color w:val="auto"/>
          <w:highlight w:val="none"/>
        </w:rPr>
        <w:br w:type="textWrapping"/>
      </w:r>
      <w:r>
        <w:rPr>
          <w:rFonts w:hint="eastAsia"/>
          <w:color w:val="auto"/>
          <w:highlight w:val="none"/>
        </w:rPr>
        <w:t>（5）贯彻党的民族教育政策，落实国家语言文字工作的方针、政策，组织协调、监督检查汉语语言文字的规范化建设，指导推广普通话工作和普通话师资培训工作，努力培养民族师资队伍，切实加强双语文字教学工作。　　</w:t>
      </w:r>
      <w:r>
        <w:rPr>
          <w:rFonts w:hint="eastAsia"/>
          <w:color w:val="auto"/>
          <w:highlight w:val="none"/>
        </w:rPr>
        <w:br w:type="textWrapping"/>
      </w:r>
      <w:r>
        <w:rPr>
          <w:rFonts w:hint="eastAsia"/>
          <w:color w:val="auto"/>
          <w:highlight w:val="none"/>
        </w:rPr>
        <w:t>（6）指导全县中小学教育招生考试工作，承担高中招生考试和学籍学历管理工作；主管全县教师工作，负责指导教育系统专业技术职务评聘工作，组织实施教师继续教育、资格认定和校长培训工作。　　</w:t>
      </w:r>
      <w:r>
        <w:rPr>
          <w:rFonts w:hint="eastAsia"/>
          <w:color w:val="auto"/>
          <w:highlight w:val="none"/>
        </w:rPr>
        <w:br w:type="textWrapping"/>
      </w:r>
      <w:r>
        <w:rPr>
          <w:rFonts w:hint="eastAsia"/>
          <w:color w:val="auto"/>
          <w:highlight w:val="none"/>
        </w:rPr>
        <w:t>（7）全县中小学及幼儿园教师的管理、调配录用各类教师的分配、安置和录用聘任工作；指导教育系统人才队伍建设和学校团队工会、综治安全和精神文明建设等工作。</w:t>
      </w:r>
    </w:p>
    <w:p>
      <w:pPr>
        <w:ind w:firstLine="560"/>
        <w:rPr>
          <w:color w:val="auto"/>
          <w:highlight w:val="none"/>
        </w:rPr>
      </w:pPr>
      <w:r>
        <w:rPr>
          <w:rFonts w:hint="eastAsia"/>
          <w:color w:val="auto"/>
          <w:highlight w:val="none"/>
        </w:rPr>
        <w:t>2.部门机构设置及人员构成</w:t>
      </w:r>
    </w:p>
    <w:p>
      <w:pPr>
        <w:ind w:firstLine="560"/>
        <w:rPr>
          <w:color w:val="auto"/>
          <w:highlight w:val="none"/>
        </w:rPr>
      </w:pPr>
      <w:r>
        <w:rPr>
          <w:rFonts w:hint="eastAsia"/>
          <w:color w:val="auto"/>
          <w:highlight w:val="none"/>
        </w:rPr>
        <w:t>根据上述职责，和静县教育和科学技术局设有11个内设机构：教育工会、学生资助中心、教育研究室、督导室、信息化办公室、教师发展委员会、招生办、综合维稳办、经费核算中心、青少年发展中心、科技综合服务中心。</w:t>
      </w:r>
    </w:p>
    <w:p>
      <w:pPr>
        <w:ind w:firstLine="560"/>
        <w:rPr>
          <w:rFonts w:ascii="Arial" w:hAnsi="Arial" w:eastAsia="楷体_GB2312"/>
          <w:b/>
          <w:color w:val="auto"/>
          <w:sz w:val="32"/>
          <w:highlight w:val="none"/>
        </w:rPr>
      </w:pPr>
      <w:r>
        <w:rPr>
          <w:rFonts w:hint="eastAsia"/>
          <w:color w:val="auto"/>
          <w:highlight w:val="none"/>
        </w:rPr>
        <w:t>下属单位33个，分别是：和静县第一中学、和静县第一中学、和静县第二中学、和静县第三中学、和静县第四中学、和静县第五中学、和静县第六中学、和静高级中学、和静县中等职业学校、和静县第一小学、和静县第二小学、和静县第三小学、和静县第四小学、和静县第五小学、和静县第六小学、和静县第七小学、和静县第八小学、和静县第九小学、和静县第十小学、和静县第十一小学、和静县第十二小学、和静县巴音布鲁克寄宿制学校、和静县第一幼儿园、和静县第二幼儿园、和静县第三幼儿园、和静县第四幼儿园、和静县第五幼儿园、和静县第六幼儿园、和静县第七幼儿园、和静县第八幼儿园、和静县第九幼儿园、和静县查汗通古村河北幼儿园、和静县额勒再特乌鲁乡幼儿园、和静县夏尔布鲁克村幼儿园。</w:t>
      </w:r>
      <w:r>
        <w:rPr>
          <w:rFonts w:hint="eastAsia"/>
          <w:color w:val="auto"/>
          <w:highlight w:val="none"/>
        </w:rPr>
        <w:br w:type="textWrapping"/>
      </w:r>
      <w:r>
        <w:rPr>
          <w:rFonts w:hint="eastAsia" w:ascii="Arial" w:hAnsi="Arial" w:eastAsia="楷体_GB2312"/>
          <w:b/>
          <w:color w:val="auto"/>
          <w:sz w:val="32"/>
          <w:highlight w:val="none"/>
        </w:rPr>
        <w:t>（二）部门单位年度重点工作</w:t>
      </w:r>
    </w:p>
    <w:p>
      <w:pPr>
        <w:ind w:firstLine="560"/>
        <w:rPr>
          <w:color w:val="auto"/>
          <w:highlight w:val="none"/>
        </w:rPr>
      </w:pPr>
      <w:r>
        <w:rPr>
          <w:color w:val="auto"/>
          <w:highlight w:val="none"/>
        </w:rPr>
        <w:t>一是健全议事决策制度，发挥集体决策功能。下发《和静县教育系统关于加强和改进中小学校党组织领导的校长负责制的实施意见》，充分发挥党组织领导作用，保障校长依法依规行使职权，建立健全党组织统一领导、党政分工合作、协调运行的工作机制，70个党（总）支部完成党组织会议、校长办公会议（校务会议）议事规则制定、审查、备案。召开组织党组织书记（校长）工作例会10场次，开展专题培训1场次，理清党组织会议和校长办公会议（校务会）的决策流程及内容，不断提高议事决策水平，进一步提高党建工作科学化、规范化水平。</w:t>
      </w:r>
    </w:p>
    <w:p>
      <w:pPr>
        <w:ind w:firstLine="560"/>
        <w:rPr>
          <w:color w:val="auto"/>
          <w:highlight w:val="none"/>
        </w:rPr>
      </w:pPr>
      <w:r>
        <w:rPr>
          <w:color w:val="auto"/>
          <w:highlight w:val="none"/>
        </w:rPr>
        <w:t xml:space="preserve">二是优化基层党组织设置，选好配强领导干部。对全县学校党组织建设现状、班子配备情况摸底调查，通过全面排查、个性分析、调整优化的方式，规范党组织设置，32所学校，学校是党委的1所，党总支的12所，党支部19所，是党总支的学校党组织书记、校长分设，是党支部的，党组织书记、校长一肩挑，配备党支部专职副书记13个，学校行政班子副职中的党员全部进入党组织班子。不断优化教育布局，将学校党组织划分为11个教育集团，分团实施、稳慎推进，强化集团总校对成员学校党建工作指导，深化集团化办学改革，增加优质教育资源覆盖面，促进教育优质均衡发展。 </w:t>
      </w:r>
    </w:p>
    <w:p>
      <w:pPr>
        <w:ind w:firstLine="560"/>
        <w:rPr>
          <w:color w:val="auto"/>
          <w:highlight w:val="none"/>
        </w:rPr>
      </w:pPr>
      <w:r>
        <w:rPr>
          <w:color w:val="auto"/>
          <w:highlight w:val="none"/>
        </w:rPr>
        <w:t>三是严肃党的组织生活，推动党建与业务深度融合。坚持党建引领，实现“一切工作到支部”，创新活动方式，全面实施“一校一品”党建品牌创建培育工程，将“三会一课”“党旗映天山”主题党日等活动开展的丰富多彩，制定“党旗映天山”主题党日活动全年计划，将21项主要内容计划在每个月，严格落实“第一议题”“首学一小时”制度</w:t>
      </w:r>
      <w:r>
        <w:rPr>
          <w:rFonts w:hint="eastAsia"/>
          <w:color w:val="auto"/>
          <w:highlight w:val="none"/>
        </w:rPr>
        <w:t>，</w:t>
      </w:r>
      <w:r>
        <w:rPr>
          <w:color w:val="auto"/>
          <w:highlight w:val="none"/>
        </w:rPr>
        <w:t>持续推进党建带群团“每课三分钟”质量提升，全面推进“三进两联一交友”暨全员导师制工作，学生包联覆盖率达到100%。</w:t>
      </w:r>
    </w:p>
    <w:p>
      <w:pPr>
        <w:pStyle w:val="4"/>
        <w:spacing w:before="156"/>
        <w:ind w:firstLine="643"/>
        <w:rPr>
          <w:color w:val="auto"/>
          <w:highlight w:val="none"/>
        </w:rPr>
      </w:pPr>
      <w:r>
        <w:rPr>
          <w:rFonts w:hint="eastAsia"/>
          <w:color w:val="auto"/>
          <w:highlight w:val="none"/>
        </w:rPr>
        <w:t>（三）部门单位整体预算规模及安排情况</w:t>
      </w:r>
    </w:p>
    <w:p>
      <w:pPr>
        <w:ind w:firstLine="602"/>
        <w:rPr>
          <w:b/>
          <w:bCs/>
          <w:color w:val="auto"/>
          <w:sz w:val="30"/>
          <w:szCs w:val="32"/>
          <w:highlight w:val="none"/>
        </w:rPr>
      </w:pPr>
      <w:r>
        <w:rPr>
          <w:rFonts w:hint="eastAsia"/>
          <w:b/>
          <w:bCs/>
          <w:color w:val="auto"/>
          <w:sz w:val="30"/>
          <w:szCs w:val="32"/>
          <w:highlight w:val="none"/>
        </w:rPr>
        <w:t>1.预算执行情况</w:t>
      </w:r>
    </w:p>
    <w:p>
      <w:pPr>
        <w:ind w:firstLine="560"/>
        <w:rPr>
          <w:color w:val="auto"/>
          <w:highlight w:val="none"/>
        </w:rPr>
      </w:pPr>
      <w:r>
        <w:rPr>
          <w:rFonts w:hint="eastAsia"/>
          <w:color w:val="auto"/>
          <w:highlight w:val="none"/>
        </w:rPr>
        <w:t>（1）年初预算执行情况</w:t>
      </w:r>
    </w:p>
    <w:p>
      <w:pPr>
        <w:ind w:firstLine="560"/>
        <w:rPr>
          <w:color w:val="auto"/>
          <w:highlight w:val="none"/>
        </w:rPr>
      </w:pPr>
      <w:r>
        <w:rPr>
          <w:rFonts w:hint="eastAsia"/>
          <w:color w:val="auto"/>
          <w:highlight w:val="none"/>
        </w:rPr>
        <w:t>我单位年初预算数为59756.57万元，实际预算执行数59756.57万元，预算执行率为100%。</w:t>
      </w:r>
    </w:p>
    <w:p>
      <w:pPr>
        <w:ind w:firstLine="560"/>
        <w:rPr>
          <w:color w:val="auto"/>
          <w:highlight w:val="none"/>
        </w:rPr>
      </w:pPr>
      <w:r>
        <w:rPr>
          <w:rFonts w:hint="eastAsia"/>
          <w:color w:val="auto"/>
          <w:highlight w:val="none"/>
        </w:rPr>
        <w:t>（2）全年预算执行情况</w:t>
      </w:r>
    </w:p>
    <w:p>
      <w:pPr>
        <w:ind w:firstLine="560"/>
        <w:rPr>
          <w:color w:val="auto"/>
          <w:highlight w:val="none"/>
        </w:rPr>
      </w:pPr>
      <w:r>
        <w:rPr>
          <w:rFonts w:hint="eastAsia"/>
          <w:color w:val="auto"/>
          <w:highlight w:val="none"/>
        </w:rPr>
        <w:t>全年预算数为64941.16万元，全年实际支出资金64800.5万元，预算执行率为99.78%。</w:t>
      </w:r>
    </w:p>
    <w:p>
      <w:pPr>
        <w:pStyle w:val="2"/>
        <w:ind w:firstLine="602"/>
        <w:rPr>
          <w:color w:val="auto"/>
          <w:highlight w:val="none"/>
        </w:rPr>
      </w:pPr>
      <w:r>
        <w:rPr>
          <w:rFonts w:hint="eastAsia"/>
          <w:color w:val="auto"/>
          <w:highlight w:val="none"/>
        </w:rPr>
        <w:t>2.预算调整（追加减）情况</w:t>
      </w:r>
    </w:p>
    <w:p>
      <w:pPr>
        <w:ind w:firstLine="560"/>
        <w:rPr>
          <w:color w:val="auto"/>
          <w:highlight w:val="none"/>
        </w:rPr>
      </w:pPr>
      <w:r>
        <w:rPr>
          <w:rFonts w:hint="eastAsia"/>
          <w:color w:val="auto"/>
          <w:highlight w:val="none"/>
        </w:rPr>
        <w:t>我单位年初批复预算数59756.57万元，年中调整数5184.59万元，调整后全年预算数64941.16万元，预算调整率6.1%。</w:t>
      </w:r>
    </w:p>
    <w:p>
      <w:pPr>
        <w:pStyle w:val="2"/>
        <w:ind w:firstLine="602"/>
        <w:rPr>
          <w:color w:val="auto"/>
          <w:highlight w:val="none"/>
        </w:rPr>
      </w:pPr>
      <w:r>
        <w:rPr>
          <w:color w:val="auto"/>
          <w:highlight w:val="none"/>
        </w:rPr>
        <w:t>3.资金使用主要内容、涉及的范围</w:t>
      </w:r>
    </w:p>
    <w:p>
      <w:pPr>
        <w:ind w:firstLine="560"/>
        <w:rPr>
          <w:color w:val="auto"/>
          <w:highlight w:val="none"/>
        </w:rPr>
      </w:pPr>
      <w:r>
        <w:rPr>
          <w:color w:val="auto"/>
          <w:highlight w:val="none"/>
        </w:rPr>
        <w:t>我单位2023年度部门整体支出为</w:t>
      </w:r>
      <w:r>
        <w:rPr>
          <w:rFonts w:hint="eastAsia"/>
          <w:color w:val="auto"/>
          <w:highlight w:val="none"/>
        </w:rPr>
        <w:t>64800.5</w:t>
      </w:r>
      <w:r>
        <w:rPr>
          <w:color w:val="auto"/>
          <w:highlight w:val="none"/>
        </w:rPr>
        <w:t>万元，其中：</w:t>
      </w:r>
    </w:p>
    <w:p>
      <w:pPr>
        <w:ind w:firstLine="560"/>
        <w:rPr>
          <w:color w:val="auto"/>
          <w:highlight w:val="none"/>
        </w:rPr>
      </w:pPr>
      <w:r>
        <w:rPr>
          <w:color w:val="auto"/>
          <w:highlight w:val="none"/>
        </w:rPr>
        <w:t>基本支出</w:t>
      </w:r>
      <w:r>
        <w:rPr>
          <w:rFonts w:hint="eastAsia"/>
          <w:color w:val="auto"/>
          <w:highlight w:val="none"/>
        </w:rPr>
        <w:t>60268.57</w:t>
      </w:r>
      <w:r>
        <w:rPr>
          <w:color w:val="auto"/>
          <w:highlight w:val="none"/>
        </w:rPr>
        <w:t>万元，资金的使用方向为我单位机关人员经费支出</w:t>
      </w:r>
      <w:r>
        <w:rPr>
          <w:rFonts w:hint="eastAsia"/>
          <w:color w:val="auto"/>
          <w:highlight w:val="none"/>
        </w:rPr>
        <w:t xml:space="preserve">55018.04 </w:t>
      </w:r>
      <w:r>
        <w:rPr>
          <w:color w:val="auto"/>
          <w:highlight w:val="none"/>
        </w:rPr>
        <w:t>万元</w:t>
      </w:r>
      <w:r>
        <w:rPr>
          <w:rFonts w:hint="eastAsia"/>
          <w:color w:val="auto"/>
          <w:highlight w:val="none"/>
          <w:lang w:eastAsia="zh-CN"/>
        </w:rPr>
        <w:t>，</w:t>
      </w:r>
      <w:r>
        <w:rPr>
          <w:color w:val="auto"/>
          <w:highlight w:val="none"/>
        </w:rPr>
        <w:t>日常公用经费支出</w:t>
      </w:r>
      <w:r>
        <w:rPr>
          <w:rFonts w:hint="eastAsia"/>
          <w:color w:val="auto"/>
          <w:highlight w:val="none"/>
        </w:rPr>
        <w:t xml:space="preserve">5250.53 </w:t>
      </w:r>
      <w:r>
        <w:rPr>
          <w:color w:val="auto"/>
          <w:highlight w:val="none"/>
        </w:rPr>
        <w:t>万元</w:t>
      </w:r>
      <w:r>
        <w:rPr>
          <w:rFonts w:hint="eastAsia"/>
          <w:color w:val="auto"/>
          <w:highlight w:val="none"/>
          <w:lang w:eastAsia="zh-CN"/>
        </w:rPr>
        <w:t>，</w:t>
      </w:r>
      <w:r>
        <w:rPr>
          <w:rFonts w:hint="eastAsia"/>
          <w:color w:val="auto"/>
          <w:highlight w:val="none"/>
        </w:rPr>
        <w:t>主要用于保障人员工资及人员医保、社保、住房公积金等缴费，单位办公用品购买及车辆燃油费及维修等方面支出。</w:t>
      </w:r>
    </w:p>
    <w:p>
      <w:pPr>
        <w:ind w:firstLine="560"/>
        <w:rPr>
          <w:color w:val="auto"/>
          <w:highlight w:val="none"/>
        </w:rPr>
      </w:pPr>
      <w:r>
        <w:rPr>
          <w:color w:val="auto"/>
          <w:highlight w:val="none"/>
        </w:rPr>
        <w:t>项目支出共计4531</w:t>
      </w:r>
      <w:r>
        <w:rPr>
          <w:rFonts w:hint="eastAsia"/>
          <w:color w:val="auto"/>
          <w:highlight w:val="none"/>
        </w:rPr>
        <w:t>.</w:t>
      </w:r>
      <w:r>
        <w:rPr>
          <w:color w:val="auto"/>
          <w:highlight w:val="none"/>
        </w:rPr>
        <w:t>9</w:t>
      </w:r>
      <w:r>
        <w:rPr>
          <w:rFonts w:hint="eastAsia"/>
          <w:color w:val="auto"/>
          <w:highlight w:val="none"/>
        </w:rPr>
        <w:t>3</w:t>
      </w:r>
      <w:r>
        <w:rPr>
          <w:color w:val="auto"/>
          <w:highlight w:val="none"/>
        </w:rPr>
        <w:t>万元，主要用于保障</w:t>
      </w:r>
      <w:r>
        <w:rPr>
          <w:rFonts w:hint="eastAsia"/>
          <w:color w:val="auto"/>
          <w:highlight w:val="none"/>
        </w:rPr>
        <w:t>2023年义务教育薄弱环节改善与能力提升项目（校园文化建设）</w:t>
      </w:r>
      <w:r>
        <w:rPr>
          <w:color w:val="auto"/>
          <w:highlight w:val="none"/>
        </w:rPr>
        <w:t>项目、</w:t>
      </w:r>
      <w:r>
        <w:rPr>
          <w:rFonts w:hint="eastAsia"/>
          <w:color w:val="auto"/>
          <w:highlight w:val="none"/>
        </w:rPr>
        <w:t>和静县第二中学小学部教学楼及附属设施建设</w:t>
      </w:r>
      <w:r>
        <w:rPr>
          <w:color w:val="auto"/>
          <w:highlight w:val="none"/>
        </w:rPr>
        <w:t>项目、</w:t>
      </w:r>
      <w:r>
        <w:rPr>
          <w:rFonts w:hint="eastAsia"/>
          <w:color w:val="auto"/>
          <w:highlight w:val="none"/>
        </w:rPr>
        <w:t>和静县教科局普通话测试点建设</w:t>
      </w:r>
      <w:r>
        <w:rPr>
          <w:color w:val="auto"/>
          <w:highlight w:val="none"/>
        </w:rPr>
        <w:t>项目</w:t>
      </w:r>
      <w:r>
        <w:rPr>
          <w:rFonts w:hint="eastAsia"/>
          <w:color w:val="auto"/>
          <w:highlight w:val="none"/>
        </w:rPr>
        <w:t>、和静县2023年教育系统园舍维修改造项目</w:t>
      </w:r>
      <w:r>
        <w:rPr>
          <w:color w:val="auto"/>
          <w:highlight w:val="none"/>
        </w:rPr>
        <w:t>等项目支出。</w:t>
      </w:r>
    </w:p>
    <w:p>
      <w:pPr>
        <w:pStyle w:val="3"/>
        <w:rPr>
          <w:color w:val="auto"/>
          <w:highlight w:val="none"/>
        </w:rPr>
      </w:pPr>
      <w:bookmarkStart w:id="1" w:name="_Toc32535_WPSOffice_Level1"/>
      <w:r>
        <w:rPr>
          <w:rFonts w:hint="eastAsia"/>
          <w:color w:val="auto"/>
          <w:highlight w:val="none"/>
        </w:rPr>
        <w:t>二、部门单位整体支出管理及使用情况</w:t>
      </w:r>
      <w:bookmarkEnd w:id="1"/>
    </w:p>
    <w:p>
      <w:pPr>
        <w:pStyle w:val="4"/>
        <w:spacing w:before="156"/>
        <w:ind w:firstLine="643"/>
        <w:rPr>
          <w:color w:val="auto"/>
          <w:highlight w:val="none"/>
        </w:rPr>
      </w:pPr>
      <w:r>
        <w:rPr>
          <w:rFonts w:hint="eastAsia"/>
          <w:color w:val="auto"/>
          <w:highlight w:val="none"/>
        </w:rPr>
        <w:t>（一）基本支出和使用情况</w:t>
      </w:r>
    </w:p>
    <w:p>
      <w:pPr>
        <w:ind w:firstLine="560"/>
        <w:rPr>
          <w:color w:val="auto"/>
          <w:highlight w:val="none"/>
        </w:rPr>
      </w:pPr>
      <w:r>
        <w:rPr>
          <w:rFonts w:hint="eastAsia"/>
          <w:color w:val="auto"/>
          <w:highlight w:val="none"/>
        </w:rPr>
        <w:t>基本支出预算是指为保障部门正常运转、完成日常工作任务而制定的本单位人员薪酬福利支出计划和日常办公经费支出计划，可分为人员经费支出和公用经费支出。2023年我单位基本支出全年预算总额60409.24万元，全年实际支出</w:t>
      </w:r>
      <w:r>
        <w:rPr>
          <w:color w:val="auto"/>
          <w:highlight w:val="none"/>
        </w:rPr>
        <w:t>60268</w:t>
      </w:r>
      <w:r>
        <w:rPr>
          <w:rFonts w:hint="eastAsia"/>
          <w:color w:val="auto"/>
          <w:highlight w:val="none"/>
        </w:rPr>
        <w:t>.</w:t>
      </w:r>
      <w:r>
        <w:rPr>
          <w:color w:val="auto"/>
          <w:highlight w:val="none"/>
        </w:rPr>
        <w:t>5</w:t>
      </w:r>
      <w:r>
        <w:rPr>
          <w:rFonts w:hint="eastAsia"/>
          <w:color w:val="auto"/>
          <w:highlight w:val="none"/>
        </w:rPr>
        <w:t>7万元，资金执行率99.77%。基本支出严格按照财务管理制度执行，其中：</w:t>
      </w:r>
    </w:p>
    <w:p>
      <w:pPr>
        <w:ind w:firstLine="560"/>
        <w:rPr>
          <w:color w:val="auto"/>
          <w:highlight w:val="none"/>
        </w:rPr>
      </w:pPr>
      <w:r>
        <w:rPr>
          <w:rFonts w:hint="eastAsia"/>
          <w:color w:val="auto"/>
          <w:highlight w:val="none"/>
        </w:rPr>
        <w:t>人员经费支出</w:t>
      </w:r>
      <w:r>
        <w:rPr>
          <w:color w:val="auto"/>
          <w:highlight w:val="none"/>
        </w:rPr>
        <w:t>55018</w:t>
      </w:r>
      <w:r>
        <w:rPr>
          <w:rFonts w:hint="eastAsia"/>
          <w:color w:val="auto"/>
          <w:highlight w:val="none"/>
        </w:rPr>
        <w:t>.04万元，主要包括：基本工资、津贴补贴、奖金、绩效工资、机关事业单位基本养老保险缴费、职业年金缴费、职工基本医疗保险缴费、公务员医疗补助缴费、其他社会保障缴费、住房公积金、其他工资福利支出、离休费、生活补助、医疗费补助、其他对个人和家庭的补助支出等。</w:t>
      </w:r>
    </w:p>
    <w:p>
      <w:pPr>
        <w:ind w:firstLine="560"/>
        <w:rPr>
          <w:color w:val="auto"/>
          <w:highlight w:val="none"/>
        </w:rPr>
      </w:pPr>
      <w:r>
        <w:rPr>
          <w:rFonts w:hint="eastAsia"/>
          <w:color w:val="auto"/>
          <w:highlight w:val="none"/>
        </w:rPr>
        <w:t>公用经费支出</w:t>
      </w:r>
      <w:r>
        <w:rPr>
          <w:color w:val="auto"/>
          <w:highlight w:val="none"/>
        </w:rPr>
        <w:t>5250</w:t>
      </w:r>
      <w:r>
        <w:rPr>
          <w:rFonts w:hint="eastAsia"/>
          <w:color w:val="auto"/>
          <w:highlight w:val="none"/>
        </w:rPr>
        <w:t>.</w:t>
      </w:r>
      <w:r>
        <w:rPr>
          <w:color w:val="auto"/>
          <w:highlight w:val="none"/>
        </w:rPr>
        <w:t>5</w:t>
      </w:r>
      <w:r>
        <w:rPr>
          <w:rFonts w:hint="eastAsia"/>
          <w:color w:val="auto"/>
          <w:highlight w:val="none"/>
        </w:rPr>
        <w:t>3万元，主要包括：办公费、印刷费、水费、电费、邮电费、取暖费、物业管理费、差旅费、培训费、公务接待费、工会经费、福利费、公务用车运行维护费、其他交通费用、其他商品和服务支出。</w:t>
      </w:r>
    </w:p>
    <w:p>
      <w:pPr>
        <w:pStyle w:val="4"/>
        <w:spacing w:before="156"/>
        <w:ind w:firstLine="643"/>
        <w:rPr>
          <w:color w:val="auto"/>
          <w:highlight w:val="none"/>
        </w:rPr>
      </w:pPr>
      <w:r>
        <w:rPr>
          <w:rFonts w:hint="eastAsia"/>
          <w:color w:val="auto"/>
          <w:highlight w:val="none"/>
        </w:rPr>
        <w:t>（二）政策、项目支出和使用情况</w:t>
      </w:r>
    </w:p>
    <w:p>
      <w:pPr>
        <w:ind w:firstLine="560"/>
        <w:rPr>
          <w:color w:val="auto"/>
          <w:highlight w:val="none"/>
        </w:rPr>
      </w:pPr>
      <w:r>
        <w:rPr>
          <w:rFonts w:hint="eastAsia"/>
          <w:color w:val="auto"/>
          <w:highlight w:val="none"/>
        </w:rPr>
        <w:t>1.政策、项目支出的投入情况分析</w:t>
      </w:r>
    </w:p>
    <w:p>
      <w:pPr>
        <w:ind w:firstLine="560"/>
        <w:rPr>
          <w:color w:val="auto"/>
          <w:highlight w:val="none"/>
        </w:rPr>
      </w:pPr>
      <w:r>
        <w:rPr>
          <w:rFonts w:hint="eastAsia"/>
          <w:color w:val="auto"/>
          <w:highlight w:val="none"/>
        </w:rPr>
        <w:t>我单位2023年度共安排项目支出预算</w:t>
      </w:r>
      <w:r>
        <w:rPr>
          <w:color w:val="auto"/>
          <w:highlight w:val="none"/>
        </w:rPr>
        <w:t>4531</w:t>
      </w:r>
      <w:r>
        <w:rPr>
          <w:rFonts w:hint="eastAsia"/>
          <w:color w:val="auto"/>
          <w:highlight w:val="none"/>
        </w:rPr>
        <w:t>.</w:t>
      </w:r>
      <w:r>
        <w:rPr>
          <w:color w:val="auto"/>
          <w:highlight w:val="none"/>
        </w:rPr>
        <w:t>9</w:t>
      </w:r>
      <w:r>
        <w:rPr>
          <w:rFonts w:hint="eastAsia"/>
          <w:color w:val="auto"/>
          <w:highlight w:val="none"/>
        </w:rPr>
        <w:t>3万元</w:t>
      </w:r>
      <w:r>
        <w:rPr>
          <w:rFonts w:hint="eastAsia"/>
          <w:color w:val="auto"/>
          <w:highlight w:val="none"/>
          <w:lang w:eastAsia="zh-CN"/>
        </w:rPr>
        <w:t>（</w:t>
      </w:r>
      <w:r>
        <w:rPr>
          <w:rFonts w:hint="eastAsia"/>
          <w:color w:val="auto"/>
          <w:highlight w:val="none"/>
        </w:rPr>
        <w:t>含上年结余0万元</w:t>
      </w:r>
      <w:r>
        <w:rPr>
          <w:rFonts w:hint="eastAsia"/>
          <w:color w:val="auto"/>
          <w:highlight w:val="none"/>
          <w:lang w:eastAsia="zh-CN"/>
        </w:rPr>
        <w:t>）</w:t>
      </w:r>
      <w:r>
        <w:rPr>
          <w:rFonts w:hint="eastAsia"/>
          <w:color w:val="auto"/>
          <w:highlight w:val="none"/>
        </w:rPr>
        <w:t>，其中：上级专项资金4531.93万元，本级财政资金0万元。</w:t>
      </w:r>
    </w:p>
    <w:p>
      <w:pPr>
        <w:pStyle w:val="2"/>
        <w:ind w:firstLine="602"/>
        <w:rPr>
          <w:color w:val="auto"/>
          <w:highlight w:val="none"/>
        </w:rPr>
      </w:pPr>
      <w:r>
        <w:rPr>
          <w:rFonts w:hint="eastAsia"/>
          <w:color w:val="auto"/>
          <w:highlight w:val="none"/>
        </w:rPr>
        <w:t>2.政策、项目支出管理情况</w:t>
      </w:r>
    </w:p>
    <w:p>
      <w:pPr>
        <w:ind w:firstLine="560"/>
        <w:rPr>
          <w:color w:val="auto"/>
          <w:highlight w:val="none"/>
        </w:rPr>
      </w:pPr>
      <w:r>
        <w:rPr>
          <w:rFonts w:hint="eastAsia"/>
          <w:color w:val="auto"/>
          <w:highlight w:val="none"/>
        </w:rPr>
        <w:t>（1）资金管理情况。我单位项目资金全部按财政国库集中支付制度要求使用和拨付，通过财政直接支付方式拨给项目实施单位。在拨付过程中严把监督审核关，建立健全内部审批制度，财务做好项目</w:t>
      </w:r>
      <w:r>
        <w:rPr>
          <w:rFonts w:hint="eastAsia"/>
          <w:color w:val="auto"/>
          <w:highlight w:val="none"/>
          <w:lang w:eastAsia="zh-CN"/>
        </w:rPr>
        <w:t>专账</w:t>
      </w:r>
      <w:r>
        <w:rPr>
          <w:rFonts w:hint="eastAsia"/>
          <w:color w:val="auto"/>
          <w:highlight w:val="none"/>
        </w:rPr>
        <w:t>，严格实行专款专用，保证资金及时足额用到项目中。2023年上级财政下达我单位专项资金4531.93万元，其中2023年义务教育薄弱环节改善与能力提升项目（校园文化建设）</w:t>
      </w:r>
      <w:r>
        <w:rPr>
          <w:color w:val="auto"/>
          <w:highlight w:val="none"/>
        </w:rPr>
        <w:t>项目</w:t>
      </w:r>
      <w:r>
        <w:rPr>
          <w:rFonts w:hint="eastAsia"/>
          <w:color w:val="auto"/>
          <w:highlight w:val="none"/>
          <w:lang w:eastAsia="zh-CN"/>
        </w:rPr>
        <w:t>、</w:t>
      </w:r>
      <w:r>
        <w:rPr>
          <w:rFonts w:hint="eastAsia"/>
          <w:color w:val="auto"/>
          <w:highlight w:val="none"/>
        </w:rPr>
        <w:t>和静县第二中学小学部教学楼及附属设施建设</w:t>
      </w:r>
      <w:r>
        <w:rPr>
          <w:color w:val="auto"/>
          <w:highlight w:val="none"/>
        </w:rPr>
        <w:t>项目、</w:t>
      </w:r>
      <w:r>
        <w:rPr>
          <w:rFonts w:hint="eastAsia"/>
          <w:color w:val="auto"/>
          <w:highlight w:val="none"/>
        </w:rPr>
        <w:t>和静县教科局普通话测试点建设</w:t>
      </w:r>
      <w:r>
        <w:rPr>
          <w:color w:val="auto"/>
          <w:highlight w:val="none"/>
        </w:rPr>
        <w:t>项目</w:t>
      </w:r>
      <w:r>
        <w:rPr>
          <w:rFonts w:hint="eastAsia"/>
          <w:color w:val="auto"/>
          <w:highlight w:val="none"/>
        </w:rPr>
        <w:t>、和静县2023年教育系统园舍维修改造项目、幼儿园外包经费项目资金全部通过财政国库集中支付方式直接拨给项目实施单位。</w:t>
      </w:r>
    </w:p>
    <w:p>
      <w:pPr>
        <w:ind w:firstLine="560"/>
        <w:rPr>
          <w:color w:val="auto"/>
          <w:highlight w:val="none"/>
        </w:rPr>
      </w:pPr>
      <w:r>
        <w:rPr>
          <w:rFonts w:hint="eastAsia"/>
          <w:color w:val="auto"/>
          <w:highlight w:val="none"/>
        </w:rPr>
        <w:t>（2）项目实施组织管理情况。我单位项目实施和资金使用分配坚持集体决策。对2023年义务教育薄弱环节改善与能力提升项目（校园文化建设）</w:t>
      </w:r>
      <w:r>
        <w:rPr>
          <w:color w:val="auto"/>
          <w:highlight w:val="none"/>
        </w:rPr>
        <w:t>项目</w:t>
      </w:r>
      <w:r>
        <w:rPr>
          <w:rFonts w:hint="eastAsia"/>
          <w:color w:val="auto"/>
          <w:highlight w:val="none"/>
        </w:rPr>
        <w:t>、和静县第二中学小学部教学楼及附属设施建设</w:t>
      </w:r>
      <w:r>
        <w:rPr>
          <w:color w:val="auto"/>
          <w:highlight w:val="none"/>
        </w:rPr>
        <w:t>项目</w:t>
      </w:r>
      <w:r>
        <w:rPr>
          <w:rFonts w:hint="eastAsia"/>
          <w:color w:val="auto"/>
          <w:highlight w:val="none"/>
        </w:rPr>
        <w:t>、和静县教科局普通话测试点建设</w:t>
      </w:r>
      <w:r>
        <w:rPr>
          <w:color w:val="auto"/>
          <w:highlight w:val="none"/>
        </w:rPr>
        <w:t>项目</w:t>
      </w:r>
      <w:r>
        <w:rPr>
          <w:rFonts w:hint="eastAsia"/>
          <w:color w:val="auto"/>
          <w:highlight w:val="none"/>
        </w:rPr>
        <w:t>、和静县2023年教育系统园舍维修改造项目、幼儿园外包经费项目等制订工作方案，明确时间节点，开展项目规划设计、部署工作，认真落实项目任务。工作中突出重点，高标准规划、精细设计，通过政府采购，确定供货单位，明确由乡镇负责监督，并在规定时间完成项目，</w:t>
      </w:r>
      <w:r>
        <w:rPr>
          <w:color w:val="auto"/>
          <w:highlight w:val="none"/>
        </w:rPr>
        <w:t>增加优质教育资源覆盖面，促进教育优质均衡发展</w:t>
      </w:r>
      <w:r>
        <w:rPr>
          <w:rFonts w:hint="eastAsia"/>
          <w:color w:val="auto"/>
          <w:highlight w:val="none"/>
        </w:rPr>
        <w:t>。</w:t>
      </w:r>
    </w:p>
    <w:p>
      <w:pPr>
        <w:ind w:firstLine="560"/>
        <w:rPr>
          <w:color w:val="auto"/>
          <w:highlight w:val="none"/>
        </w:rPr>
      </w:pPr>
      <w:r>
        <w:rPr>
          <w:rFonts w:hint="eastAsia"/>
          <w:color w:val="auto"/>
          <w:highlight w:val="none"/>
        </w:rPr>
        <w:t>3.政策、项目支出总体实际使用情况</w:t>
      </w:r>
    </w:p>
    <w:p>
      <w:pPr>
        <w:ind w:firstLine="560"/>
        <w:rPr>
          <w:color w:val="auto"/>
          <w:highlight w:val="none"/>
        </w:rPr>
      </w:pPr>
      <w:r>
        <w:rPr>
          <w:rFonts w:hint="eastAsia"/>
          <w:color w:val="auto"/>
          <w:highlight w:val="none"/>
        </w:rPr>
        <w:t>我单位2023年度安排项目支出资金4531.93万元，实际支出4531.93万元</w:t>
      </w:r>
      <w:r>
        <w:rPr>
          <w:rFonts w:hint="eastAsia"/>
          <w:color w:val="auto"/>
          <w:highlight w:val="none"/>
          <w:lang w:eastAsia="zh-CN"/>
        </w:rPr>
        <w:t>，</w:t>
      </w:r>
      <w:r>
        <w:rPr>
          <w:rFonts w:hint="eastAsia"/>
          <w:color w:val="auto"/>
          <w:highlight w:val="none"/>
        </w:rPr>
        <w:t>其中：上级专项资金支出4531.93万元，本级财政安排项目资金支出0万元，项目预算资金执行率100%，结转0万元，结余0万元。</w:t>
      </w:r>
      <w:bookmarkStart w:id="2" w:name="_Toc1734_WPSOffice_Level1"/>
    </w:p>
    <w:p>
      <w:pPr>
        <w:ind w:firstLine="560"/>
        <w:rPr>
          <w:color w:val="auto"/>
          <w:highlight w:val="none"/>
        </w:rPr>
      </w:pPr>
      <w:r>
        <w:rPr>
          <w:color w:val="auto"/>
          <w:highlight w:val="none"/>
        </w:rPr>
        <w:t>我单位2023年度安排项目支出主要内容</w:t>
      </w:r>
      <w:r>
        <w:rPr>
          <w:rFonts w:hint="eastAsia"/>
          <w:color w:val="auto"/>
          <w:highlight w:val="none"/>
          <w:lang w:eastAsia="zh-CN"/>
        </w:rPr>
        <w:t>（</w:t>
      </w:r>
      <w:r>
        <w:rPr>
          <w:color w:val="auto"/>
          <w:highlight w:val="none"/>
        </w:rPr>
        <w:t>按功能分类</w:t>
      </w:r>
      <w:r>
        <w:rPr>
          <w:rFonts w:hint="eastAsia"/>
          <w:color w:val="auto"/>
          <w:highlight w:val="none"/>
          <w:lang w:eastAsia="zh-CN"/>
        </w:rPr>
        <w:t>）：</w:t>
      </w:r>
      <w:r>
        <w:rPr>
          <w:color w:val="auto"/>
          <w:highlight w:val="none"/>
        </w:rPr>
        <w:t>包括</w:t>
      </w:r>
      <w:r>
        <w:rPr>
          <w:rFonts w:hint="eastAsia"/>
          <w:color w:val="auto"/>
          <w:highlight w:val="none"/>
        </w:rPr>
        <w:t>学前教育</w:t>
      </w:r>
      <w:r>
        <w:rPr>
          <w:color w:val="auto"/>
          <w:highlight w:val="none"/>
        </w:rPr>
        <w:t>支出39万元，</w:t>
      </w:r>
      <w:r>
        <w:rPr>
          <w:rFonts w:hint="eastAsia"/>
          <w:color w:val="auto"/>
          <w:highlight w:val="none"/>
        </w:rPr>
        <w:t>小学教育</w:t>
      </w:r>
      <w:r>
        <w:rPr>
          <w:color w:val="auto"/>
          <w:highlight w:val="none"/>
        </w:rPr>
        <w:t>支出519</w:t>
      </w:r>
      <w:r>
        <w:rPr>
          <w:rFonts w:hint="eastAsia"/>
          <w:color w:val="auto"/>
          <w:highlight w:val="none"/>
        </w:rPr>
        <w:t>.</w:t>
      </w:r>
      <w:r>
        <w:rPr>
          <w:color w:val="auto"/>
          <w:highlight w:val="none"/>
        </w:rPr>
        <w:t>0</w:t>
      </w:r>
      <w:r>
        <w:rPr>
          <w:rFonts w:hint="eastAsia"/>
          <w:color w:val="auto"/>
          <w:highlight w:val="none"/>
        </w:rPr>
        <w:t>6</w:t>
      </w:r>
      <w:r>
        <w:rPr>
          <w:color w:val="auto"/>
          <w:highlight w:val="none"/>
        </w:rPr>
        <w:t>万元，初中教育支出1199</w:t>
      </w:r>
      <w:r>
        <w:rPr>
          <w:rFonts w:hint="eastAsia"/>
          <w:color w:val="auto"/>
          <w:highlight w:val="none"/>
        </w:rPr>
        <w:t>.</w:t>
      </w:r>
      <w:r>
        <w:rPr>
          <w:color w:val="auto"/>
          <w:highlight w:val="none"/>
        </w:rPr>
        <w:t>27万元，其他普通教育</w:t>
      </w:r>
      <w:r>
        <w:rPr>
          <w:rFonts w:hint="eastAsia"/>
          <w:color w:val="auto"/>
          <w:highlight w:val="none"/>
          <w:lang w:eastAsia="zh-CN"/>
        </w:rPr>
        <w:t>支出</w:t>
      </w:r>
      <w:r>
        <w:rPr>
          <w:color w:val="auto"/>
          <w:highlight w:val="none"/>
        </w:rPr>
        <w:t>100万元，</w:t>
      </w:r>
      <w:r>
        <w:rPr>
          <w:rFonts w:hint="eastAsia"/>
          <w:color w:val="auto"/>
          <w:highlight w:val="none"/>
        </w:rPr>
        <w:t>职业教育</w:t>
      </w:r>
      <w:r>
        <w:rPr>
          <w:color w:val="auto"/>
          <w:highlight w:val="none"/>
        </w:rPr>
        <w:t>支出77</w:t>
      </w:r>
      <w:r>
        <w:rPr>
          <w:rFonts w:hint="eastAsia"/>
          <w:color w:val="auto"/>
          <w:highlight w:val="none"/>
        </w:rPr>
        <w:t>.08</w:t>
      </w:r>
      <w:r>
        <w:rPr>
          <w:color w:val="auto"/>
          <w:highlight w:val="none"/>
        </w:rPr>
        <w:t>万元</w:t>
      </w:r>
      <w:r>
        <w:rPr>
          <w:rFonts w:hint="eastAsia"/>
          <w:color w:val="auto"/>
          <w:highlight w:val="none"/>
        </w:rPr>
        <w:t>。教育费附加安排</w:t>
      </w:r>
      <w:r>
        <w:rPr>
          <w:rFonts w:hint="eastAsia"/>
          <w:color w:val="auto"/>
          <w:highlight w:val="none"/>
          <w:lang w:eastAsia="zh-CN"/>
        </w:rPr>
        <w:t>的支出</w:t>
      </w:r>
      <w:r>
        <w:rPr>
          <w:color w:val="auto"/>
          <w:highlight w:val="none"/>
        </w:rPr>
        <w:t>1760</w:t>
      </w:r>
      <w:r>
        <w:rPr>
          <w:rFonts w:hint="eastAsia"/>
          <w:color w:val="auto"/>
          <w:highlight w:val="none"/>
        </w:rPr>
        <w:t>.</w:t>
      </w:r>
      <w:r>
        <w:rPr>
          <w:color w:val="auto"/>
          <w:highlight w:val="none"/>
        </w:rPr>
        <w:t>9</w:t>
      </w:r>
      <w:r>
        <w:rPr>
          <w:rFonts w:hint="eastAsia"/>
          <w:color w:val="auto"/>
          <w:highlight w:val="none"/>
        </w:rPr>
        <w:t>3万元。科学技术</w:t>
      </w:r>
      <w:r>
        <w:rPr>
          <w:rFonts w:hint="eastAsia"/>
          <w:color w:val="auto"/>
          <w:highlight w:val="none"/>
          <w:lang w:eastAsia="zh-CN"/>
        </w:rPr>
        <w:t>支出</w:t>
      </w:r>
      <w:r>
        <w:rPr>
          <w:color w:val="auto"/>
          <w:highlight w:val="none"/>
        </w:rPr>
        <w:t>638</w:t>
      </w:r>
      <w:r>
        <w:rPr>
          <w:rFonts w:hint="eastAsia"/>
          <w:color w:val="auto"/>
          <w:highlight w:val="none"/>
        </w:rPr>
        <w:t>.</w:t>
      </w:r>
      <w:r>
        <w:rPr>
          <w:color w:val="auto"/>
          <w:highlight w:val="none"/>
        </w:rPr>
        <w:t>5</w:t>
      </w:r>
      <w:r>
        <w:rPr>
          <w:rFonts w:hint="eastAsia"/>
          <w:color w:val="auto"/>
          <w:highlight w:val="none"/>
        </w:rPr>
        <w:t>9万元。其他支出</w:t>
      </w:r>
      <w:r>
        <w:rPr>
          <w:color w:val="auto"/>
          <w:highlight w:val="none"/>
        </w:rPr>
        <w:t>198</w:t>
      </w:r>
      <w:r>
        <w:rPr>
          <w:rFonts w:hint="eastAsia"/>
          <w:color w:val="auto"/>
          <w:highlight w:val="none"/>
        </w:rPr>
        <w:t>.万元。</w:t>
      </w:r>
    </w:p>
    <w:bookmarkEnd w:id="2"/>
    <w:p>
      <w:pPr>
        <w:pStyle w:val="3"/>
        <w:rPr>
          <w:color w:val="auto"/>
          <w:highlight w:val="none"/>
        </w:rPr>
      </w:pPr>
      <w:bookmarkStart w:id="3" w:name="_Toc13582_WPSOffice_Level1"/>
      <w:r>
        <w:rPr>
          <w:rFonts w:hint="eastAsia"/>
          <w:color w:val="auto"/>
          <w:highlight w:val="none"/>
        </w:rPr>
        <w:t>三、部门单位整体支出绩效</w:t>
      </w:r>
      <w:bookmarkEnd w:id="3"/>
      <w:r>
        <w:rPr>
          <w:rFonts w:hint="eastAsia"/>
          <w:color w:val="auto"/>
          <w:highlight w:val="none"/>
        </w:rPr>
        <w:t>分析</w:t>
      </w:r>
    </w:p>
    <w:p>
      <w:pPr>
        <w:ind w:firstLine="560"/>
        <w:rPr>
          <w:color w:val="auto"/>
          <w:highlight w:val="none"/>
        </w:rPr>
      </w:pPr>
      <w:r>
        <w:rPr>
          <w:rFonts w:hint="eastAsia"/>
          <w:color w:val="auto"/>
          <w:highlight w:val="none"/>
        </w:rPr>
        <w:t>我单位2023年度部门整体支出绩效目标，共设置一级指标4个，二级指标12个，三级指标12个，其中已完成三级指标12个，指标完成率为100%。部门整体支出绩效情况如下：</w:t>
      </w:r>
    </w:p>
    <w:p>
      <w:pPr>
        <w:pStyle w:val="3"/>
        <w:rPr>
          <w:color w:val="auto"/>
          <w:highlight w:val="none"/>
        </w:rPr>
      </w:pPr>
      <w:r>
        <w:rPr>
          <w:rFonts w:hint="eastAsia"/>
          <w:color w:val="auto"/>
          <w:highlight w:val="none"/>
        </w:rPr>
        <w:t>（一）基本支出预算执行率指标完成情况分析</w:t>
      </w:r>
    </w:p>
    <w:p>
      <w:pPr>
        <w:ind w:firstLine="560"/>
        <w:rPr>
          <w:color w:val="auto"/>
          <w:highlight w:val="none"/>
        </w:rPr>
      </w:pPr>
      <w:r>
        <w:rPr>
          <w:rFonts w:hint="eastAsia"/>
          <w:color w:val="auto"/>
          <w:highlight w:val="none"/>
        </w:rPr>
        <w:t>基本支出预算执行率指标年初设定目标是</w:t>
      </w:r>
      <w:r>
        <w:rPr>
          <w:color w:val="auto"/>
          <w:highlight w:val="none"/>
        </w:rPr>
        <w:t>100%</w:t>
      </w:r>
      <w:r>
        <w:rPr>
          <w:rFonts w:hint="eastAsia"/>
          <w:color w:val="auto"/>
          <w:highlight w:val="none"/>
        </w:rPr>
        <w:t>，年中绩效运行监控时完成值59.73%，年终实际完成值是100%，指标完成率是100%，达到能够按时保障人员工资和公用经费的正常开支，达到预期目标。偏差原因：无偏差。</w:t>
      </w:r>
    </w:p>
    <w:p>
      <w:pPr>
        <w:pStyle w:val="3"/>
        <w:rPr>
          <w:color w:val="auto"/>
          <w:highlight w:val="none"/>
        </w:rPr>
      </w:pPr>
      <w:r>
        <w:rPr>
          <w:rFonts w:hint="eastAsia"/>
          <w:color w:val="auto"/>
          <w:highlight w:val="none"/>
        </w:rPr>
        <w:t>（二）项目支出预算执行率指标完成情况分析</w:t>
      </w:r>
    </w:p>
    <w:p>
      <w:pPr>
        <w:ind w:firstLine="560"/>
        <w:rPr>
          <w:color w:val="auto"/>
          <w:highlight w:val="none"/>
        </w:rPr>
      </w:pPr>
      <w:r>
        <w:rPr>
          <w:rFonts w:hint="eastAsia"/>
          <w:color w:val="auto"/>
          <w:highlight w:val="none"/>
        </w:rPr>
        <w:t>项目支出预算执行率指标年初设定目标是</w:t>
      </w:r>
      <w:r>
        <w:rPr>
          <w:color w:val="auto"/>
          <w:highlight w:val="none"/>
        </w:rPr>
        <w:t>100%</w:t>
      </w:r>
      <w:r>
        <w:rPr>
          <w:rFonts w:hint="eastAsia"/>
          <w:color w:val="auto"/>
          <w:highlight w:val="none"/>
        </w:rPr>
        <w:t>，年中绩效运行监控时完成值37.68%，年终实际完成值是100%，指标完成率是100%，达到能够按时保障项目按照计划执行，达到预期目标。偏差原因：无偏差。</w:t>
      </w:r>
    </w:p>
    <w:p>
      <w:pPr>
        <w:pStyle w:val="3"/>
        <w:rPr>
          <w:color w:val="auto"/>
          <w:highlight w:val="none"/>
        </w:rPr>
      </w:pPr>
      <w:r>
        <w:rPr>
          <w:rFonts w:hint="eastAsia"/>
          <w:color w:val="auto"/>
          <w:highlight w:val="none"/>
        </w:rPr>
        <w:t>（三）“三公经费”控制率指标完成情况分析</w:t>
      </w:r>
    </w:p>
    <w:p>
      <w:pPr>
        <w:ind w:firstLine="560"/>
        <w:rPr>
          <w:color w:val="auto"/>
          <w:highlight w:val="none"/>
        </w:rPr>
      </w:pPr>
      <w:r>
        <w:rPr>
          <w:rFonts w:hint="eastAsia"/>
          <w:color w:val="auto"/>
          <w:highlight w:val="none"/>
        </w:rPr>
        <w:t>“三公经费”控制率年初设定目标是</w:t>
      </w:r>
      <w:r>
        <w:rPr>
          <w:color w:val="auto"/>
          <w:highlight w:val="none"/>
        </w:rPr>
        <w:t>100%</w:t>
      </w:r>
      <w:r>
        <w:rPr>
          <w:rFonts w:hint="eastAsia"/>
          <w:color w:val="auto"/>
          <w:highlight w:val="none"/>
        </w:rPr>
        <w:t>，年中绩效运行监控时完成值100%，年终实际完成值是100%，指标完成率是100%，达到能够按时保障人员工资和公用经费的正常开支，达到预期目标。偏差原因：无偏差。</w:t>
      </w:r>
    </w:p>
    <w:p>
      <w:pPr>
        <w:pStyle w:val="3"/>
        <w:rPr>
          <w:color w:val="auto"/>
          <w:highlight w:val="none"/>
        </w:rPr>
      </w:pPr>
      <w:r>
        <w:rPr>
          <w:rFonts w:hint="eastAsia"/>
          <w:color w:val="auto"/>
          <w:highlight w:val="none"/>
        </w:rPr>
        <w:t>（四）学校享受伙食补助政策学生数指标完成情况分析</w:t>
      </w:r>
    </w:p>
    <w:p>
      <w:pPr>
        <w:ind w:firstLine="560"/>
        <w:rPr>
          <w:color w:val="auto"/>
          <w:highlight w:val="none"/>
        </w:rPr>
      </w:pPr>
      <w:r>
        <w:rPr>
          <w:rFonts w:hint="eastAsia"/>
          <w:color w:val="auto"/>
          <w:highlight w:val="none"/>
        </w:rPr>
        <w:t>学校享受伙食补助政策学生数指标年初设定目标是</w:t>
      </w:r>
      <w:r>
        <w:rPr>
          <w:color w:val="auto"/>
          <w:highlight w:val="none"/>
        </w:rPr>
        <w:t>&gt;=7305人</w:t>
      </w:r>
      <w:r>
        <w:rPr>
          <w:rFonts w:hint="eastAsia"/>
          <w:color w:val="auto"/>
          <w:highlight w:val="none"/>
        </w:rPr>
        <w:t>，年中绩效运行监控时完成值</w:t>
      </w:r>
      <w:r>
        <w:rPr>
          <w:color w:val="auto"/>
          <w:highlight w:val="none"/>
        </w:rPr>
        <w:t>7305人</w:t>
      </w:r>
      <w:r>
        <w:rPr>
          <w:rFonts w:hint="eastAsia"/>
          <w:color w:val="auto"/>
          <w:highlight w:val="none"/>
        </w:rPr>
        <w:t>，年终实际完成值是</w:t>
      </w:r>
      <w:r>
        <w:rPr>
          <w:color w:val="auto"/>
          <w:highlight w:val="none"/>
        </w:rPr>
        <w:t>7305人</w:t>
      </w:r>
      <w:r>
        <w:rPr>
          <w:rFonts w:hint="eastAsia"/>
          <w:color w:val="auto"/>
          <w:highlight w:val="none"/>
        </w:rPr>
        <w:t>，指标完成率是100%，达到能够按时保障人员工资和公用经费的正常开支，达到预期目标。偏差原因：无偏差。</w:t>
      </w:r>
    </w:p>
    <w:p>
      <w:pPr>
        <w:pStyle w:val="3"/>
        <w:rPr>
          <w:color w:val="auto"/>
          <w:highlight w:val="none"/>
        </w:rPr>
      </w:pPr>
      <w:r>
        <w:rPr>
          <w:rFonts w:hint="eastAsia"/>
          <w:color w:val="auto"/>
          <w:highlight w:val="none"/>
        </w:rPr>
        <w:t>（五）适龄残疾儿童义务教育入学率指标完成情况分析</w:t>
      </w:r>
    </w:p>
    <w:p>
      <w:pPr>
        <w:ind w:firstLine="560"/>
        <w:rPr>
          <w:color w:val="auto"/>
          <w:highlight w:val="none"/>
        </w:rPr>
      </w:pPr>
      <w:r>
        <w:rPr>
          <w:rFonts w:hint="eastAsia"/>
          <w:color w:val="auto"/>
          <w:highlight w:val="none"/>
        </w:rPr>
        <w:t>适龄残疾儿童义务教育入学率指标年初设定目标是</w:t>
      </w:r>
      <w:r>
        <w:rPr>
          <w:color w:val="auto"/>
          <w:highlight w:val="none"/>
        </w:rPr>
        <w:t>=97%</w:t>
      </w:r>
      <w:r>
        <w:rPr>
          <w:rFonts w:hint="eastAsia"/>
          <w:color w:val="auto"/>
          <w:highlight w:val="none"/>
        </w:rPr>
        <w:t>，年中绩效运行监控时完成值97%，年终实际完成值是97%，指标完成率是100%，达到能够按时保障人员工资和公用经费的正常开支，达到预期目标。偏差原因：无偏差。</w:t>
      </w:r>
    </w:p>
    <w:p>
      <w:pPr>
        <w:pStyle w:val="3"/>
        <w:rPr>
          <w:color w:val="auto"/>
          <w:highlight w:val="none"/>
        </w:rPr>
      </w:pPr>
      <w:r>
        <w:rPr>
          <w:rFonts w:hint="eastAsia"/>
          <w:color w:val="auto"/>
          <w:highlight w:val="none"/>
        </w:rPr>
        <w:t>（六）教师工资补助人数</w:t>
      </w:r>
      <w:r>
        <w:rPr>
          <w:rFonts w:hint="eastAsia"/>
          <w:color w:val="auto"/>
          <w:highlight w:val="none"/>
          <w:lang w:eastAsia="zh-CN"/>
        </w:rPr>
        <w:t>指标</w:t>
      </w:r>
      <w:bookmarkStart w:id="6" w:name="_GoBack"/>
      <w:bookmarkEnd w:id="6"/>
      <w:r>
        <w:rPr>
          <w:rFonts w:hint="eastAsia"/>
          <w:color w:val="auto"/>
          <w:highlight w:val="none"/>
        </w:rPr>
        <w:t>完成情况分析</w:t>
      </w:r>
    </w:p>
    <w:p>
      <w:pPr>
        <w:ind w:firstLine="560"/>
        <w:rPr>
          <w:color w:val="auto"/>
          <w:highlight w:val="none"/>
        </w:rPr>
      </w:pPr>
      <w:r>
        <w:rPr>
          <w:rFonts w:hint="eastAsia"/>
          <w:color w:val="auto"/>
          <w:highlight w:val="none"/>
        </w:rPr>
        <w:t>教师工资补助人数指标年初设定目标是</w:t>
      </w:r>
      <w:r>
        <w:rPr>
          <w:color w:val="auto"/>
          <w:highlight w:val="none"/>
        </w:rPr>
        <w:t>&gt;=2098人</w:t>
      </w:r>
      <w:r>
        <w:rPr>
          <w:rFonts w:hint="eastAsia"/>
          <w:color w:val="auto"/>
          <w:highlight w:val="none"/>
        </w:rPr>
        <w:t>，年中绩效运行监控时完成值</w:t>
      </w:r>
      <w:r>
        <w:rPr>
          <w:color w:val="auto"/>
          <w:highlight w:val="none"/>
        </w:rPr>
        <w:t>2098人</w:t>
      </w:r>
      <w:r>
        <w:rPr>
          <w:rFonts w:hint="eastAsia"/>
          <w:color w:val="auto"/>
          <w:highlight w:val="none"/>
        </w:rPr>
        <w:t>，年终实际完成值是</w:t>
      </w:r>
      <w:r>
        <w:rPr>
          <w:color w:val="auto"/>
          <w:highlight w:val="none"/>
        </w:rPr>
        <w:t>2098人</w:t>
      </w:r>
      <w:r>
        <w:rPr>
          <w:rFonts w:hint="eastAsia"/>
          <w:color w:val="auto"/>
          <w:highlight w:val="none"/>
        </w:rPr>
        <w:t>，指标完成率是100%，达到能够按时保障人员工资和公用经费的正常开支，达到预期目标。偏差原因：无偏差。</w:t>
      </w:r>
    </w:p>
    <w:p>
      <w:pPr>
        <w:pStyle w:val="3"/>
        <w:rPr>
          <w:color w:val="auto"/>
          <w:highlight w:val="none"/>
        </w:rPr>
      </w:pPr>
      <w:r>
        <w:rPr>
          <w:rFonts w:hint="eastAsia"/>
          <w:color w:val="auto"/>
          <w:highlight w:val="none"/>
        </w:rPr>
        <w:t>（七）公用经费保障学校数指标完成情况分析</w:t>
      </w:r>
    </w:p>
    <w:p>
      <w:pPr>
        <w:ind w:firstLine="560"/>
        <w:rPr>
          <w:color w:val="auto"/>
          <w:highlight w:val="none"/>
        </w:rPr>
      </w:pPr>
      <w:r>
        <w:rPr>
          <w:rFonts w:hint="eastAsia"/>
          <w:color w:val="auto"/>
          <w:highlight w:val="none"/>
        </w:rPr>
        <w:t>公用经费保障学校数指标年初设定目标是</w:t>
      </w:r>
      <w:r>
        <w:rPr>
          <w:color w:val="auto"/>
          <w:highlight w:val="none"/>
        </w:rPr>
        <w:t>&gt;=33所</w:t>
      </w:r>
      <w:r>
        <w:rPr>
          <w:rFonts w:hint="eastAsia"/>
          <w:color w:val="auto"/>
          <w:highlight w:val="none"/>
        </w:rPr>
        <w:t>，年中绩效运行监控时完成值</w:t>
      </w:r>
      <w:r>
        <w:rPr>
          <w:color w:val="auto"/>
          <w:highlight w:val="none"/>
        </w:rPr>
        <w:t>33所</w:t>
      </w:r>
      <w:r>
        <w:rPr>
          <w:rFonts w:hint="eastAsia"/>
          <w:color w:val="auto"/>
          <w:highlight w:val="none"/>
        </w:rPr>
        <w:t>，年终实际完成值是</w:t>
      </w:r>
      <w:r>
        <w:rPr>
          <w:color w:val="auto"/>
          <w:highlight w:val="none"/>
        </w:rPr>
        <w:t>33所</w:t>
      </w:r>
      <w:r>
        <w:rPr>
          <w:rFonts w:hint="eastAsia"/>
          <w:color w:val="auto"/>
          <w:highlight w:val="none"/>
        </w:rPr>
        <w:t>，指标完成率是100%，达到能够按时保障人员工资和公用经费的正常开支，达到预期目标。偏差原因：无偏差。</w:t>
      </w:r>
    </w:p>
    <w:p>
      <w:pPr>
        <w:pStyle w:val="3"/>
        <w:rPr>
          <w:color w:val="auto"/>
          <w:highlight w:val="none"/>
        </w:rPr>
      </w:pPr>
      <w:r>
        <w:rPr>
          <w:rFonts w:hint="eastAsia"/>
          <w:color w:val="auto"/>
          <w:highlight w:val="none"/>
        </w:rPr>
        <w:t>（八）学前免费享受人数指标完成情况分析</w:t>
      </w:r>
    </w:p>
    <w:p>
      <w:pPr>
        <w:ind w:firstLine="560"/>
        <w:rPr>
          <w:color w:val="auto"/>
          <w:highlight w:val="none"/>
        </w:rPr>
      </w:pPr>
      <w:r>
        <w:rPr>
          <w:rFonts w:hint="eastAsia"/>
          <w:color w:val="auto"/>
          <w:highlight w:val="none"/>
        </w:rPr>
        <w:t>学前免费享受人数指标年初设定目标是</w:t>
      </w:r>
      <w:r>
        <w:rPr>
          <w:color w:val="auto"/>
          <w:highlight w:val="none"/>
        </w:rPr>
        <w:t>&gt;=4795人</w:t>
      </w:r>
      <w:r>
        <w:rPr>
          <w:rFonts w:hint="eastAsia"/>
          <w:color w:val="auto"/>
          <w:highlight w:val="none"/>
        </w:rPr>
        <w:t>，年中绩效运行监控时完成值</w:t>
      </w:r>
      <w:r>
        <w:rPr>
          <w:color w:val="auto"/>
          <w:highlight w:val="none"/>
        </w:rPr>
        <w:t>4795人</w:t>
      </w:r>
      <w:r>
        <w:rPr>
          <w:rFonts w:hint="eastAsia"/>
          <w:color w:val="auto"/>
          <w:highlight w:val="none"/>
        </w:rPr>
        <w:t>，年终实际完成值是</w:t>
      </w:r>
      <w:r>
        <w:rPr>
          <w:color w:val="auto"/>
          <w:highlight w:val="none"/>
        </w:rPr>
        <w:t>4795人</w:t>
      </w:r>
      <w:r>
        <w:rPr>
          <w:rFonts w:hint="eastAsia"/>
          <w:color w:val="auto"/>
          <w:highlight w:val="none"/>
        </w:rPr>
        <w:t>，指标完成率是100%，达到能够按时保障人员工资和公用经费的正常开支，达到预期目标。偏差原因：无偏差。</w:t>
      </w:r>
    </w:p>
    <w:p>
      <w:pPr>
        <w:pStyle w:val="3"/>
        <w:rPr>
          <w:color w:val="auto"/>
          <w:highlight w:val="none"/>
        </w:rPr>
      </w:pPr>
      <w:r>
        <w:rPr>
          <w:rFonts w:hint="eastAsia"/>
          <w:color w:val="auto"/>
          <w:highlight w:val="none"/>
        </w:rPr>
        <w:t>（九）义务教育阶段学生应入尽入巩固率指标完成情况分析</w:t>
      </w:r>
    </w:p>
    <w:p>
      <w:pPr>
        <w:ind w:firstLine="560"/>
        <w:rPr>
          <w:color w:val="auto"/>
          <w:highlight w:val="none"/>
        </w:rPr>
      </w:pPr>
      <w:r>
        <w:rPr>
          <w:rFonts w:hint="eastAsia"/>
          <w:color w:val="auto"/>
          <w:highlight w:val="none"/>
        </w:rPr>
        <w:t>义务教育阶段学生应入尽入巩固率指标年初设定目标是</w:t>
      </w:r>
      <w:r>
        <w:rPr>
          <w:color w:val="auto"/>
          <w:highlight w:val="none"/>
        </w:rPr>
        <w:t>&gt;=97%</w:t>
      </w:r>
      <w:r>
        <w:rPr>
          <w:rFonts w:hint="eastAsia"/>
          <w:color w:val="auto"/>
          <w:highlight w:val="none"/>
        </w:rPr>
        <w:t>，年中绩效运行监控时完成值100%，年终实际完成值是99%，指标完成率是100%，达到能够按时保障人员工资和公用经费的正常开支，达到预期目标。偏差原因：无偏差。</w:t>
      </w:r>
    </w:p>
    <w:p>
      <w:pPr>
        <w:pStyle w:val="3"/>
        <w:rPr>
          <w:color w:val="auto"/>
          <w:highlight w:val="none"/>
        </w:rPr>
      </w:pPr>
      <w:r>
        <w:rPr>
          <w:rFonts w:hint="eastAsia"/>
          <w:color w:val="auto"/>
          <w:highlight w:val="none"/>
        </w:rPr>
        <w:t>（十）巩固学前教育毛入学率指标完成情况分析</w:t>
      </w:r>
    </w:p>
    <w:p>
      <w:pPr>
        <w:ind w:firstLine="560"/>
        <w:rPr>
          <w:color w:val="auto"/>
          <w:highlight w:val="none"/>
        </w:rPr>
      </w:pPr>
      <w:r>
        <w:rPr>
          <w:rFonts w:hint="eastAsia"/>
          <w:color w:val="auto"/>
          <w:highlight w:val="none"/>
        </w:rPr>
        <w:t>巩固学前教育毛入学率指标年初设定目标是</w:t>
      </w:r>
      <w:r>
        <w:rPr>
          <w:color w:val="auto"/>
          <w:highlight w:val="none"/>
        </w:rPr>
        <w:t>&gt;=9</w:t>
      </w:r>
      <w:r>
        <w:rPr>
          <w:rFonts w:hint="eastAsia"/>
          <w:color w:val="auto"/>
          <w:highlight w:val="none"/>
        </w:rPr>
        <w:t>0</w:t>
      </w:r>
      <w:r>
        <w:rPr>
          <w:color w:val="auto"/>
          <w:highlight w:val="none"/>
        </w:rPr>
        <w:t>%</w:t>
      </w:r>
      <w:r>
        <w:rPr>
          <w:rFonts w:hint="eastAsia"/>
          <w:color w:val="auto"/>
          <w:highlight w:val="none"/>
        </w:rPr>
        <w:t>，年中绩效运行监控时完成值100%，年终实际完成值是97%，指标完成率是100%，达到能够按时保障人员工资和公用经费的正常开支，达到预期目标。偏差原因：无偏差。</w:t>
      </w:r>
    </w:p>
    <w:p>
      <w:pPr>
        <w:pStyle w:val="3"/>
        <w:rPr>
          <w:color w:val="auto"/>
          <w:highlight w:val="none"/>
        </w:rPr>
      </w:pPr>
      <w:r>
        <w:rPr>
          <w:rFonts w:hint="eastAsia"/>
          <w:color w:val="auto"/>
          <w:highlight w:val="none"/>
        </w:rPr>
        <w:t>（十一）学生满意度指标完成情况分析</w:t>
      </w:r>
    </w:p>
    <w:p>
      <w:pPr>
        <w:ind w:firstLine="560"/>
        <w:rPr>
          <w:color w:val="auto"/>
          <w:highlight w:val="none"/>
        </w:rPr>
      </w:pPr>
      <w:r>
        <w:rPr>
          <w:rFonts w:hint="eastAsia"/>
          <w:color w:val="auto"/>
          <w:highlight w:val="none"/>
        </w:rPr>
        <w:t>学生满意度指标年初设定目标是</w:t>
      </w:r>
      <w:r>
        <w:rPr>
          <w:color w:val="auto"/>
          <w:highlight w:val="none"/>
        </w:rPr>
        <w:t>&gt;=9</w:t>
      </w:r>
      <w:r>
        <w:rPr>
          <w:rFonts w:hint="eastAsia"/>
          <w:color w:val="auto"/>
          <w:highlight w:val="none"/>
          <w:lang w:val="en-US" w:eastAsia="zh-CN"/>
        </w:rPr>
        <w:t>5</w:t>
      </w:r>
      <w:r>
        <w:rPr>
          <w:color w:val="auto"/>
          <w:highlight w:val="none"/>
        </w:rPr>
        <w:t>%</w:t>
      </w:r>
      <w:r>
        <w:rPr>
          <w:rFonts w:hint="eastAsia"/>
          <w:color w:val="auto"/>
          <w:highlight w:val="none"/>
        </w:rPr>
        <w:t>，年中绩效运行监控时完成值未达监控节点，年终实际完成值是95.</w:t>
      </w:r>
      <w:r>
        <w:rPr>
          <w:rFonts w:hint="eastAsia"/>
          <w:color w:val="auto"/>
          <w:highlight w:val="none"/>
          <w:lang w:val="en-US" w:eastAsia="zh-CN"/>
        </w:rPr>
        <w:t>49</w:t>
      </w:r>
      <w:r>
        <w:rPr>
          <w:rFonts w:hint="eastAsia"/>
          <w:color w:val="auto"/>
          <w:highlight w:val="none"/>
        </w:rPr>
        <w:t>%，指标完成率是100%，达到能够拒学生在安全舒适的环境中学习，达到预期目标。偏差原因：无偏差。</w:t>
      </w:r>
    </w:p>
    <w:p>
      <w:pPr>
        <w:pStyle w:val="3"/>
        <w:rPr>
          <w:color w:val="auto"/>
          <w:highlight w:val="none"/>
        </w:rPr>
      </w:pPr>
      <w:r>
        <w:rPr>
          <w:rFonts w:hint="eastAsia"/>
          <w:color w:val="auto"/>
          <w:highlight w:val="none"/>
        </w:rPr>
        <w:t>（十二）家长满意度指标完成情况分析</w:t>
      </w:r>
    </w:p>
    <w:p>
      <w:pPr>
        <w:ind w:firstLine="560"/>
        <w:rPr>
          <w:color w:val="auto"/>
          <w:highlight w:val="none"/>
        </w:rPr>
      </w:pPr>
      <w:r>
        <w:rPr>
          <w:rFonts w:hint="eastAsia"/>
          <w:color w:val="auto"/>
          <w:highlight w:val="none"/>
        </w:rPr>
        <w:t>家长满意度指标年初设定目标是</w:t>
      </w:r>
      <w:r>
        <w:rPr>
          <w:color w:val="auto"/>
          <w:highlight w:val="none"/>
        </w:rPr>
        <w:t>&gt;=9</w:t>
      </w:r>
      <w:r>
        <w:rPr>
          <w:rFonts w:hint="eastAsia"/>
          <w:color w:val="auto"/>
          <w:highlight w:val="none"/>
        </w:rPr>
        <w:t>5</w:t>
      </w:r>
      <w:r>
        <w:rPr>
          <w:color w:val="auto"/>
          <w:highlight w:val="none"/>
        </w:rPr>
        <w:t>%</w:t>
      </w:r>
      <w:r>
        <w:rPr>
          <w:rFonts w:hint="eastAsia"/>
          <w:color w:val="auto"/>
          <w:highlight w:val="none"/>
        </w:rPr>
        <w:t>，年中绩效运行监控时完成值未达监控节点，年终实际完成值是95.</w:t>
      </w:r>
      <w:r>
        <w:rPr>
          <w:rFonts w:hint="eastAsia"/>
          <w:color w:val="auto"/>
          <w:highlight w:val="none"/>
          <w:lang w:val="en-US" w:eastAsia="zh-CN"/>
        </w:rPr>
        <w:t>49</w:t>
      </w:r>
      <w:r>
        <w:rPr>
          <w:rFonts w:hint="eastAsia"/>
          <w:color w:val="auto"/>
          <w:highlight w:val="none"/>
        </w:rPr>
        <w:t>%，指标完成率是100%，达到能够让家长满意、放心</w:t>
      </w:r>
      <w:r>
        <w:rPr>
          <w:rFonts w:hint="eastAsia"/>
          <w:color w:val="auto"/>
          <w:highlight w:val="none"/>
          <w:lang w:eastAsia="zh-CN"/>
        </w:rPr>
        <w:t>地</w:t>
      </w:r>
      <w:r>
        <w:rPr>
          <w:rFonts w:hint="eastAsia"/>
          <w:color w:val="auto"/>
          <w:highlight w:val="none"/>
        </w:rPr>
        <w:t>让孩子接受教育，达到预期目标。偏差原因：无偏差。</w:t>
      </w:r>
    </w:p>
    <w:p>
      <w:pPr>
        <w:ind w:firstLine="560"/>
        <w:rPr>
          <w:color w:val="auto"/>
          <w:highlight w:val="none"/>
        </w:rPr>
      </w:pPr>
      <w:r>
        <w:rPr>
          <w:rFonts w:hint="eastAsia"/>
          <w:color w:val="auto"/>
          <w:highlight w:val="none"/>
        </w:rPr>
        <w:t>四、评价结论</w:t>
      </w:r>
    </w:p>
    <w:p>
      <w:pPr>
        <w:ind w:firstLine="560"/>
        <w:rPr>
          <w:color w:val="auto"/>
          <w:highlight w:val="none"/>
        </w:rPr>
      </w:pPr>
      <w:r>
        <w:rPr>
          <w:rFonts w:hint="eastAsia"/>
          <w:color w:val="auto"/>
          <w:highlight w:val="none"/>
        </w:rPr>
        <w:t>我单位2023年度部门整体支出绩效自评综合得分100分，评价结果为“优”。我</w:t>
      </w:r>
      <w:r>
        <w:rPr>
          <w:color w:val="auto"/>
          <w:highlight w:val="none"/>
        </w:rPr>
        <w:t>单位202</w:t>
      </w:r>
      <w:r>
        <w:rPr>
          <w:rFonts w:hint="eastAsia"/>
          <w:color w:val="auto"/>
          <w:highlight w:val="none"/>
        </w:rPr>
        <w:t>3</w:t>
      </w:r>
      <w:r>
        <w:rPr>
          <w:color w:val="auto"/>
          <w:highlight w:val="none"/>
        </w:rPr>
        <w:t>年部门履职效果良好，</w:t>
      </w:r>
      <w:r>
        <w:rPr>
          <w:rFonts w:hint="eastAsia"/>
          <w:color w:val="auto"/>
          <w:highlight w:val="none"/>
        </w:rPr>
        <w:t>主要体现在：</w:t>
      </w:r>
    </w:p>
    <w:p>
      <w:pPr>
        <w:ind w:firstLine="560"/>
        <w:rPr>
          <w:color w:val="auto"/>
          <w:highlight w:val="none"/>
        </w:rPr>
      </w:pPr>
      <w:r>
        <w:rPr>
          <w:rFonts w:hint="eastAsia"/>
          <w:color w:val="auto"/>
          <w:highlight w:val="none"/>
        </w:rPr>
        <w:t>1、我单位严格遵守《会计法</w:t>
      </w:r>
      <w:r>
        <w:rPr>
          <w:rFonts w:hint="eastAsia"/>
          <w:color w:val="auto"/>
          <w:highlight w:val="none"/>
          <w:lang w:eastAsia="zh-CN"/>
        </w:rPr>
        <w:t>》《</w:t>
      </w:r>
      <w:r>
        <w:rPr>
          <w:rFonts w:hint="eastAsia"/>
          <w:color w:val="auto"/>
          <w:highlight w:val="none"/>
        </w:rPr>
        <w:t>预算法</w:t>
      </w:r>
      <w:r>
        <w:rPr>
          <w:rFonts w:hint="eastAsia"/>
          <w:color w:val="auto"/>
          <w:highlight w:val="none"/>
          <w:lang w:eastAsia="zh-CN"/>
        </w:rPr>
        <w:t>》《</w:t>
      </w:r>
      <w:r>
        <w:rPr>
          <w:rFonts w:hint="eastAsia"/>
          <w:color w:val="auto"/>
          <w:highlight w:val="none"/>
        </w:rPr>
        <w:t>行政单位财务规则》等法律和有关财政财务规章，规范财政资金管理，量入为出，统筹兼顾，突出重点，讲究实效，防范风险，合理使用各项资金，确保了我单位预算管理的成效，全年预算支出整体受控。</w:t>
      </w:r>
      <w:r>
        <w:rPr>
          <w:rFonts w:hint="eastAsia"/>
          <w:color w:val="auto"/>
          <w:highlight w:val="none"/>
        </w:rPr>
        <w:br w:type="textWrapping"/>
      </w:r>
      <w:r>
        <w:rPr>
          <w:rFonts w:hint="eastAsia"/>
          <w:color w:val="auto"/>
          <w:highlight w:val="none"/>
        </w:rPr>
        <w:t>1）严格规范资金收支审批制度。明确和划分人员责任，细化资金支付审批权限及审批流程，强化资金收支的内部控制，对重要的财务支出项目，应实施重点审批、严格审批；确保资金支出的内容和数据真实，各类经济事项符合开支标准和范围，符合效益性和节约性原则。</w:t>
      </w:r>
      <w:r>
        <w:rPr>
          <w:rFonts w:hint="eastAsia"/>
          <w:color w:val="auto"/>
          <w:highlight w:val="none"/>
        </w:rPr>
        <w:br w:type="textWrapping"/>
      </w:r>
      <w:r>
        <w:rPr>
          <w:rFonts w:hint="eastAsia"/>
          <w:color w:val="auto"/>
          <w:highlight w:val="none"/>
        </w:rPr>
        <w:t>2）强化预算约束。推行全面预算理念，在科学合理编制部门预算的基础上，对部门预算中各项经费进一步细化，分类施控，严格执行，实现对经济活动全程管控，确保所有工作都在预算范围内有序进行，以此强化预算源头管控和精细化管理。</w:t>
      </w:r>
      <w:r>
        <w:rPr>
          <w:rFonts w:hint="eastAsia"/>
          <w:color w:val="auto"/>
          <w:highlight w:val="none"/>
        </w:rPr>
        <w:br w:type="textWrapping"/>
      </w:r>
      <w:r>
        <w:rPr>
          <w:rFonts w:hint="eastAsia"/>
          <w:color w:val="auto"/>
          <w:highlight w:val="none"/>
        </w:rPr>
        <w:t>3）强化流程管理。推进全面流程化管理，在专项资金分配、预算编制、财务审批和报销、资产管理、经济合同管理及政府采购等方面，都实施流程化、规范化管理模式，编制了财务管理操作流程，以财务管理为“牛鼻子”，全面提高单位内部管理水平。</w:t>
      </w:r>
      <w:r>
        <w:rPr>
          <w:rFonts w:hint="eastAsia"/>
          <w:color w:val="auto"/>
          <w:highlight w:val="none"/>
        </w:rPr>
        <w:br w:type="textWrapping"/>
      </w:r>
      <w:r>
        <w:rPr>
          <w:rFonts w:hint="eastAsia"/>
          <w:color w:val="auto"/>
          <w:highlight w:val="none"/>
        </w:rPr>
        <w:t>4）强化集中采购。树立全面节约意识，严控一般性经费支出。特别是在办公设备购置和办公用品使用方面，配合相关科室，按照厉行节约、统筹调剂、合理使用的原则加强审核，严控支出，并逐步取得了一定成效。</w:t>
      </w:r>
    </w:p>
    <w:p>
      <w:pPr>
        <w:ind w:firstLine="560"/>
        <w:rPr>
          <w:color w:val="auto"/>
          <w:highlight w:val="none"/>
        </w:rPr>
      </w:pPr>
      <w:r>
        <w:rPr>
          <w:rFonts w:hint="eastAsia"/>
          <w:color w:val="auto"/>
          <w:highlight w:val="none"/>
        </w:rPr>
        <w:t>2、执行项目经办人、负责人定时汇报制。定期对项目执行及资金的使用情况进行自查，重点督查项目资金的使用进度，资金落实情况，对发现的问题采取措施，及时纠正，认真处理，强化管理，有效杜绝了项目资金在分配使用过程中违纪现象的发生，保证了项目资金的使用安全。为了规范项目资金分配及使用，我单位明确了项目资金管理的原则和管理办法，对项目申报、项目的审核和确定、项目的实施和管理、验收、结果公示和资金拨付情况、绩效管理等进行了规范。我单位成立了领导小组，明确了分管领导、牵头科室和具体负责人。建立了沟通联系机制，组织调研，明确项目任务，制定项目实施方案。按季度对项目执行情况进行调度，定期对项目开展情况进行绩效考核，加快项目的实施。</w:t>
      </w:r>
    </w:p>
    <w:p>
      <w:pPr>
        <w:pStyle w:val="3"/>
        <w:rPr>
          <w:color w:val="auto"/>
          <w:highlight w:val="none"/>
        </w:rPr>
      </w:pPr>
      <w:bookmarkStart w:id="4" w:name="_Toc22800_WPSOffice_Level1"/>
      <w:r>
        <w:rPr>
          <w:rFonts w:hint="eastAsia"/>
          <w:color w:val="auto"/>
          <w:highlight w:val="none"/>
        </w:rPr>
        <w:t>五、存在的主要问题</w:t>
      </w:r>
      <w:bookmarkEnd w:id="4"/>
      <w:r>
        <w:rPr>
          <w:rFonts w:hint="eastAsia"/>
          <w:color w:val="auto"/>
          <w:highlight w:val="none"/>
        </w:rPr>
        <w:t>及原因分析</w:t>
      </w:r>
    </w:p>
    <w:p>
      <w:pPr>
        <w:ind w:firstLine="560"/>
        <w:rPr>
          <w:color w:val="auto"/>
          <w:highlight w:val="none"/>
        </w:rPr>
      </w:pPr>
      <w:bookmarkStart w:id="5" w:name="_Toc29546_WPSOffice_Level1"/>
      <w:r>
        <w:rPr>
          <w:rFonts w:hint="eastAsia"/>
          <w:color w:val="auto"/>
          <w:highlight w:val="none"/>
        </w:rPr>
        <w:t>（一）预算绩效管理水平仍有欠缺。在2023年预算绩效管理工作中，存在“重投入轻管理、重支出轻绩效”的情况，对全面实施预算绩效管理的要求认识还不到位，项目申报、实施等环节与预算绩效管理各个环节联系不够紧密；同时预算绩效管理也是一项新工作，面对专业人手不足、绩效管理水平欠缺的情况下，坚持“滚石上山”，提升的空间还是很大。</w:t>
      </w:r>
    </w:p>
    <w:p>
      <w:pPr>
        <w:ind w:firstLine="560"/>
        <w:rPr>
          <w:color w:val="auto"/>
          <w:highlight w:val="none"/>
        </w:rPr>
      </w:pPr>
      <w:r>
        <w:rPr>
          <w:rFonts w:hint="eastAsia"/>
          <w:color w:val="auto"/>
          <w:highlight w:val="none"/>
        </w:rPr>
        <w:t>（二）预算编制工作有待细化。预算编制不够明确和细化，预算编制的合理性需要提高，预算执行力度还要进一步加强。</w:t>
      </w:r>
    </w:p>
    <w:p>
      <w:pPr>
        <w:pStyle w:val="3"/>
        <w:rPr>
          <w:color w:val="auto"/>
          <w:highlight w:val="none"/>
        </w:rPr>
      </w:pPr>
      <w:r>
        <w:rPr>
          <w:rFonts w:hint="eastAsia"/>
          <w:color w:val="auto"/>
          <w:highlight w:val="none"/>
        </w:rPr>
        <w:t>六、改进措施和建议</w:t>
      </w:r>
      <w:bookmarkEnd w:id="5"/>
    </w:p>
    <w:p>
      <w:pPr>
        <w:ind w:firstLine="560"/>
        <w:rPr>
          <w:color w:val="auto"/>
          <w:highlight w:val="none"/>
        </w:rPr>
      </w:pPr>
      <w:r>
        <w:rPr>
          <w:rFonts w:hint="eastAsia"/>
          <w:color w:val="auto"/>
          <w:highlight w:val="none"/>
        </w:rPr>
        <w:t>（一）进一步提高绩效管理水平。由于目前的预算管理在编制和实施中还存在编制不细、预算调整较多、追加预算比重较大等现象</w:t>
      </w:r>
      <w:r>
        <w:rPr>
          <w:rFonts w:hint="eastAsia"/>
          <w:color w:val="auto"/>
          <w:highlight w:val="none"/>
          <w:lang w:eastAsia="zh-CN"/>
        </w:rPr>
        <w:t>，</w:t>
      </w:r>
      <w:r>
        <w:rPr>
          <w:rFonts w:hint="eastAsia"/>
          <w:color w:val="auto"/>
          <w:highlight w:val="none"/>
        </w:rPr>
        <w:t>因此项目预算执行的准确性还有待加强</w:t>
      </w:r>
      <w:r>
        <w:rPr>
          <w:rFonts w:hint="eastAsia"/>
          <w:color w:val="auto"/>
          <w:highlight w:val="none"/>
          <w:lang w:eastAsia="zh-CN"/>
        </w:rPr>
        <w:t>，</w:t>
      </w:r>
      <w:r>
        <w:rPr>
          <w:rFonts w:hint="eastAsia"/>
          <w:color w:val="auto"/>
          <w:highlight w:val="none"/>
        </w:rPr>
        <w:t>同时分析手段和技术水平上还有待完善。在今后的工作中</w:t>
      </w:r>
      <w:r>
        <w:rPr>
          <w:rFonts w:hint="eastAsia"/>
          <w:color w:val="auto"/>
          <w:highlight w:val="none"/>
          <w:lang w:eastAsia="zh-CN"/>
        </w:rPr>
        <w:t>，</w:t>
      </w:r>
      <w:r>
        <w:rPr>
          <w:rFonts w:hint="eastAsia"/>
          <w:color w:val="auto"/>
          <w:highlight w:val="none"/>
        </w:rPr>
        <w:t>我们将加强与财政部门的紧密配合</w:t>
      </w:r>
      <w:r>
        <w:rPr>
          <w:rFonts w:hint="eastAsia"/>
          <w:color w:val="auto"/>
          <w:highlight w:val="none"/>
          <w:lang w:eastAsia="zh-CN"/>
        </w:rPr>
        <w:t>，</w:t>
      </w:r>
      <w:r>
        <w:rPr>
          <w:rFonts w:hint="eastAsia"/>
          <w:color w:val="auto"/>
          <w:highlight w:val="none"/>
        </w:rPr>
        <w:t>开展好整体支出及项目资金绩效管理工作</w:t>
      </w:r>
      <w:r>
        <w:rPr>
          <w:rFonts w:hint="eastAsia"/>
          <w:color w:val="auto"/>
          <w:highlight w:val="none"/>
          <w:lang w:eastAsia="zh-CN"/>
        </w:rPr>
        <w:t>，</w:t>
      </w:r>
      <w:r>
        <w:rPr>
          <w:rFonts w:hint="eastAsia"/>
          <w:color w:val="auto"/>
          <w:highlight w:val="none"/>
        </w:rPr>
        <w:t>运用好绩效评价的结果</w:t>
      </w:r>
      <w:r>
        <w:rPr>
          <w:rFonts w:hint="eastAsia"/>
          <w:color w:val="auto"/>
          <w:highlight w:val="none"/>
          <w:lang w:eastAsia="zh-CN"/>
        </w:rPr>
        <w:t>，</w:t>
      </w:r>
      <w:r>
        <w:rPr>
          <w:rFonts w:hint="eastAsia"/>
          <w:color w:val="auto"/>
          <w:highlight w:val="none"/>
        </w:rPr>
        <w:t>不断提升预算管理水平。</w:t>
      </w:r>
    </w:p>
    <w:p>
      <w:pPr>
        <w:ind w:firstLine="560"/>
        <w:rPr>
          <w:color w:val="auto"/>
          <w:highlight w:val="none"/>
        </w:rPr>
      </w:pPr>
      <w:r>
        <w:rPr>
          <w:rFonts w:hint="eastAsia"/>
          <w:color w:val="auto"/>
          <w:highlight w:val="none"/>
        </w:rPr>
        <w:t>（二）强化支出预算约束。进一步提高年初预算编制的科学性和准确性，完善预算执行动态 约束机制，加强财政预算资金管理，统筹协调推进项目执行，提高财政资金效益和效果。</w:t>
      </w:r>
    </w:p>
    <w:p>
      <w:pPr>
        <w:ind w:firstLine="560"/>
        <w:rPr>
          <w:color w:val="auto"/>
          <w:highlight w:val="none"/>
        </w:rPr>
      </w:pPr>
      <w:r>
        <w:rPr>
          <w:rFonts w:hint="eastAsia"/>
          <w:color w:val="auto"/>
          <w:highlight w:val="none"/>
        </w:rPr>
        <w:t>在今后的工作中</w:t>
      </w:r>
      <w:r>
        <w:rPr>
          <w:rFonts w:hint="eastAsia"/>
          <w:color w:val="auto"/>
          <w:highlight w:val="none"/>
          <w:lang w:eastAsia="zh-CN"/>
        </w:rPr>
        <w:t>，</w:t>
      </w:r>
      <w:r>
        <w:rPr>
          <w:rFonts w:hint="eastAsia"/>
          <w:color w:val="auto"/>
          <w:highlight w:val="none"/>
        </w:rPr>
        <w:t>我们将加强与财政部门的紧密配合</w:t>
      </w:r>
      <w:r>
        <w:rPr>
          <w:rFonts w:hint="eastAsia"/>
          <w:color w:val="auto"/>
          <w:highlight w:val="none"/>
          <w:lang w:eastAsia="zh-CN"/>
        </w:rPr>
        <w:t>，</w:t>
      </w:r>
      <w:r>
        <w:rPr>
          <w:rFonts w:hint="eastAsia"/>
          <w:color w:val="auto"/>
          <w:highlight w:val="none"/>
        </w:rPr>
        <w:t>开展好整体支出及项目资金绩效管理工作</w:t>
      </w:r>
      <w:r>
        <w:rPr>
          <w:rFonts w:hint="eastAsia"/>
          <w:color w:val="auto"/>
          <w:highlight w:val="none"/>
          <w:lang w:eastAsia="zh-CN"/>
        </w:rPr>
        <w:t>，</w:t>
      </w:r>
      <w:r>
        <w:rPr>
          <w:rFonts w:hint="eastAsia"/>
          <w:color w:val="auto"/>
          <w:highlight w:val="none"/>
        </w:rPr>
        <w:t>运用好绩效评价的结果</w:t>
      </w:r>
      <w:r>
        <w:rPr>
          <w:rFonts w:hint="eastAsia"/>
          <w:color w:val="auto"/>
          <w:highlight w:val="none"/>
          <w:lang w:eastAsia="zh-CN"/>
        </w:rPr>
        <w:t>，</w:t>
      </w:r>
      <w:r>
        <w:rPr>
          <w:rFonts w:hint="eastAsia"/>
          <w:color w:val="auto"/>
          <w:highlight w:val="none"/>
        </w:rPr>
        <w:t>不断提升预算管理水平。</w:t>
      </w:r>
    </w:p>
    <w:p>
      <w:pPr>
        <w:pStyle w:val="3"/>
        <w:rPr>
          <w:color w:val="auto"/>
          <w:highlight w:val="none"/>
        </w:rPr>
      </w:pPr>
      <w:r>
        <w:rPr>
          <w:rFonts w:hint="eastAsia"/>
          <w:color w:val="auto"/>
          <w:highlight w:val="none"/>
        </w:rPr>
        <w:t>七、附件上传</w:t>
      </w:r>
    </w:p>
    <w:p>
      <w:pPr>
        <w:ind w:firstLine="560"/>
        <w:rPr>
          <w:color w:val="auto"/>
          <w:highlight w:val="none"/>
        </w:rPr>
      </w:pPr>
    </w:p>
    <w:sectPr>
      <w:headerReference r:id="rId7" w:type="first"/>
      <w:footerReference r:id="rId10" w:type="first"/>
      <w:headerReference r:id="rId5" w:type="default"/>
      <w:footerReference r:id="rId8" w:type="default"/>
      <w:headerReference r:id="rId6" w:type="even"/>
      <w:footerReference r:id="rId9" w:type="even"/>
      <w:pgSz w:w="11906" w:h="16838"/>
      <w:pgMar w:top="1440" w:right="1800" w:bottom="1440" w:left="1800" w:header="851" w:footer="992" w:gutter="0"/>
      <w:pgNumType w:fmt="numberInDash" w:start="1"/>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spacing w:line="240" w:lineRule="auto"/>
      <w:ind w:firstLine="0" w:firstLineChars="0"/>
      <w:jc w:val="center"/>
      <w:rPr>
        <w:rFonts w:ascii="宋体" w:hAnsi="宋体"/>
        <w:sz w:val="28"/>
        <w:szCs w:val="28"/>
      </w:rPr>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6 -</w:t>
    </w:r>
    <w:r>
      <w:rPr>
        <w:rFonts w:ascii="宋体" w:hAnsi="宋体"/>
        <w:sz w:val="28"/>
        <w:szCs w:val="28"/>
      </w:rPr>
      <w:fldChar w:fldCharType="end"/>
    </w:r>
  </w:p>
  <w:p>
    <w:pPr>
      <w:pStyle w:val="10"/>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560"/>
      </w:pPr>
      <w:r>
        <w:separator/>
      </w:r>
    </w:p>
  </w:footnote>
  <w:footnote w:type="continuationSeparator" w:id="1">
    <w:p>
      <w:pPr>
        <w:spacing w:line="360" w:lineRule="auto"/>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6"/>
  <w:documentProtection w:enforcement="0"/>
  <w:defaultTabStop w:val="420"/>
  <w:drawingGridVerticalSpacing w:val="156"/>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AwNWNhNTE0OGNhNzNjNTcwYzJkZjNhNGVmZmJlNmEifQ=="/>
    <w:docVar w:name="KSO_WPS_MARK_KEY" w:val="e89e5d35-c8b1-4830-abac-bd085844b888"/>
  </w:docVars>
  <w:rsids>
    <w:rsidRoot w:val="1C6D319F"/>
    <w:rsid w:val="00056777"/>
    <w:rsid w:val="00083897"/>
    <w:rsid w:val="00093BFA"/>
    <w:rsid w:val="000C4E29"/>
    <w:rsid w:val="000D3AFA"/>
    <w:rsid w:val="000E1B81"/>
    <w:rsid w:val="0012092B"/>
    <w:rsid w:val="00141421"/>
    <w:rsid w:val="00191BA3"/>
    <w:rsid w:val="001C1E1D"/>
    <w:rsid w:val="001E750D"/>
    <w:rsid w:val="001F4367"/>
    <w:rsid w:val="00213BC4"/>
    <w:rsid w:val="0022744B"/>
    <w:rsid w:val="00234372"/>
    <w:rsid w:val="00243B9C"/>
    <w:rsid w:val="002633B6"/>
    <w:rsid w:val="00263EDA"/>
    <w:rsid w:val="00292A50"/>
    <w:rsid w:val="002939FF"/>
    <w:rsid w:val="002C3931"/>
    <w:rsid w:val="002F7CCD"/>
    <w:rsid w:val="00330C9E"/>
    <w:rsid w:val="00331E9F"/>
    <w:rsid w:val="0035195F"/>
    <w:rsid w:val="003A294E"/>
    <w:rsid w:val="003B4266"/>
    <w:rsid w:val="003D34B7"/>
    <w:rsid w:val="003F0DB2"/>
    <w:rsid w:val="00424A01"/>
    <w:rsid w:val="004503A0"/>
    <w:rsid w:val="00484E6A"/>
    <w:rsid w:val="00491D09"/>
    <w:rsid w:val="004C7D17"/>
    <w:rsid w:val="004E1483"/>
    <w:rsid w:val="005266D1"/>
    <w:rsid w:val="0054132C"/>
    <w:rsid w:val="00541E75"/>
    <w:rsid w:val="00543FC4"/>
    <w:rsid w:val="0055275A"/>
    <w:rsid w:val="00571711"/>
    <w:rsid w:val="005B1250"/>
    <w:rsid w:val="005B31EF"/>
    <w:rsid w:val="005D78F3"/>
    <w:rsid w:val="005F1621"/>
    <w:rsid w:val="006142F0"/>
    <w:rsid w:val="006258B7"/>
    <w:rsid w:val="00633862"/>
    <w:rsid w:val="00680979"/>
    <w:rsid w:val="00684216"/>
    <w:rsid w:val="00684C07"/>
    <w:rsid w:val="006B4CDA"/>
    <w:rsid w:val="006C5BED"/>
    <w:rsid w:val="006C5D3A"/>
    <w:rsid w:val="006D4FCD"/>
    <w:rsid w:val="006F23FA"/>
    <w:rsid w:val="006F7865"/>
    <w:rsid w:val="00702D4A"/>
    <w:rsid w:val="007115C8"/>
    <w:rsid w:val="0072172F"/>
    <w:rsid w:val="00722C79"/>
    <w:rsid w:val="00724F4D"/>
    <w:rsid w:val="00725FC5"/>
    <w:rsid w:val="00730FF1"/>
    <w:rsid w:val="007B62F4"/>
    <w:rsid w:val="007E2CDF"/>
    <w:rsid w:val="007E7E99"/>
    <w:rsid w:val="00815D6A"/>
    <w:rsid w:val="00825D99"/>
    <w:rsid w:val="00862B10"/>
    <w:rsid w:val="00882519"/>
    <w:rsid w:val="0089387B"/>
    <w:rsid w:val="008B0E26"/>
    <w:rsid w:val="008B2730"/>
    <w:rsid w:val="008D36A0"/>
    <w:rsid w:val="008E7E52"/>
    <w:rsid w:val="009304D8"/>
    <w:rsid w:val="00930E72"/>
    <w:rsid w:val="0093778D"/>
    <w:rsid w:val="009458E0"/>
    <w:rsid w:val="0097614B"/>
    <w:rsid w:val="0099431C"/>
    <w:rsid w:val="009A4CA9"/>
    <w:rsid w:val="009C2963"/>
    <w:rsid w:val="009E214B"/>
    <w:rsid w:val="009F5A38"/>
    <w:rsid w:val="00A20087"/>
    <w:rsid w:val="00A212D0"/>
    <w:rsid w:val="00A6642D"/>
    <w:rsid w:val="00AA5126"/>
    <w:rsid w:val="00AD16CD"/>
    <w:rsid w:val="00AD57D4"/>
    <w:rsid w:val="00AE7783"/>
    <w:rsid w:val="00AF6FBD"/>
    <w:rsid w:val="00B37137"/>
    <w:rsid w:val="00B5590F"/>
    <w:rsid w:val="00B63402"/>
    <w:rsid w:val="00B86B60"/>
    <w:rsid w:val="00B95153"/>
    <w:rsid w:val="00BA13C5"/>
    <w:rsid w:val="00BA7FCC"/>
    <w:rsid w:val="00BC1AA1"/>
    <w:rsid w:val="00BD7AB3"/>
    <w:rsid w:val="00BF62C2"/>
    <w:rsid w:val="00C07065"/>
    <w:rsid w:val="00C21153"/>
    <w:rsid w:val="00C47970"/>
    <w:rsid w:val="00C77007"/>
    <w:rsid w:val="00CD2F35"/>
    <w:rsid w:val="00CD5A03"/>
    <w:rsid w:val="00D20BAF"/>
    <w:rsid w:val="00D61896"/>
    <w:rsid w:val="00D82401"/>
    <w:rsid w:val="00D9126A"/>
    <w:rsid w:val="00D93262"/>
    <w:rsid w:val="00DA2A49"/>
    <w:rsid w:val="00DB1085"/>
    <w:rsid w:val="00E227BC"/>
    <w:rsid w:val="00E422DC"/>
    <w:rsid w:val="00E91CA2"/>
    <w:rsid w:val="00EA2C5D"/>
    <w:rsid w:val="00EA35D2"/>
    <w:rsid w:val="00EB1FFE"/>
    <w:rsid w:val="00EB5EB6"/>
    <w:rsid w:val="00EE2AC0"/>
    <w:rsid w:val="00F326C7"/>
    <w:rsid w:val="00F37FCC"/>
    <w:rsid w:val="00F6542B"/>
    <w:rsid w:val="00F75F27"/>
    <w:rsid w:val="00F84215"/>
    <w:rsid w:val="00FC5811"/>
    <w:rsid w:val="00FC7202"/>
    <w:rsid w:val="00FF23C5"/>
    <w:rsid w:val="00FF2ACD"/>
    <w:rsid w:val="00FF7B23"/>
    <w:rsid w:val="012008EE"/>
    <w:rsid w:val="01941124"/>
    <w:rsid w:val="01CC583F"/>
    <w:rsid w:val="02337D11"/>
    <w:rsid w:val="02C40969"/>
    <w:rsid w:val="04DB4953"/>
    <w:rsid w:val="04FF0482"/>
    <w:rsid w:val="05062887"/>
    <w:rsid w:val="05464D81"/>
    <w:rsid w:val="05F70F85"/>
    <w:rsid w:val="0607573C"/>
    <w:rsid w:val="06547701"/>
    <w:rsid w:val="072B19D6"/>
    <w:rsid w:val="084208C4"/>
    <w:rsid w:val="098A3C0A"/>
    <w:rsid w:val="09A24E4E"/>
    <w:rsid w:val="0A9A7091"/>
    <w:rsid w:val="0A9E209F"/>
    <w:rsid w:val="0C6738B8"/>
    <w:rsid w:val="0E7D784C"/>
    <w:rsid w:val="10300946"/>
    <w:rsid w:val="10FE60D7"/>
    <w:rsid w:val="13377989"/>
    <w:rsid w:val="134F7771"/>
    <w:rsid w:val="13E513B9"/>
    <w:rsid w:val="158C5316"/>
    <w:rsid w:val="15B904C0"/>
    <w:rsid w:val="165C118C"/>
    <w:rsid w:val="172D035F"/>
    <w:rsid w:val="175D58E3"/>
    <w:rsid w:val="18061B60"/>
    <w:rsid w:val="190C3DF8"/>
    <w:rsid w:val="19AA4D08"/>
    <w:rsid w:val="19F83E30"/>
    <w:rsid w:val="1B403139"/>
    <w:rsid w:val="1C6D319F"/>
    <w:rsid w:val="1D384A93"/>
    <w:rsid w:val="1D4D74D6"/>
    <w:rsid w:val="1DE32CFD"/>
    <w:rsid w:val="1F1A602A"/>
    <w:rsid w:val="1F2854B6"/>
    <w:rsid w:val="217D20CE"/>
    <w:rsid w:val="21C67E02"/>
    <w:rsid w:val="21C768CD"/>
    <w:rsid w:val="22E14253"/>
    <w:rsid w:val="23931BB2"/>
    <w:rsid w:val="23F209A3"/>
    <w:rsid w:val="2403516E"/>
    <w:rsid w:val="247F0D1E"/>
    <w:rsid w:val="256A2A9E"/>
    <w:rsid w:val="27F7226E"/>
    <w:rsid w:val="2805537E"/>
    <w:rsid w:val="28872C08"/>
    <w:rsid w:val="289437EE"/>
    <w:rsid w:val="297873DB"/>
    <w:rsid w:val="29F35E61"/>
    <w:rsid w:val="2A285817"/>
    <w:rsid w:val="2B6F150A"/>
    <w:rsid w:val="2BB557CB"/>
    <w:rsid w:val="2BC51751"/>
    <w:rsid w:val="2D166684"/>
    <w:rsid w:val="2EBF757D"/>
    <w:rsid w:val="313A1C72"/>
    <w:rsid w:val="31927D00"/>
    <w:rsid w:val="31AE39CE"/>
    <w:rsid w:val="31B83F5F"/>
    <w:rsid w:val="328E2AB6"/>
    <w:rsid w:val="329B12EA"/>
    <w:rsid w:val="32FB1A54"/>
    <w:rsid w:val="33291F9F"/>
    <w:rsid w:val="33A83F87"/>
    <w:rsid w:val="340D2D0F"/>
    <w:rsid w:val="348F1A9E"/>
    <w:rsid w:val="355C2B3F"/>
    <w:rsid w:val="356B4AF0"/>
    <w:rsid w:val="35F12468"/>
    <w:rsid w:val="36851B5C"/>
    <w:rsid w:val="37661A13"/>
    <w:rsid w:val="379871D0"/>
    <w:rsid w:val="37BA58BB"/>
    <w:rsid w:val="37D360CA"/>
    <w:rsid w:val="38CB5066"/>
    <w:rsid w:val="38E054C9"/>
    <w:rsid w:val="3A565DE9"/>
    <w:rsid w:val="3AC36A27"/>
    <w:rsid w:val="3F301058"/>
    <w:rsid w:val="417A34F9"/>
    <w:rsid w:val="418810F4"/>
    <w:rsid w:val="41A37673"/>
    <w:rsid w:val="42503F5E"/>
    <w:rsid w:val="42C30950"/>
    <w:rsid w:val="457858AB"/>
    <w:rsid w:val="459B4F7E"/>
    <w:rsid w:val="45A65C7F"/>
    <w:rsid w:val="45F13359"/>
    <w:rsid w:val="46641CB8"/>
    <w:rsid w:val="468C2A4A"/>
    <w:rsid w:val="46AD2493"/>
    <w:rsid w:val="46EC7F14"/>
    <w:rsid w:val="47CA7D9C"/>
    <w:rsid w:val="47DB3D58"/>
    <w:rsid w:val="48194880"/>
    <w:rsid w:val="48AF4C7F"/>
    <w:rsid w:val="4A3E32D9"/>
    <w:rsid w:val="4A5B46DD"/>
    <w:rsid w:val="4A6F6A56"/>
    <w:rsid w:val="4A81677A"/>
    <w:rsid w:val="4B3B5348"/>
    <w:rsid w:val="4DA177B2"/>
    <w:rsid w:val="4DA370C6"/>
    <w:rsid w:val="4DF36D4F"/>
    <w:rsid w:val="501B7C76"/>
    <w:rsid w:val="504D5CCF"/>
    <w:rsid w:val="50A5595B"/>
    <w:rsid w:val="511A2CA6"/>
    <w:rsid w:val="51C01450"/>
    <w:rsid w:val="533A7469"/>
    <w:rsid w:val="53526129"/>
    <w:rsid w:val="538B4CD8"/>
    <w:rsid w:val="53A21BCD"/>
    <w:rsid w:val="54394F3D"/>
    <w:rsid w:val="565F61A9"/>
    <w:rsid w:val="56AD4B11"/>
    <w:rsid w:val="57232FC4"/>
    <w:rsid w:val="572D2326"/>
    <w:rsid w:val="57365691"/>
    <w:rsid w:val="59EE1E48"/>
    <w:rsid w:val="5A3766CE"/>
    <w:rsid w:val="5A490F5C"/>
    <w:rsid w:val="5B805E16"/>
    <w:rsid w:val="5BD21464"/>
    <w:rsid w:val="5BDE2B83"/>
    <w:rsid w:val="5C777282"/>
    <w:rsid w:val="5D0B7780"/>
    <w:rsid w:val="61635F72"/>
    <w:rsid w:val="618606C5"/>
    <w:rsid w:val="6224402D"/>
    <w:rsid w:val="6384067A"/>
    <w:rsid w:val="638D125E"/>
    <w:rsid w:val="6396333E"/>
    <w:rsid w:val="63E114D3"/>
    <w:rsid w:val="6AD46D46"/>
    <w:rsid w:val="6B07083C"/>
    <w:rsid w:val="6B623CC4"/>
    <w:rsid w:val="6B6C65E0"/>
    <w:rsid w:val="6C2B67AC"/>
    <w:rsid w:val="6C6040F0"/>
    <w:rsid w:val="6DE07909"/>
    <w:rsid w:val="6E58438A"/>
    <w:rsid w:val="6E7066F8"/>
    <w:rsid w:val="6E9D5508"/>
    <w:rsid w:val="6F871359"/>
    <w:rsid w:val="711B7F18"/>
    <w:rsid w:val="71EB22B3"/>
    <w:rsid w:val="72010FA6"/>
    <w:rsid w:val="733F48EB"/>
    <w:rsid w:val="735F3D6D"/>
    <w:rsid w:val="74212849"/>
    <w:rsid w:val="744C1D4E"/>
    <w:rsid w:val="748A4F72"/>
    <w:rsid w:val="74961819"/>
    <w:rsid w:val="750202C6"/>
    <w:rsid w:val="75664078"/>
    <w:rsid w:val="761E4132"/>
    <w:rsid w:val="78061A79"/>
    <w:rsid w:val="78790E10"/>
    <w:rsid w:val="79181486"/>
    <w:rsid w:val="7A06128D"/>
    <w:rsid w:val="7AFE508C"/>
    <w:rsid w:val="7B2561EC"/>
    <w:rsid w:val="7BC003CA"/>
    <w:rsid w:val="7CBF4BB4"/>
    <w:rsid w:val="7E53749D"/>
    <w:rsid w:val="7E5D346D"/>
    <w:rsid w:val="7FDB1E88"/>
    <w:rsid w:val="FFDF92D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qFormat="1" w:unhideWhenUsed="0" w:uiPriority="0" w:semiHidden="0"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qFormat="1" w:unhideWhenUsed="0" w:uiPriority="0" w:semiHidden="0"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adjustRightInd w:val="0"/>
      <w:snapToGrid w:val="0"/>
      <w:spacing w:line="360" w:lineRule="auto"/>
      <w:ind w:firstLine="640" w:firstLineChars="200"/>
      <w:jc w:val="both"/>
    </w:pPr>
    <w:rPr>
      <w:rFonts w:ascii="仿宋_GB2312" w:hAnsi="仿宋_GB2312" w:eastAsia="仿宋" w:cs="仿宋_GB2312"/>
      <w:kern w:val="2"/>
      <w:sz w:val="28"/>
      <w:szCs w:val="24"/>
      <w:lang w:val="en-US" w:eastAsia="zh-CN" w:bidi="ar-SA"/>
    </w:rPr>
  </w:style>
  <w:style w:type="paragraph" w:styleId="3">
    <w:name w:val="heading 1"/>
    <w:basedOn w:val="1"/>
    <w:next w:val="1"/>
    <w:qFormat/>
    <w:uiPriority w:val="0"/>
    <w:pPr>
      <w:keepNext/>
      <w:keepLines/>
      <w:jc w:val="left"/>
      <w:outlineLvl w:val="0"/>
    </w:pPr>
    <w:rPr>
      <w:rFonts w:ascii="宋体" w:hAnsi="宋体" w:eastAsia="黑体"/>
      <w:bCs/>
      <w:kern w:val="44"/>
      <w:sz w:val="32"/>
      <w:szCs w:val="44"/>
    </w:rPr>
  </w:style>
  <w:style w:type="paragraph" w:styleId="4">
    <w:name w:val="heading 2"/>
    <w:basedOn w:val="1"/>
    <w:next w:val="1"/>
    <w:unhideWhenUsed/>
    <w:qFormat/>
    <w:uiPriority w:val="0"/>
    <w:pPr>
      <w:keepNext/>
      <w:keepLines/>
      <w:spacing w:before="50" w:beforeLines="50"/>
      <w:outlineLvl w:val="1"/>
    </w:pPr>
    <w:rPr>
      <w:rFonts w:ascii="Arial" w:hAnsi="Arial" w:eastAsia="楷体_GB2312"/>
      <w:b/>
      <w:sz w:val="32"/>
    </w:rPr>
  </w:style>
  <w:style w:type="paragraph" w:styleId="2">
    <w:name w:val="heading 3"/>
    <w:basedOn w:val="1"/>
    <w:next w:val="1"/>
    <w:unhideWhenUsed/>
    <w:qFormat/>
    <w:uiPriority w:val="9"/>
    <w:pPr>
      <w:keepNext/>
      <w:keepLines/>
      <w:spacing w:before="140"/>
      <w:outlineLvl w:val="2"/>
    </w:pPr>
    <w:rPr>
      <w:b/>
      <w:bCs/>
      <w:sz w:val="30"/>
      <w:szCs w:val="32"/>
    </w:rPr>
  </w:style>
  <w:style w:type="character" w:default="1" w:styleId="19">
    <w:name w:val="Default Paragraph Font"/>
    <w:semiHidden/>
    <w:unhideWhenUsed/>
    <w:uiPriority w:val="1"/>
  </w:style>
  <w:style w:type="table" w:default="1" w:styleId="17">
    <w:name w:val="Normal Table"/>
    <w:semiHidden/>
    <w:unhideWhenUsed/>
    <w:qFormat/>
    <w:uiPriority w:val="99"/>
    <w:tblPr>
      <w:tblCellMar>
        <w:top w:w="0" w:type="dxa"/>
        <w:left w:w="108" w:type="dxa"/>
        <w:bottom w:w="0" w:type="dxa"/>
        <w:right w:w="108" w:type="dxa"/>
      </w:tblCellMar>
    </w:tblPr>
  </w:style>
  <w:style w:type="paragraph" w:styleId="5">
    <w:name w:val="Normal Indent"/>
    <w:basedOn w:val="1"/>
    <w:next w:val="6"/>
    <w:qFormat/>
    <w:uiPriority w:val="0"/>
    <w:pPr>
      <w:ind w:firstLine="420"/>
    </w:pPr>
    <w:rPr>
      <w:sz w:val="21"/>
    </w:rPr>
  </w:style>
  <w:style w:type="paragraph" w:styleId="6">
    <w:name w:val="toc 4"/>
    <w:basedOn w:val="1"/>
    <w:next w:val="1"/>
    <w:qFormat/>
    <w:uiPriority w:val="0"/>
    <w:pPr>
      <w:ind w:left="1260" w:leftChars="600"/>
    </w:pPr>
  </w:style>
  <w:style w:type="paragraph" w:styleId="7">
    <w:name w:val="annotation text"/>
    <w:basedOn w:val="1"/>
    <w:unhideWhenUsed/>
    <w:qFormat/>
    <w:uiPriority w:val="99"/>
    <w:pPr>
      <w:jc w:val="left"/>
    </w:pPr>
  </w:style>
  <w:style w:type="paragraph" w:styleId="8">
    <w:name w:val="Body Text"/>
    <w:basedOn w:val="1"/>
    <w:qFormat/>
    <w:uiPriority w:val="0"/>
    <w:pPr>
      <w:spacing w:before="240" w:after="240"/>
      <w:jc w:val="center"/>
    </w:pPr>
    <w:rPr>
      <w:b/>
      <w:sz w:val="44"/>
    </w:rPr>
  </w:style>
  <w:style w:type="paragraph" w:styleId="9">
    <w:name w:val="Balloon Text"/>
    <w:basedOn w:val="1"/>
    <w:link w:val="28"/>
    <w:semiHidden/>
    <w:unhideWhenUsed/>
    <w:qFormat/>
    <w:uiPriority w:val="99"/>
    <w:pPr>
      <w:spacing w:line="240" w:lineRule="auto"/>
    </w:pPr>
    <w:rPr>
      <w:sz w:val="18"/>
      <w:szCs w:val="18"/>
    </w:rPr>
  </w:style>
  <w:style w:type="paragraph" w:styleId="10">
    <w:name w:val="footer"/>
    <w:basedOn w:val="1"/>
    <w:link w:val="24"/>
    <w:unhideWhenUsed/>
    <w:qFormat/>
    <w:uiPriority w:val="99"/>
    <w:pPr>
      <w:tabs>
        <w:tab w:val="center" w:pos="4153"/>
        <w:tab w:val="right" w:pos="8306"/>
      </w:tabs>
      <w:jc w:val="left"/>
    </w:pPr>
    <w:rPr>
      <w:sz w:val="18"/>
      <w:szCs w:val="18"/>
    </w:rPr>
  </w:style>
  <w:style w:type="paragraph" w:styleId="11">
    <w:name w:val="header"/>
    <w:basedOn w:val="1"/>
    <w:link w:val="25"/>
    <w:unhideWhenUsed/>
    <w:qFormat/>
    <w:uiPriority w:val="99"/>
    <w:pPr>
      <w:pBdr>
        <w:bottom w:val="single" w:color="auto" w:sz="6" w:space="1"/>
      </w:pBdr>
      <w:tabs>
        <w:tab w:val="center" w:pos="4153"/>
        <w:tab w:val="right" w:pos="8306"/>
      </w:tabs>
      <w:jc w:val="center"/>
    </w:pPr>
    <w:rPr>
      <w:sz w:val="18"/>
      <w:szCs w:val="18"/>
    </w:rPr>
  </w:style>
  <w:style w:type="paragraph" w:styleId="12">
    <w:name w:val="footnote text"/>
    <w:basedOn w:val="1"/>
    <w:next w:val="13"/>
    <w:qFormat/>
    <w:uiPriority w:val="0"/>
    <w:pPr>
      <w:jc w:val="left"/>
    </w:pPr>
    <w:rPr>
      <w:rFonts w:hint="eastAsia"/>
      <w:sz w:val="18"/>
    </w:rPr>
  </w:style>
  <w:style w:type="paragraph" w:customStyle="1" w:styleId="13">
    <w:name w:val="正文文本首行缩进 21"/>
    <w:basedOn w:val="14"/>
    <w:qFormat/>
    <w:uiPriority w:val="0"/>
    <w:pPr>
      <w:ind w:firstLine="420" w:firstLineChars="200"/>
    </w:pPr>
  </w:style>
  <w:style w:type="paragraph" w:customStyle="1" w:styleId="14">
    <w:name w:val="正文文本缩进1"/>
    <w:basedOn w:val="1"/>
    <w:next w:val="15"/>
    <w:qFormat/>
    <w:uiPriority w:val="0"/>
    <w:pPr>
      <w:spacing w:line="574" w:lineRule="exact"/>
      <w:ind w:left="400" w:hanging="400" w:hangingChars="400"/>
    </w:pPr>
    <w:rPr>
      <w:rFonts w:eastAsia="仿宋_GB2312"/>
      <w:sz w:val="32"/>
      <w:szCs w:val="32"/>
    </w:rPr>
  </w:style>
  <w:style w:type="paragraph" w:customStyle="1" w:styleId="15">
    <w:name w:val="正文缩进1"/>
    <w:basedOn w:val="1"/>
    <w:qFormat/>
    <w:uiPriority w:val="0"/>
    <w:pPr>
      <w:ind w:firstLine="420"/>
    </w:pPr>
    <w:rPr>
      <w:sz w:val="32"/>
    </w:rPr>
  </w:style>
  <w:style w:type="paragraph" w:styleId="16">
    <w:name w:val="Normal (Web)"/>
    <w:basedOn w:val="1"/>
    <w:qFormat/>
    <w:uiPriority w:val="0"/>
    <w:pPr>
      <w:spacing w:before="100" w:beforeAutospacing="1" w:after="100" w:afterAutospacing="1"/>
      <w:jc w:val="left"/>
    </w:pPr>
    <w:rPr>
      <w:rFonts w:cs="Times New Roman"/>
      <w:sz w:val="24"/>
    </w:rPr>
  </w:style>
  <w:style w:type="table" w:styleId="18">
    <w:name w:val="Table Grid"/>
    <w:basedOn w:val="17"/>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0">
    <w:name w:val="Strong"/>
    <w:basedOn w:val="19"/>
    <w:qFormat/>
    <w:uiPriority w:val="0"/>
    <w:rPr>
      <w:b/>
      <w:bCs/>
    </w:rPr>
  </w:style>
  <w:style w:type="character" w:styleId="21">
    <w:name w:val="Hyperlink"/>
    <w:basedOn w:val="19"/>
    <w:qFormat/>
    <w:uiPriority w:val="0"/>
    <w:rPr>
      <w:color w:val="5B677D"/>
      <w:u w:val="none"/>
    </w:rPr>
  </w:style>
  <w:style w:type="character" w:styleId="22">
    <w:name w:val="annotation reference"/>
    <w:basedOn w:val="19"/>
    <w:semiHidden/>
    <w:unhideWhenUsed/>
    <w:qFormat/>
    <w:uiPriority w:val="99"/>
    <w:rPr>
      <w:sz w:val="21"/>
      <w:szCs w:val="21"/>
    </w:rPr>
  </w:style>
  <w:style w:type="paragraph" w:customStyle="1" w:styleId="23">
    <w:name w:val="列出段落1"/>
    <w:basedOn w:val="1"/>
    <w:unhideWhenUsed/>
    <w:qFormat/>
    <w:uiPriority w:val="99"/>
    <w:pPr>
      <w:ind w:firstLine="420"/>
    </w:pPr>
  </w:style>
  <w:style w:type="character" w:customStyle="1" w:styleId="24">
    <w:name w:val="页脚 Char"/>
    <w:basedOn w:val="19"/>
    <w:link w:val="10"/>
    <w:qFormat/>
    <w:uiPriority w:val="99"/>
    <w:rPr>
      <w:sz w:val="18"/>
      <w:szCs w:val="18"/>
    </w:rPr>
  </w:style>
  <w:style w:type="character" w:customStyle="1" w:styleId="25">
    <w:name w:val="页眉 Char"/>
    <w:basedOn w:val="19"/>
    <w:link w:val="11"/>
    <w:qFormat/>
    <w:uiPriority w:val="99"/>
    <w:rPr>
      <w:sz w:val="18"/>
      <w:szCs w:val="18"/>
    </w:rPr>
  </w:style>
  <w:style w:type="paragraph" w:customStyle="1" w:styleId="26">
    <w:name w:val="WPSOffice手动目录 1"/>
    <w:qFormat/>
    <w:uiPriority w:val="0"/>
    <w:rPr>
      <w:rFonts w:asciiTheme="minorHAnsi" w:hAnsiTheme="minorHAnsi" w:eastAsiaTheme="minorEastAsia" w:cstheme="minorBidi"/>
      <w:lang w:val="en-US" w:eastAsia="zh-CN" w:bidi="ar-SA"/>
    </w:rPr>
  </w:style>
  <w:style w:type="paragraph" w:customStyle="1" w:styleId="27">
    <w:name w:val="闻政-正文段落文字"/>
    <w:basedOn w:val="1"/>
    <w:qFormat/>
    <w:uiPriority w:val="3"/>
    <w:pPr>
      <w:spacing w:line="500" w:lineRule="exact"/>
      <w:ind w:firstLine="200"/>
    </w:pPr>
    <w:rPr>
      <w:rFonts w:ascii="Times New Roman" w:hAnsi="Times New Roman" w:cs="Times New Roman"/>
      <w:kern w:val="0"/>
      <w:szCs w:val="28"/>
    </w:rPr>
  </w:style>
  <w:style w:type="character" w:customStyle="1" w:styleId="28">
    <w:name w:val="批注框文本 Char"/>
    <w:basedOn w:val="19"/>
    <w:link w:val="9"/>
    <w:semiHidden/>
    <w:qFormat/>
    <w:uiPriority w:val="99"/>
    <w:rPr>
      <w:rFonts w:ascii="仿宋_GB2312" w:hAnsi="仿宋_GB2312" w:eastAsia="仿宋" w:cs="仿宋_GB2312"/>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市直单位</Company>
  <Pages>12</Pages>
  <Words>1034</Words>
  <Characters>5895</Characters>
  <Lines>49</Lines>
  <Paragraphs>13</Paragraphs>
  <TotalTime>2</TotalTime>
  <ScaleCrop>false</ScaleCrop>
  <LinksUpToDate>false</LinksUpToDate>
  <CharactersWithSpaces>6916</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2021-02-24T22:26:00Z</dcterms:created>
  <dc:creator>ght-pc</dc:creator>
  <cp:lastModifiedBy>WPS_1374729787</cp:lastModifiedBy>
  <dcterms:modified xsi:type="dcterms:W3CDTF">2024-08-11T07:47:55Z</dcterms:modified>
  <cp:revision>72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FA48308C584B4C498E9734F137FE4F69</vt:lpwstr>
  </property>
</Properties>
</file>