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和静县巴音郭楞乡卫生院整体</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color w:val="auto"/>
          <w:highlight w:val="none"/>
        </w:rPr>
      </w:pPr>
      <w:r>
        <w:rPr>
          <w:rFonts w:hint="eastAsia"/>
          <w:color w:val="auto"/>
          <w:highlight w:val="none"/>
          <w:lang w:val="en-US" w:eastAsia="zh-CN"/>
        </w:rPr>
        <w:t>1.部门主要职能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和静县巴音郭楞乡卫生院主要职责是：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rPr>
          <w:rFonts w:hint="eastAsia"/>
          <w:color w:val="auto"/>
          <w:highlight w:val="none"/>
          <w:lang w:val="en-US" w:eastAsia="zh-CN"/>
        </w:rPr>
      </w:pP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val="en-US" w:eastAsia="zh-CN"/>
        </w:rPr>
        <w:t>巴音郭楞</w:t>
      </w:r>
      <w:r>
        <w:rPr>
          <w:rFonts w:hint="eastAsia" w:hAnsi="宋体" w:eastAsia="仿宋_GB2312"/>
          <w:color w:val="auto"/>
          <w:sz w:val="28"/>
          <w:szCs w:val="28"/>
          <w:highlight w:val="none"/>
          <w:lang w:eastAsia="zh-CN"/>
        </w:rPr>
        <w:t>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hAnsi="黑体" w:eastAsia="仿宋_GB2312" w:cs="仿宋_GB2312"/>
          <w:color w:val="auto"/>
          <w:sz w:val="28"/>
          <w:szCs w:val="28"/>
          <w:highlight w:val="none"/>
          <w:lang w:val="en-US" w:eastAsia="zh-CN"/>
        </w:rPr>
        <w:t>10</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1</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val="en-US" w:eastAsia="zh-CN"/>
        </w:rPr>
        <w:t>巴音郭楞</w:t>
      </w:r>
      <w:r>
        <w:rPr>
          <w:rFonts w:hint="eastAsia" w:hAnsi="宋体" w:eastAsia="仿宋_GB2312"/>
          <w:color w:val="auto"/>
          <w:sz w:val="28"/>
          <w:szCs w:val="28"/>
          <w:highlight w:val="none"/>
          <w:lang w:eastAsia="zh-CN"/>
        </w:rPr>
        <w:t>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7</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4</w:t>
      </w:r>
      <w:r>
        <w:rPr>
          <w:rFonts w:hint="eastAsia"/>
          <w:color w:val="auto"/>
          <w:szCs w:val="28"/>
          <w:highlight w:val="none"/>
        </w:rPr>
        <w:t>人。</w:t>
      </w:r>
    </w:p>
    <w:p>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人次，规范管理率</w:t>
      </w:r>
      <w:r>
        <w:rPr>
          <w:rFonts w:hint="eastAsia" w:ascii="仿宋" w:hAnsi="仿宋" w:eastAsia="仿宋" w:cs="仿宋"/>
          <w:b w:val="0"/>
          <w:bCs w:val="0"/>
          <w:color w:val="auto"/>
          <w:sz w:val="28"/>
          <w:szCs w:val="28"/>
          <w:highlight w:val="none"/>
          <w:lang w:val="en-US" w:eastAsia="zh-CN"/>
        </w:rPr>
        <w:t>95</w:t>
      </w:r>
      <w:r>
        <w:rPr>
          <w:rFonts w:hint="eastAsia" w:ascii="仿宋" w:hAnsi="仿宋" w:eastAsia="仿宋" w:cs="仿宋"/>
          <w:b w:val="0"/>
          <w:bCs w:val="0"/>
          <w:color w:val="auto"/>
          <w:sz w:val="28"/>
          <w:szCs w:val="28"/>
          <w:highlight w:val="none"/>
        </w:rPr>
        <w:t>%，年度体检</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体检率87%，糖尿病患者</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人次，规范管理率93%，年度体检</w:t>
      </w:r>
      <w:r>
        <w:rPr>
          <w:rFonts w:hint="eastAsia" w:ascii="仿宋" w:hAnsi="仿宋" w:eastAsia="仿宋" w:cs="仿宋"/>
          <w:b w:val="0"/>
          <w:bCs w:val="0"/>
          <w:color w:val="auto"/>
          <w:sz w:val="28"/>
          <w:szCs w:val="28"/>
          <w:highlight w:val="none"/>
          <w:lang w:val="en-US" w:eastAsia="zh-CN"/>
        </w:rPr>
        <w:t>79</w:t>
      </w:r>
      <w:r>
        <w:rPr>
          <w:rFonts w:hint="eastAsia" w:ascii="仿宋" w:hAnsi="仿宋" w:eastAsia="仿宋" w:cs="仿宋"/>
          <w:b w:val="0"/>
          <w:bCs w:val="0"/>
          <w:color w:val="auto"/>
          <w:sz w:val="28"/>
          <w:szCs w:val="28"/>
          <w:highlight w:val="none"/>
        </w:rPr>
        <w:t>人，并及时将体检结果反馈给患者，进行了相应的健康指导。</w:t>
      </w:r>
    </w:p>
    <w:p>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其中对已发现的原发性高血压和2型糖尿病等患者纳入慢性病患者健康管理，对体检中发现有异常的老年人推荐定期复查，并预约了下次的体检时刻。</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月制作宣传栏6期，举办</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期健康知识讲座，播放了高血压、糖尿病防治、中医药健康教育知识、老年人合理用药等音像资料，发放健康</w:t>
      </w:r>
      <w:r>
        <w:rPr>
          <w:rFonts w:hint="eastAsia" w:ascii="仿宋" w:hAnsi="仿宋" w:eastAsia="仿宋" w:cs="仿宋"/>
          <w:color w:val="auto"/>
          <w:sz w:val="28"/>
          <w:szCs w:val="28"/>
          <w:highlight w:val="none"/>
          <w:lang w:val="en-US" w:eastAsia="zh-CN"/>
        </w:rPr>
        <w:t>宣传册。</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eastAsia="仿宋" w:cs="仿宋"/>
          <w:color w:val="auto"/>
          <w:sz w:val="28"/>
          <w:szCs w:val="28"/>
          <w:highlight w:val="none"/>
          <w:lang w:val="en-US" w:eastAsia="zh-CN"/>
        </w:rPr>
        <w:t>62</w:t>
      </w:r>
      <w:r>
        <w:rPr>
          <w:rFonts w:hint="eastAsia" w:ascii="仿宋" w:hAnsi="仿宋" w:eastAsia="仿宋" w:cs="仿宋"/>
          <w:color w:val="auto"/>
          <w:sz w:val="28"/>
          <w:szCs w:val="28"/>
          <w:highlight w:val="none"/>
        </w:rPr>
        <w:t>，共完成6岁以下儿童体检</w:t>
      </w:r>
      <w:r>
        <w:rPr>
          <w:rFonts w:hint="eastAsia" w:ascii="仿宋" w:hAnsi="仿宋" w:eastAsia="仿宋" w:cs="仿宋"/>
          <w:color w:val="auto"/>
          <w:sz w:val="28"/>
          <w:szCs w:val="28"/>
          <w:highlight w:val="none"/>
          <w:lang w:val="en-US" w:eastAsia="zh-CN"/>
        </w:rPr>
        <w:t>62</w:t>
      </w:r>
      <w:r>
        <w:rPr>
          <w:rFonts w:hint="eastAsia" w:ascii="仿宋" w:hAnsi="仿宋" w:eastAsia="仿宋" w:cs="仿宋"/>
          <w:color w:val="auto"/>
          <w:sz w:val="28"/>
          <w:szCs w:val="28"/>
          <w:highlight w:val="none"/>
        </w:rPr>
        <w:t>人次，规范管理率95%</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住院分娩率100%，在管孕妇</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人，早孕建卡率</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严格执行诊疗常规和操作规程，处方书写规范；认真执行护理常规，基础护理工作无漏洞。巴音郭楞乡卫生院现配备基本药物类别108种，村卫生室配备80种，基本药物为100%，基本药100%零差率销售。</w:t>
      </w:r>
    </w:p>
    <w:p>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我单位年初预算数为126.26万元，实际预算执行数126.26万元，预算执行率为100%。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全年预算数为176.11万元，全年实际支出资金176.11万元，预算执行率为100%。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126.26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49.85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176.11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39.48</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39.48</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176.11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160.06</w:t>
      </w:r>
      <w:r>
        <w:rPr>
          <w:rFonts w:hint="default"/>
          <w:color w:val="auto"/>
          <w:highlight w:val="none"/>
          <w:lang w:val="en-US" w:eastAsia="zh-CN"/>
        </w:rPr>
        <w:t>万元，资金的使用方向为我单位机关人员经费支出</w:t>
      </w:r>
      <w:r>
        <w:rPr>
          <w:rFonts w:hint="eastAsia"/>
          <w:color w:val="auto"/>
          <w:highlight w:val="none"/>
          <w:lang w:val="en-US" w:eastAsia="zh-CN"/>
        </w:rPr>
        <w:t>140.05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20.01</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16.06</w:t>
      </w:r>
      <w:r>
        <w:rPr>
          <w:rFonts w:hint="default"/>
          <w:color w:val="auto"/>
          <w:highlight w:val="none"/>
          <w:lang w:val="en-US" w:eastAsia="zh-CN"/>
        </w:rPr>
        <w:t>万元，主要</w:t>
      </w:r>
      <w:r>
        <w:rPr>
          <w:rFonts w:hint="eastAsia"/>
          <w:color w:val="auto"/>
          <w:highlight w:val="none"/>
          <w:lang w:val="en-US" w:eastAsia="zh-CN"/>
        </w:rPr>
        <w:t>：</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160.06万元，全年实际支出160.06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140.05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公用经费支出20.01万元，主要包括：办公费、印刷费、电费、邮电费、取暖费、公务用车运行维护费、其他交通费用、其他商品和服务支出。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项目支出预算16.06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其中：上级专项资金11.66万元，本级财政资金4.4万元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16.06万元，其中</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2.59</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12.75</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0.72</w:t>
      </w:r>
      <w:r>
        <w:rPr>
          <w:rFonts w:hint="eastAsia"/>
          <w:color w:val="auto"/>
          <w:szCs w:val="28"/>
          <w:highlight w:val="none"/>
        </w:rPr>
        <w:t>万元</w:t>
      </w:r>
      <w:r>
        <w:rPr>
          <w:rFonts w:hint="eastAsia"/>
          <w:color w:val="auto"/>
          <w:highlight w:val="none"/>
          <w:lang w:val="en-US" w:eastAsia="zh-CN"/>
        </w:rPr>
        <w:t>。项目资金全部通过财政国库集中支付方式直接拨给项目实施单位。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度安排项目支出资金16.06万元，</w:t>
      </w:r>
      <w:r>
        <w:rPr>
          <w:rFonts w:hint="eastAsia"/>
          <w:color w:val="auto"/>
          <w:highlight w:val="none"/>
          <w:lang w:eastAsia="zh-CN"/>
        </w:rPr>
        <w:t>实际</w:t>
      </w:r>
      <w:r>
        <w:rPr>
          <w:rFonts w:hint="eastAsia"/>
          <w:color w:val="auto"/>
          <w:highlight w:val="none"/>
          <w:lang w:val="en-US" w:eastAsia="zh-CN"/>
        </w:rPr>
        <w:t>支出16.06</w:t>
      </w:r>
      <w:r>
        <w:rPr>
          <w:rFonts w:hint="eastAsia"/>
          <w:color w:val="auto"/>
          <w:highlight w:val="none"/>
          <w:lang w:eastAsia="zh-CN"/>
        </w:rPr>
        <w:t>万元，</w:t>
      </w:r>
      <w:r>
        <w:rPr>
          <w:rFonts w:hint="eastAsia"/>
          <w:color w:val="auto"/>
          <w:highlight w:val="none"/>
          <w:lang w:val="en-US" w:eastAsia="zh-CN"/>
        </w:rPr>
        <w:t>其中：上级专项资金支出11.66万元，本级财政安排项目资金支出4.4万元，项目预算资金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eastAsia="zh-CN"/>
        </w:rPr>
        <w:t>。</w:t>
      </w:r>
    </w:p>
    <w:p>
      <w:pPr>
        <w:bidi w:val="0"/>
        <w:rPr>
          <w:rFonts w:hint="default"/>
          <w:color w:val="auto"/>
          <w:highlight w:val="none"/>
          <w:lang w:val="en-US" w:eastAsia="zh-CN"/>
        </w:rPr>
      </w:pPr>
      <w:r>
        <w:rPr>
          <w:rFonts w:hint="default"/>
          <w:color w:val="auto"/>
          <w:highlight w:val="none"/>
          <w:lang w:val="en-US" w:eastAsia="zh-CN"/>
        </w:rPr>
        <w:t>我单位2023年度安排项目支出主要</w:t>
      </w:r>
      <w:r>
        <w:rPr>
          <w:rFonts w:hint="eastAsia"/>
          <w:color w:val="auto"/>
          <w:highlight w:val="none"/>
          <w:lang w:val="en-US" w:eastAsia="zh-CN"/>
        </w:rPr>
        <w:t>内容包括：</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w:t>
      </w:r>
      <w:r>
        <w:rPr>
          <w:rFonts w:hint="eastAsia"/>
          <w:color w:val="auto"/>
          <w:szCs w:val="28"/>
          <w:highlight w:val="none"/>
          <w:lang w:eastAsia="zh-CN"/>
        </w:rPr>
        <w:t>目和</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w:t>
      </w:r>
      <w:r>
        <w:rPr>
          <w:rFonts w:hint="eastAsia"/>
          <w:color w:val="auto"/>
          <w:szCs w:val="28"/>
          <w:highlight w:val="none"/>
          <w:lang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:2100399其他基层医疗卫生机构支出</w:t>
      </w:r>
      <w:r>
        <w:rPr>
          <w:rFonts w:hint="eastAsia"/>
          <w:color w:val="auto"/>
          <w:highlight w:val="none"/>
          <w:lang w:val="en-US" w:eastAsia="zh-CN"/>
        </w:rPr>
        <w:t>2.59</w:t>
      </w:r>
      <w:r>
        <w:rPr>
          <w:rFonts w:hint="default"/>
          <w:color w:val="auto"/>
          <w:highlight w:val="none"/>
          <w:lang w:val="en-US" w:eastAsia="zh-CN"/>
        </w:rPr>
        <w:t>万元，2100408  基本公共卫生服务</w:t>
      </w:r>
      <w:r>
        <w:rPr>
          <w:rFonts w:hint="eastAsia"/>
          <w:color w:val="auto"/>
          <w:highlight w:val="none"/>
          <w:lang w:val="en-US" w:eastAsia="zh-CN"/>
        </w:rPr>
        <w:t>12.75</w:t>
      </w:r>
      <w:r>
        <w:rPr>
          <w:rFonts w:hint="default"/>
          <w:color w:val="auto"/>
          <w:highlight w:val="none"/>
          <w:lang w:val="en-US" w:eastAsia="zh-CN"/>
        </w:rPr>
        <w:t>万元，2100409 重大公共卫生服务</w:t>
      </w:r>
      <w:r>
        <w:rPr>
          <w:rFonts w:hint="eastAsia"/>
          <w:color w:val="auto"/>
          <w:highlight w:val="none"/>
          <w:lang w:val="en-US" w:eastAsia="zh-CN"/>
        </w:rPr>
        <w:t>0.72</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3"/>
        </w:numPr>
        <w:bidi w:val="0"/>
        <w:rPr>
          <w:color w:val="auto"/>
          <w:highlight w:val="none"/>
        </w:rPr>
      </w:pPr>
      <w:r>
        <w:rPr>
          <w:rFonts w:hint="eastAsia"/>
          <w:color w:val="auto"/>
          <w:highlight w:val="none"/>
          <w:lang w:val="en-US" w:eastAsia="zh-CN"/>
        </w:rPr>
        <w:t>基本支出预算执行率</w:t>
      </w:r>
    </w:p>
    <w:p>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“基本支出预算执行率”控制率指标年初设定目标是=100%，年中绩效运行监控时完成值54.31%，年终实际完成值是100%，指标完成率是100%，达到了“基本支出预算执行率”合理控制的预期目标。偏差原因：无偏差。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w:t>
      </w:r>
      <w:r>
        <w:rPr>
          <w:rFonts w:hint="eastAsia" w:cs="仿宋_GB2312"/>
          <w:b w:val="0"/>
          <w:bCs w:val="0"/>
          <w:color w:val="auto"/>
          <w:kern w:val="2"/>
          <w:sz w:val="28"/>
          <w:szCs w:val="24"/>
          <w:highlight w:val="none"/>
          <w:lang w:val="en-US" w:eastAsia="zh-CN" w:bidi="ar-SA"/>
        </w:rPr>
        <w:t>7</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8人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114.29</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%，达到了职工人员工资按时发放、社保按时缴纳的预期目标。偏差原因：本年度单位考入新增1人，年末在职人数增加。</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（三）退休人员经费保障人数指标完成情况分析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color w:val="auto"/>
          <w:kern w:val="2"/>
          <w:sz w:val="28"/>
          <w:szCs w:val="28"/>
          <w:highlight w:val="none"/>
          <w:lang w:val="en-US" w:eastAsia="zh-CN" w:bidi="ar-SA"/>
        </w:rPr>
      </w:pPr>
      <w:r>
        <w:rPr>
          <w:rFonts w:hint="eastAsia" w:ascii="仿宋_GB2312" w:hAnsi="仿宋_GB2312" w:eastAsia="仿宋" w:cs="仿宋_GB2312"/>
          <w:b w:val="0"/>
          <w:bCs/>
          <w:color w:val="auto"/>
          <w:kern w:val="2"/>
          <w:sz w:val="28"/>
          <w:szCs w:val="28"/>
          <w:highlight w:val="none"/>
          <w:lang w:val="en-US" w:eastAsia="zh-CN" w:bidi="ar-SA"/>
        </w:rPr>
        <w:t>保障退休人员人数”指标：预期指标值为=4人，实际完成指标值为4人，指标完成率为100%，达到了职工人员工资按时发放、社保按时缴纳的预期目标。</w:t>
      </w:r>
    </w:p>
    <w:p>
      <w:pPr>
        <w:ind w:left="0" w:leftChars="0" w:firstLine="560" w:firstLineChars="200"/>
        <w:rPr>
          <w:rFonts w:hint="eastAsia"/>
          <w:color w:val="auto"/>
          <w:highlight w:val="none"/>
          <w:lang w:val="en-US" w:eastAsia="zh-CN"/>
        </w:rPr>
      </w:pP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1197</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886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1797</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150.13</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基层医务人员培训人数</w:t>
      </w:r>
      <w:r>
        <w:rPr>
          <w:rFonts w:hint="eastAsia" w:ascii="仿宋_GB2312" w:hAnsi="仿宋_GB2312" w:eastAsia="仿宋" w:cs="仿宋_GB2312"/>
          <w:b w:val="0"/>
          <w:bCs w:val="0"/>
          <w:color w:val="auto"/>
          <w:kern w:val="2"/>
          <w:sz w:val="28"/>
          <w:szCs w:val="24"/>
          <w:highlight w:val="none"/>
          <w:lang w:val="en-US" w:eastAsia="zh-CN" w:bidi="ar-SA"/>
        </w:rPr>
        <w:t>指标年初设定目标是&gt;=</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（六）人员经费保障率指标完成情况分析</w:t>
      </w:r>
    </w:p>
    <w:p>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（七）乡镇门诊治疗准确率指标完成情况分析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乡镇门诊治疗准确率</w:t>
      </w:r>
      <w:r>
        <w:rPr>
          <w:rFonts w:hint="eastAsia"/>
          <w:color w:val="auto"/>
          <w:highlight w:val="none"/>
          <w:lang w:val="en-US" w:eastAsia="zh-CN"/>
        </w:rPr>
        <w:t>指标年初设定目标是=&gt;97%，年中绩效运行监控时完成值100%，年终实际完成值是</w:t>
      </w:r>
      <w:r>
        <w:rPr>
          <w:rFonts w:hint="eastAsia"/>
          <w:color w:val="auto"/>
          <w:sz w:val="28"/>
          <w:szCs w:val="28"/>
          <w:highlight w:val="none"/>
          <w:lang w:val="en-US" w:eastAsia="zh-CN"/>
        </w:rPr>
        <w:t>103.09%，指标</w:t>
      </w:r>
      <w:r>
        <w:rPr>
          <w:rFonts w:hint="eastAsia"/>
          <w:color w:val="auto"/>
          <w:highlight w:val="none"/>
          <w:lang w:val="en-US" w:eastAsia="zh-CN"/>
        </w:rPr>
        <w:t>完成率是100%，</w:t>
      </w:r>
      <w:r>
        <w:rPr>
          <w:rFonts w:hint="eastAsia" w:cs="仿宋_GB2312"/>
          <w:b w:val="0"/>
          <w:bCs w:val="0"/>
          <w:color w:val="auto"/>
          <w:kern w:val="2"/>
          <w:sz w:val="28"/>
          <w:szCs w:val="24"/>
          <w:highlight w:val="none"/>
          <w:lang w:val="en-US" w:eastAsia="zh-CN" w:bidi="ar-SA"/>
        </w:rPr>
        <w:t>达到了</w:t>
      </w:r>
      <w:r>
        <w:rPr>
          <w:rFonts w:hint="eastAsia"/>
          <w:color w:val="auto"/>
          <w:highlight w:val="none"/>
          <w:lang w:val="en-US" w:eastAsia="zh-CN"/>
        </w:rPr>
        <w:t>乡镇门诊治疗准确率</w:t>
      </w:r>
      <w:r>
        <w:rPr>
          <w:rFonts w:hint="eastAsia" w:cs="仿宋_GB2312"/>
          <w:b w:val="0"/>
          <w:bCs w:val="0"/>
          <w:color w:val="auto"/>
          <w:kern w:val="2"/>
          <w:sz w:val="28"/>
          <w:szCs w:val="24"/>
          <w:highlight w:val="none"/>
          <w:lang w:val="en-US" w:eastAsia="zh-CN" w:bidi="ar-SA"/>
        </w:rPr>
        <w:t>，提升</w:t>
      </w:r>
      <w:r>
        <w:rPr>
          <w:rFonts w:hint="eastAsia"/>
          <w:color w:val="auto"/>
          <w:highlight w:val="none"/>
          <w:lang w:val="en-US" w:eastAsia="zh-CN"/>
        </w:rPr>
        <w:t>乡镇门诊治疗</w:t>
      </w:r>
      <w:r>
        <w:rPr>
          <w:rFonts w:hint="eastAsia" w:cs="仿宋_GB2312"/>
          <w:b w:val="0"/>
          <w:bCs w:val="0"/>
          <w:color w:val="auto"/>
          <w:kern w:val="2"/>
          <w:sz w:val="28"/>
          <w:szCs w:val="24"/>
          <w:highlight w:val="none"/>
          <w:lang w:val="en-US" w:eastAsia="zh-CN" w:bidi="ar-SA"/>
        </w:rPr>
        <w:t>按时完成</w:t>
      </w:r>
      <w:r>
        <w:rPr>
          <w:rFonts w:hint="eastAsia" w:ascii="仿宋_GB2312" w:hAnsi="仿宋_GB2312" w:eastAsia="仿宋" w:cs="仿宋_GB2312"/>
          <w:b w:val="0"/>
          <w:bCs w:val="0"/>
          <w:color w:val="auto"/>
          <w:kern w:val="2"/>
          <w:sz w:val="28"/>
          <w:szCs w:val="24"/>
          <w:highlight w:val="none"/>
          <w:lang w:val="en-US" w:eastAsia="zh-CN" w:bidi="ar-SA"/>
        </w:rPr>
        <w:t>预期目标。</w:t>
      </w:r>
      <w:r>
        <w:rPr>
          <w:rFonts w:hint="eastAsia"/>
          <w:color w:val="auto"/>
          <w:highlight w:val="none"/>
          <w:lang w:val="en-US" w:eastAsia="zh-CN"/>
        </w:rPr>
        <w:t>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（八）提供医疗与护理保健服务率指标完成情况分析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98</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指标年初设定目标是&gt;=98%，年中绩效运行监控时完成值98%，年终实际完成值是100%，指标完成率是100%，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医保政策知晓率指标年初设定目标是&gt;=90%，年中绩效运行监控时完成值90%，年终实际完成值是100%，指标完成率是100%，提高了居民对医保政策的理解和信任的预期目标。偏差原因：无偏差。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提升本辖区居民健康水平指标年初设定目标是&gt;=90%，年中绩效运行监控时完成值未达监控节点，年终实际完成值是100%，指标完成率是100%，提高了本辖区居民健康水平的预期目标。偏差原因：无偏差。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（十二）患者对医疗服务的满意度指标完成情况分析</w:t>
      </w:r>
    </w:p>
    <w:p>
      <w:pPr>
        <w:pStyle w:val="2"/>
        <w:rPr>
          <w:rFonts w:hint="eastAsia"/>
          <w:b w:val="0"/>
          <w:bCs w:val="0"/>
          <w:color w:val="auto"/>
          <w:highlight w:val="none"/>
          <w:lang w:val="en-US" w:eastAsia="zh-CN"/>
        </w:rPr>
      </w:pPr>
      <w:r>
        <w:rPr>
          <w:rFonts w:hint="eastAsia"/>
          <w:b w:val="0"/>
          <w:bCs w:val="0"/>
          <w:color w:val="auto"/>
          <w:highlight w:val="none"/>
          <w:lang w:val="en-US" w:eastAsia="zh-CN"/>
        </w:rPr>
        <w:t>患者对医疗服务的满意度指标年初设定目标是&gt;=95%，年中绩效运行监控时完成值未达监控节点，年终实际完成值是100%，指标完成率是100%，提升了患者满意度和就诊体验的预期目标。偏差原因：无偏差。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98%，年中绩效运行监控时完成值未达监控节点，年终实际完成值是100%，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巴音郭楞乡卫生院</w:t>
      </w:r>
      <w:r>
        <w:rPr>
          <w:rFonts w:hint="default"/>
          <w:color w:val="auto"/>
          <w:highlight w:val="none"/>
          <w:lang w:eastAsia="zh-CN"/>
        </w:rPr>
        <w:t>坚持以习近平新时代中国特色社会主义重要思想</w:t>
      </w:r>
      <w:bookmarkStart w:id="6" w:name="_GoBack"/>
      <w:bookmarkEnd w:id="6"/>
      <w:r>
        <w:rPr>
          <w:rFonts w:hint="default"/>
          <w:color w:val="auto"/>
          <w:highlight w:val="none"/>
          <w:lang w:eastAsia="zh-CN"/>
        </w:rPr>
        <w:t>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numPr>
          <w:ilvl w:val="0"/>
          <w:numId w:val="4"/>
        </w:numPr>
        <w:bidi w:val="0"/>
        <w:ind w:left="0" w:leftChars="0" w:firstLine="640" w:firstLineChars="20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rPr>
          <w:rFonts w:hint="eastAsia"/>
          <w:color w:val="auto"/>
          <w:highlight w:val="none"/>
        </w:rPr>
      </w:pPr>
    </w:p>
    <w:p>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9E4ED3"/>
    <w:rsid w:val="01BC68B7"/>
    <w:rsid w:val="01CC583F"/>
    <w:rsid w:val="021F6013"/>
    <w:rsid w:val="02337D11"/>
    <w:rsid w:val="02610413"/>
    <w:rsid w:val="02994018"/>
    <w:rsid w:val="02C40969"/>
    <w:rsid w:val="02D50DC8"/>
    <w:rsid w:val="0337738D"/>
    <w:rsid w:val="037405E1"/>
    <w:rsid w:val="03DF5390"/>
    <w:rsid w:val="04163446"/>
    <w:rsid w:val="045F6B9B"/>
    <w:rsid w:val="04DB4953"/>
    <w:rsid w:val="04FF0482"/>
    <w:rsid w:val="05062887"/>
    <w:rsid w:val="051A51B8"/>
    <w:rsid w:val="05464D81"/>
    <w:rsid w:val="05F70F85"/>
    <w:rsid w:val="0607573C"/>
    <w:rsid w:val="06547701"/>
    <w:rsid w:val="06FF4665"/>
    <w:rsid w:val="071E0F8F"/>
    <w:rsid w:val="072B19D6"/>
    <w:rsid w:val="078B5EF9"/>
    <w:rsid w:val="07FB4D4E"/>
    <w:rsid w:val="084208C4"/>
    <w:rsid w:val="087D5842"/>
    <w:rsid w:val="08A90D2D"/>
    <w:rsid w:val="095962AF"/>
    <w:rsid w:val="098A3C0A"/>
    <w:rsid w:val="09A24E4E"/>
    <w:rsid w:val="09DF42DA"/>
    <w:rsid w:val="0A375D4C"/>
    <w:rsid w:val="0A87276B"/>
    <w:rsid w:val="0A9A7091"/>
    <w:rsid w:val="0B8B417D"/>
    <w:rsid w:val="0BC1013B"/>
    <w:rsid w:val="0BE36304"/>
    <w:rsid w:val="0C00695E"/>
    <w:rsid w:val="0C254A1B"/>
    <w:rsid w:val="0C2C6F36"/>
    <w:rsid w:val="0C6738B8"/>
    <w:rsid w:val="0C803B53"/>
    <w:rsid w:val="0CF06F2A"/>
    <w:rsid w:val="0CF11C7D"/>
    <w:rsid w:val="0D26294C"/>
    <w:rsid w:val="0D533015"/>
    <w:rsid w:val="0DF95B46"/>
    <w:rsid w:val="0E7D784C"/>
    <w:rsid w:val="0E87566C"/>
    <w:rsid w:val="0E9D4E90"/>
    <w:rsid w:val="0F1D7D7F"/>
    <w:rsid w:val="0F615EBD"/>
    <w:rsid w:val="0FC73292"/>
    <w:rsid w:val="101271B8"/>
    <w:rsid w:val="1025513D"/>
    <w:rsid w:val="10300946"/>
    <w:rsid w:val="10A1053B"/>
    <w:rsid w:val="10BD330A"/>
    <w:rsid w:val="10E84FC9"/>
    <w:rsid w:val="10FE60D7"/>
    <w:rsid w:val="115A5EBE"/>
    <w:rsid w:val="116C2DA6"/>
    <w:rsid w:val="11F052D6"/>
    <w:rsid w:val="12587CF9"/>
    <w:rsid w:val="134F7771"/>
    <w:rsid w:val="138309AD"/>
    <w:rsid w:val="13A05616"/>
    <w:rsid w:val="13E513B9"/>
    <w:rsid w:val="14085134"/>
    <w:rsid w:val="141D43FE"/>
    <w:rsid w:val="14627FE2"/>
    <w:rsid w:val="14A800EA"/>
    <w:rsid w:val="1527393E"/>
    <w:rsid w:val="154020D1"/>
    <w:rsid w:val="15791F29"/>
    <w:rsid w:val="158C5316"/>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D61256"/>
    <w:rsid w:val="19F83E30"/>
    <w:rsid w:val="1AA80E44"/>
    <w:rsid w:val="1B403139"/>
    <w:rsid w:val="1B662AAD"/>
    <w:rsid w:val="1BCA6B98"/>
    <w:rsid w:val="1C6D319F"/>
    <w:rsid w:val="1C737230"/>
    <w:rsid w:val="1CD557F5"/>
    <w:rsid w:val="1D322C47"/>
    <w:rsid w:val="1D384A93"/>
    <w:rsid w:val="1D4D74D6"/>
    <w:rsid w:val="1D7C0366"/>
    <w:rsid w:val="1DA11B7B"/>
    <w:rsid w:val="1DBE272D"/>
    <w:rsid w:val="1DE32CFD"/>
    <w:rsid w:val="1E366767"/>
    <w:rsid w:val="1E5303AE"/>
    <w:rsid w:val="1EB51D82"/>
    <w:rsid w:val="1EFF4DAB"/>
    <w:rsid w:val="1F1A602A"/>
    <w:rsid w:val="1F2854B6"/>
    <w:rsid w:val="20146634"/>
    <w:rsid w:val="21717AB6"/>
    <w:rsid w:val="217D20CE"/>
    <w:rsid w:val="21C67E02"/>
    <w:rsid w:val="21C768CD"/>
    <w:rsid w:val="220F3557"/>
    <w:rsid w:val="228E4DC3"/>
    <w:rsid w:val="228F4698"/>
    <w:rsid w:val="22AE0FC2"/>
    <w:rsid w:val="22B10AB2"/>
    <w:rsid w:val="22E14253"/>
    <w:rsid w:val="23931BB2"/>
    <w:rsid w:val="23F209A3"/>
    <w:rsid w:val="2403516E"/>
    <w:rsid w:val="241035B6"/>
    <w:rsid w:val="2415065A"/>
    <w:rsid w:val="2435301D"/>
    <w:rsid w:val="244420F8"/>
    <w:rsid w:val="245E4322"/>
    <w:rsid w:val="24E71FCC"/>
    <w:rsid w:val="24EC7B7F"/>
    <w:rsid w:val="256A2A9E"/>
    <w:rsid w:val="257162D7"/>
    <w:rsid w:val="26031625"/>
    <w:rsid w:val="268B3412"/>
    <w:rsid w:val="26BB5A5B"/>
    <w:rsid w:val="27F7226E"/>
    <w:rsid w:val="2805537E"/>
    <w:rsid w:val="288E0F4E"/>
    <w:rsid w:val="289437EE"/>
    <w:rsid w:val="292A336C"/>
    <w:rsid w:val="292C0E92"/>
    <w:rsid w:val="297873DB"/>
    <w:rsid w:val="29C410CB"/>
    <w:rsid w:val="29F35E61"/>
    <w:rsid w:val="2A285817"/>
    <w:rsid w:val="2A641244"/>
    <w:rsid w:val="2AD92954"/>
    <w:rsid w:val="2B6F150A"/>
    <w:rsid w:val="2B822FEC"/>
    <w:rsid w:val="2B8A1EA0"/>
    <w:rsid w:val="2B9C671C"/>
    <w:rsid w:val="2BB557CB"/>
    <w:rsid w:val="2BC51751"/>
    <w:rsid w:val="2CF41CC7"/>
    <w:rsid w:val="2D166684"/>
    <w:rsid w:val="2D984D48"/>
    <w:rsid w:val="2DDE76C8"/>
    <w:rsid w:val="2E840E29"/>
    <w:rsid w:val="2E8B12D6"/>
    <w:rsid w:val="2EBF757D"/>
    <w:rsid w:val="2EE47B19"/>
    <w:rsid w:val="2EF835C5"/>
    <w:rsid w:val="305667F5"/>
    <w:rsid w:val="31085D41"/>
    <w:rsid w:val="31215055"/>
    <w:rsid w:val="313A1C72"/>
    <w:rsid w:val="316B2774"/>
    <w:rsid w:val="319121DA"/>
    <w:rsid w:val="31927D00"/>
    <w:rsid w:val="31AE39CE"/>
    <w:rsid w:val="31B83F5F"/>
    <w:rsid w:val="31E0281A"/>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E624571"/>
    <w:rsid w:val="3F2B709E"/>
    <w:rsid w:val="3F301058"/>
    <w:rsid w:val="3F4A5777"/>
    <w:rsid w:val="3F9B5FD2"/>
    <w:rsid w:val="40384169"/>
    <w:rsid w:val="40642868"/>
    <w:rsid w:val="41406E31"/>
    <w:rsid w:val="41630D72"/>
    <w:rsid w:val="417A34F9"/>
    <w:rsid w:val="418810F4"/>
    <w:rsid w:val="41A37673"/>
    <w:rsid w:val="41A73354"/>
    <w:rsid w:val="41D5429B"/>
    <w:rsid w:val="42503F5E"/>
    <w:rsid w:val="427F607F"/>
    <w:rsid w:val="4292190E"/>
    <w:rsid w:val="42AE618F"/>
    <w:rsid w:val="42B20202"/>
    <w:rsid w:val="42C30950"/>
    <w:rsid w:val="42C6780A"/>
    <w:rsid w:val="459B4F7E"/>
    <w:rsid w:val="45A65C7F"/>
    <w:rsid w:val="45F13359"/>
    <w:rsid w:val="464253F9"/>
    <w:rsid w:val="468C2A4A"/>
    <w:rsid w:val="46AD2493"/>
    <w:rsid w:val="46B862C7"/>
    <w:rsid w:val="46C202E8"/>
    <w:rsid w:val="46EC7F14"/>
    <w:rsid w:val="46EE732F"/>
    <w:rsid w:val="477517FF"/>
    <w:rsid w:val="47CA7D9C"/>
    <w:rsid w:val="47DB3D58"/>
    <w:rsid w:val="47F92430"/>
    <w:rsid w:val="47FE7A46"/>
    <w:rsid w:val="480D0379"/>
    <w:rsid w:val="480D1A37"/>
    <w:rsid w:val="48194880"/>
    <w:rsid w:val="48594C7C"/>
    <w:rsid w:val="48AF4C7F"/>
    <w:rsid w:val="48FA242C"/>
    <w:rsid w:val="49177011"/>
    <w:rsid w:val="49957F36"/>
    <w:rsid w:val="499A72FA"/>
    <w:rsid w:val="49D92519"/>
    <w:rsid w:val="4A421E6C"/>
    <w:rsid w:val="4A5B46DD"/>
    <w:rsid w:val="4A6F6A56"/>
    <w:rsid w:val="4A81677A"/>
    <w:rsid w:val="4AA743C5"/>
    <w:rsid w:val="4AFC316A"/>
    <w:rsid w:val="4B3B5348"/>
    <w:rsid w:val="4B622640"/>
    <w:rsid w:val="4B751DCD"/>
    <w:rsid w:val="4D5C1497"/>
    <w:rsid w:val="4DA177B2"/>
    <w:rsid w:val="4DA370C6"/>
    <w:rsid w:val="4DF36D4F"/>
    <w:rsid w:val="4E037827"/>
    <w:rsid w:val="4E2C132C"/>
    <w:rsid w:val="4E564138"/>
    <w:rsid w:val="4E5C7274"/>
    <w:rsid w:val="4F3D60A1"/>
    <w:rsid w:val="4F893200"/>
    <w:rsid w:val="501B7C76"/>
    <w:rsid w:val="502E69EF"/>
    <w:rsid w:val="503C110B"/>
    <w:rsid w:val="504D5CCF"/>
    <w:rsid w:val="50AF18DD"/>
    <w:rsid w:val="50E27F05"/>
    <w:rsid w:val="511A2CA6"/>
    <w:rsid w:val="51A76A58"/>
    <w:rsid w:val="51BA2C30"/>
    <w:rsid w:val="5243507E"/>
    <w:rsid w:val="524D7411"/>
    <w:rsid w:val="528079D5"/>
    <w:rsid w:val="530F6FAB"/>
    <w:rsid w:val="533A7469"/>
    <w:rsid w:val="53526129"/>
    <w:rsid w:val="538B4CD8"/>
    <w:rsid w:val="53A21BCD"/>
    <w:rsid w:val="5411465D"/>
    <w:rsid w:val="54394F3D"/>
    <w:rsid w:val="5454111A"/>
    <w:rsid w:val="54C0102B"/>
    <w:rsid w:val="553B7BE4"/>
    <w:rsid w:val="55472A2C"/>
    <w:rsid w:val="55E24503"/>
    <w:rsid w:val="563F54B2"/>
    <w:rsid w:val="564B3E56"/>
    <w:rsid w:val="565F61A9"/>
    <w:rsid w:val="56AD4B11"/>
    <w:rsid w:val="570A1F63"/>
    <w:rsid w:val="57232FC4"/>
    <w:rsid w:val="572D2326"/>
    <w:rsid w:val="57365691"/>
    <w:rsid w:val="58242BB1"/>
    <w:rsid w:val="58BC103B"/>
    <w:rsid w:val="590B5B1F"/>
    <w:rsid w:val="592D1F39"/>
    <w:rsid w:val="59EE1E48"/>
    <w:rsid w:val="5A490F5C"/>
    <w:rsid w:val="5AF22227"/>
    <w:rsid w:val="5B184523"/>
    <w:rsid w:val="5B67083D"/>
    <w:rsid w:val="5B805E16"/>
    <w:rsid w:val="5BD21464"/>
    <w:rsid w:val="5BDE2B83"/>
    <w:rsid w:val="5C777282"/>
    <w:rsid w:val="5D042FB1"/>
    <w:rsid w:val="5F105C3D"/>
    <w:rsid w:val="5F304531"/>
    <w:rsid w:val="5F571ABE"/>
    <w:rsid w:val="5FBE38EB"/>
    <w:rsid w:val="5FF23595"/>
    <w:rsid w:val="5FFE63DD"/>
    <w:rsid w:val="60752978"/>
    <w:rsid w:val="61020404"/>
    <w:rsid w:val="610A2B60"/>
    <w:rsid w:val="61635F72"/>
    <w:rsid w:val="618606C5"/>
    <w:rsid w:val="61930DA7"/>
    <w:rsid w:val="61C732C5"/>
    <w:rsid w:val="61CB0541"/>
    <w:rsid w:val="61F53810"/>
    <w:rsid w:val="62065A1D"/>
    <w:rsid w:val="6224402D"/>
    <w:rsid w:val="63442359"/>
    <w:rsid w:val="6384067A"/>
    <w:rsid w:val="638D125E"/>
    <w:rsid w:val="6396333E"/>
    <w:rsid w:val="63D87F09"/>
    <w:rsid w:val="63E114D3"/>
    <w:rsid w:val="64495219"/>
    <w:rsid w:val="64A31301"/>
    <w:rsid w:val="64CD0D44"/>
    <w:rsid w:val="651D5558"/>
    <w:rsid w:val="65735178"/>
    <w:rsid w:val="66052B24"/>
    <w:rsid w:val="662B31CD"/>
    <w:rsid w:val="662F5543"/>
    <w:rsid w:val="66434B4A"/>
    <w:rsid w:val="66BC67C3"/>
    <w:rsid w:val="672F7562"/>
    <w:rsid w:val="676204CA"/>
    <w:rsid w:val="67876CB8"/>
    <w:rsid w:val="69AB1384"/>
    <w:rsid w:val="6A026ACA"/>
    <w:rsid w:val="6A576E16"/>
    <w:rsid w:val="6A845731"/>
    <w:rsid w:val="6AD46D46"/>
    <w:rsid w:val="6B07083C"/>
    <w:rsid w:val="6B623CC4"/>
    <w:rsid w:val="6B6C65E0"/>
    <w:rsid w:val="6BBA3B00"/>
    <w:rsid w:val="6BC009EB"/>
    <w:rsid w:val="6C2B67AC"/>
    <w:rsid w:val="6CB31465"/>
    <w:rsid w:val="6CE64481"/>
    <w:rsid w:val="6D233542"/>
    <w:rsid w:val="6D714693"/>
    <w:rsid w:val="6DD30EA9"/>
    <w:rsid w:val="6DD8201C"/>
    <w:rsid w:val="6DE07909"/>
    <w:rsid w:val="6E492F1A"/>
    <w:rsid w:val="6E58438A"/>
    <w:rsid w:val="6E7066F8"/>
    <w:rsid w:val="6E9543B1"/>
    <w:rsid w:val="6E9D5508"/>
    <w:rsid w:val="6EA2262A"/>
    <w:rsid w:val="6EB5235D"/>
    <w:rsid w:val="6EFA06B8"/>
    <w:rsid w:val="6EFB3EE0"/>
    <w:rsid w:val="6F245A4B"/>
    <w:rsid w:val="6F871359"/>
    <w:rsid w:val="7077120D"/>
    <w:rsid w:val="70F57389"/>
    <w:rsid w:val="711B7F18"/>
    <w:rsid w:val="713954C7"/>
    <w:rsid w:val="71EB22B3"/>
    <w:rsid w:val="72010FA6"/>
    <w:rsid w:val="723F4D5F"/>
    <w:rsid w:val="726631D8"/>
    <w:rsid w:val="733F48EB"/>
    <w:rsid w:val="73702CF6"/>
    <w:rsid w:val="74212849"/>
    <w:rsid w:val="744C1D4E"/>
    <w:rsid w:val="7480340D"/>
    <w:rsid w:val="748A4F72"/>
    <w:rsid w:val="74961819"/>
    <w:rsid w:val="74BB61F3"/>
    <w:rsid w:val="750202C6"/>
    <w:rsid w:val="752E4C17"/>
    <w:rsid w:val="75664078"/>
    <w:rsid w:val="757F68C2"/>
    <w:rsid w:val="761262E7"/>
    <w:rsid w:val="761E4132"/>
    <w:rsid w:val="770245AD"/>
    <w:rsid w:val="77721097"/>
    <w:rsid w:val="78061A79"/>
    <w:rsid w:val="78072707"/>
    <w:rsid w:val="782A7918"/>
    <w:rsid w:val="78915BE9"/>
    <w:rsid w:val="78AD22F7"/>
    <w:rsid w:val="78C31B1A"/>
    <w:rsid w:val="79181486"/>
    <w:rsid w:val="79674B9C"/>
    <w:rsid w:val="799C2A97"/>
    <w:rsid w:val="7A184717"/>
    <w:rsid w:val="7AFE508C"/>
    <w:rsid w:val="7B2561EC"/>
    <w:rsid w:val="7BC003CA"/>
    <w:rsid w:val="7BF87D2D"/>
    <w:rsid w:val="7CB93960"/>
    <w:rsid w:val="7CBF4BB4"/>
    <w:rsid w:val="7CD5227A"/>
    <w:rsid w:val="7CE16A13"/>
    <w:rsid w:val="7D1C7A4B"/>
    <w:rsid w:val="7DCC321F"/>
    <w:rsid w:val="7E53749D"/>
    <w:rsid w:val="7E5D346D"/>
    <w:rsid w:val="7ECC4CE0"/>
    <w:rsid w:val="7ECE71D0"/>
    <w:rsid w:val="7EDC7492"/>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10225</Words>
  <Characters>10776</Characters>
  <Lines>7</Lines>
  <Paragraphs>2</Paragraphs>
  <TotalTime>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