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default"/>
          <w:color w:val="auto"/>
          <w:highlight w:val="none"/>
          <w:lang w:val="en-US" w:eastAsia="zh-CN"/>
        </w:rPr>
      </w:pPr>
      <w:r>
        <w:rPr>
          <w:rFonts w:hint="eastAsia"/>
          <w:color w:val="auto"/>
          <w:highlight w:val="none"/>
          <w:lang w:val="en-US" w:eastAsia="zh-CN"/>
        </w:rPr>
        <w:t>巴音郭楞乡是行政工作部门，为正科级。单位主要负责（1）执行本级人民代表大会的决议和上级国家行政机关的决定和命令，发布决定和命令；（2）执行本行政区域内的经济和社会发展计划、预算，管理本行政区域内的经济、教育、科学、文化、卫生、体育事业、财政、民政、司法行政、计划生育等行政工作；（3）保护社会主义的全民所有的财产和劳动群众集体所有的财产，保护公民私人所有的合法财产，维护社会秩序，保障公民的人身权利、民主权利和其他权利；（4）保护各种经济组织的合法权益；（5）保障少数民族的权利和尊重少数民族的风俗习惯；（6）保障宪法和法律赋予妇女的男女平等、同工同酬和婚姻自由等各项权利；（7）办理上级人民政府交办的其他事项。</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巴音郭楞乡人民政府机构设置：无下属预算单位，下设2个科室：和静县巴音郭楞乡党政办、和静县巴音郭楞乡计划生育办公室；下设5个中心、所，分别是：和静县巴音郭楞乡财政所、和静县巴音郭楞乡民政社会保障服务中心、和静县巴音郭楞乡农牧业发展服务中心、和静县巴音郭楞乡文体广电服务中心、和静县巴音郭楞乡公共事业管理中心。</w:t>
      </w:r>
    </w:p>
    <w:p>
      <w:pPr>
        <w:bidi w:val="0"/>
        <w:rPr>
          <w:rFonts w:hint="eastAsia"/>
          <w:color w:val="auto"/>
          <w:highlight w:val="none"/>
          <w:lang w:val="en-US" w:eastAsia="zh-CN"/>
        </w:rPr>
        <w:sectPr>
          <w:pgSz w:w="11906" w:h="16838"/>
          <w:pgMar w:top="1440" w:right="1800" w:bottom="1440" w:left="1800" w:header="851" w:footer="992" w:gutter="0"/>
          <w:cols w:space="425" w:num="1"/>
          <w:docGrid w:type="lines" w:linePitch="312" w:charSpace="0"/>
        </w:sectPr>
      </w:pPr>
      <w:r>
        <w:rPr>
          <w:rFonts w:hint="eastAsia"/>
          <w:color w:val="auto"/>
          <w:highlight w:val="none"/>
          <w:lang w:val="en-US" w:eastAsia="zh-CN"/>
        </w:rPr>
        <w:t>和静县巴音郭楞乡人民政府单位编制数36，实有人数38人，其中：在职26人，增加0人；退休12人，增加0人；离休0人，增加0人。</w:t>
      </w:r>
    </w:p>
    <w:p>
      <w:pPr>
        <w:bidi w:val="0"/>
        <w:ind w:left="0" w:leftChars="0" w:firstLine="0" w:firstLineChars="0"/>
        <w:rPr>
          <w:rFonts w:hint="eastAsia"/>
          <w:color w:val="auto"/>
          <w:highlight w:val="none"/>
          <w:lang w:val="en-US" w:eastAsia="zh-CN"/>
        </w:rPr>
      </w:pPr>
    </w:p>
    <w:p>
      <w:pPr>
        <w:pStyle w:val="5"/>
        <w:bidi w:val="0"/>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default"/>
          <w:color w:val="auto"/>
          <w:highlight w:val="none"/>
          <w:lang w:val="en-US" w:eastAsia="zh-CN"/>
        </w:rPr>
      </w:pPr>
      <w:r>
        <w:rPr>
          <w:rFonts w:hint="eastAsia"/>
          <w:color w:val="auto"/>
          <w:highlight w:val="none"/>
          <w:lang w:val="en-US" w:eastAsia="zh-CN"/>
        </w:rPr>
        <w:t>一</w:t>
      </w:r>
      <w:r>
        <w:rPr>
          <w:rFonts w:hint="default"/>
          <w:color w:val="auto"/>
          <w:highlight w:val="none"/>
          <w:lang w:val="en-US" w:eastAsia="zh-CN"/>
        </w:rPr>
        <w:t>是扎实推进项目建设，突出实效加快乡村振兴取得新进展。截至目前，已实施项目2个，涉及资金327万元，该项目县乡村三级验收已完成；充实完善了2024年县级巩固拓展脱贫攻坚成果项目库，共谋划项目7个，涉及资金1199万元。</w:t>
      </w:r>
      <w:r>
        <w:rPr>
          <w:rFonts w:hint="eastAsia"/>
          <w:color w:val="auto"/>
          <w:highlight w:val="none"/>
          <w:lang w:val="en-US" w:eastAsia="zh-CN"/>
        </w:rPr>
        <w:t>二</w:t>
      </w:r>
      <w:r>
        <w:rPr>
          <w:rFonts w:hint="default"/>
          <w:color w:val="auto"/>
          <w:highlight w:val="none"/>
          <w:lang w:val="en-US" w:eastAsia="zh-CN"/>
        </w:rPr>
        <w:t>是继续加大对乡村基础设施建设的扶持力度。因地制宜推进农村改厕、生活污水治理，强化我乡生活垃圾处理、村容村貌整治提升。力争年内完成乡垃圾集中转运站的建设，用3年时间完成全乡5个村的人居环境整治提升。</w:t>
      </w:r>
      <w:r>
        <w:rPr>
          <w:rFonts w:hint="eastAsia"/>
          <w:color w:val="auto"/>
          <w:highlight w:val="none"/>
          <w:lang w:val="en-US" w:eastAsia="zh-CN"/>
        </w:rPr>
        <w:t>三</w:t>
      </w:r>
      <w:r>
        <w:rPr>
          <w:rFonts w:hint="default"/>
          <w:color w:val="auto"/>
          <w:highlight w:val="none"/>
          <w:lang w:val="en-US" w:eastAsia="zh-CN"/>
        </w:rPr>
        <w:t>是切实抓好备草备料、牲畜品种改良、动物防疫、草场保护等畜牧业发展的各个环节工作。乡村级储备应急饲草料117吨饲草料，储备应急饲草料牧民308户242.4吨，人工种草面积达到3000余亩产草1000吨，有效提升了畜牧业防灾、抗灾能力。</w:t>
      </w:r>
      <w:r>
        <w:rPr>
          <w:rFonts w:hint="eastAsia"/>
          <w:color w:val="auto"/>
          <w:highlight w:val="none"/>
          <w:lang w:val="en-US" w:eastAsia="zh-CN"/>
        </w:rPr>
        <w:t>四</w:t>
      </w:r>
      <w:r>
        <w:rPr>
          <w:rFonts w:hint="default"/>
          <w:color w:val="auto"/>
          <w:highlight w:val="none"/>
          <w:lang w:val="en-US" w:eastAsia="zh-CN"/>
        </w:rPr>
        <w:t>是探索牧家乐推广和发展模式。现有具备接待功能的“牧家乐”已达42家，为游客提供骑乘服务、销售农副土特产品，今年累计接待游客约4万人，带动牧民增收约95万元。</w:t>
      </w:r>
    </w:p>
    <w:p>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color w:val="auto"/>
          <w:highlight w:val="none"/>
          <w:lang w:val="en-US" w:eastAsia="zh-CN"/>
        </w:rPr>
      </w:pPr>
      <w:r>
        <w:rPr>
          <w:rFonts w:hint="eastAsia"/>
          <w:color w:val="auto"/>
          <w:highlight w:val="none"/>
          <w:lang w:val="en-US" w:eastAsia="zh-CN"/>
        </w:rPr>
        <w:t>（1）年初预算执行情况</w:t>
      </w:r>
    </w:p>
    <w:p>
      <w:pPr>
        <w:bidi w:val="0"/>
        <w:rPr>
          <w:rFonts w:hint="eastAsia"/>
          <w:color w:val="auto"/>
          <w:highlight w:val="none"/>
          <w:lang w:val="en-US" w:eastAsia="zh-CN"/>
        </w:rPr>
      </w:pPr>
      <w:r>
        <w:rPr>
          <w:rFonts w:hint="eastAsia"/>
          <w:color w:val="auto"/>
          <w:highlight w:val="none"/>
          <w:lang w:val="en-US" w:eastAsia="zh-CN"/>
        </w:rPr>
        <w:t>我单位年初预算数为1367.02万元，实际预算执行数1292.19万元，预算执行率为74.83%。</w:t>
      </w:r>
    </w:p>
    <w:p>
      <w:pPr>
        <w:bidi w:val="0"/>
        <w:rPr>
          <w:rFonts w:hint="eastAsia"/>
          <w:color w:val="auto"/>
          <w:highlight w:val="none"/>
          <w:lang w:val="en-US" w:eastAsia="zh-CN"/>
        </w:rPr>
      </w:pPr>
      <w:r>
        <w:rPr>
          <w:rFonts w:hint="eastAsia"/>
          <w:color w:val="auto"/>
          <w:highlight w:val="none"/>
          <w:lang w:val="en-US" w:eastAsia="zh-CN"/>
        </w:rPr>
        <w:t>（2）全年预算执行情况</w:t>
      </w:r>
    </w:p>
    <w:p>
      <w:pPr>
        <w:bidi w:val="0"/>
        <w:rPr>
          <w:rFonts w:hint="eastAsia"/>
          <w:color w:val="auto"/>
          <w:highlight w:val="none"/>
          <w:lang w:val="en-US" w:eastAsia="zh-CN"/>
        </w:rPr>
      </w:pPr>
      <w:r>
        <w:rPr>
          <w:rFonts w:hint="eastAsia"/>
          <w:color w:val="auto"/>
          <w:highlight w:val="none"/>
          <w:lang w:val="en-US" w:eastAsia="zh-CN"/>
        </w:rPr>
        <w:t>全年预算数为1310.72万元，全年实际支出资金1310.72万元，预算执行率为100%。</w:t>
      </w:r>
    </w:p>
    <w:p>
      <w:pPr>
        <w:pStyle w:val="6"/>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color w:val="auto"/>
          <w:highlight w:val="none"/>
          <w:lang w:val="en-US" w:eastAsia="zh-CN"/>
        </w:rPr>
        <w:t>我单位年初批复预算数1367.02万元，年中调整数56.3万元，调整后全年预算数1310.72万元，预算调整率4%。（预算调整率=56.3/1367.02*100%=4%。）</w:t>
      </w:r>
    </w:p>
    <w:p>
      <w:pPr>
        <w:pStyle w:val="6"/>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1310.72</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872.66</w:t>
      </w:r>
      <w:r>
        <w:rPr>
          <w:rFonts w:hint="default"/>
          <w:color w:val="auto"/>
          <w:highlight w:val="none"/>
          <w:lang w:val="en-US" w:eastAsia="zh-CN"/>
        </w:rPr>
        <w:t>万元，资金的使用方向为我单位机关人员经费支出</w:t>
      </w:r>
      <w:r>
        <w:rPr>
          <w:rFonts w:hint="eastAsia"/>
          <w:color w:val="auto"/>
          <w:highlight w:val="none"/>
          <w:lang w:val="en-US" w:eastAsia="zh-CN"/>
        </w:rPr>
        <w:t>814.44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58.22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438.06</w:t>
      </w:r>
      <w:r>
        <w:rPr>
          <w:rFonts w:hint="default"/>
          <w:color w:val="auto"/>
          <w:highlight w:val="none"/>
          <w:lang w:val="en-US" w:eastAsia="zh-CN"/>
        </w:rPr>
        <w:t>万元，主要用于保障和静县巴音郭楞乡2022年“五小”建设项目</w:t>
      </w:r>
      <w:r>
        <w:rPr>
          <w:rFonts w:hint="eastAsia"/>
          <w:color w:val="auto"/>
          <w:highlight w:val="none"/>
          <w:lang w:val="en-US" w:eastAsia="zh-CN"/>
        </w:rPr>
        <w:t>、巴财行[2022]22号基层组织建设（巴音郭楞乡）</w:t>
      </w:r>
      <w:r>
        <w:rPr>
          <w:rFonts w:hint="default"/>
          <w:color w:val="auto"/>
          <w:highlight w:val="none"/>
          <w:lang w:val="en-US" w:eastAsia="zh-CN"/>
        </w:rPr>
        <w:t>项目、2023年巴音郭楞乡土坯房拆除补助资金等项目支出。</w:t>
      </w:r>
    </w:p>
    <w:p>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872.66万元，全年实际支出872.66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814.44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58.22万元，主要包括：办公费、印刷费、水费、电费、邮电费、取暖费、物业管理费、差旅费、培训费、公务接待费、工会经费、福利费、公务用车运行维护费、其他交通费用、其他商品和服务支出。</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val="en-US" w:eastAsia="zh-CN"/>
        </w:rPr>
      </w:pPr>
      <w:r>
        <w:rPr>
          <w:rFonts w:hint="eastAsia"/>
          <w:color w:val="auto"/>
          <w:highlight w:val="none"/>
          <w:lang w:val="en-US" w:eastAsia="zh-CN"/>
        </w:rPr>
        <w:t>我单位2023年度共安排项目支出预算438.06万元（含上年结余0万元），其中：上级专项资金396.09万元，本级财政资金41.97万元。</w:t>
      </w:r>
    </w:p>
    <w:p>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438.06万元，其中巴财行[2022]22号基层组织建设项目（巴音郭楞乡）、和静县巴音郭楞乡2022年“五小”建设项目、2023年巴音郭楞乡土坯房拆除补助资金、2023年和静县巴音郭楞乡奎克乌苏村特色村寨门面房建设、草料库建设项目、村社区运转经费及为民办实事经费项目共438.06万元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（2）项目实施组织管理情况。我单位项目实施和资金使用分配坚持集体决策。对草料库建设项目制订工作方案，明确时间节点，开展项目规划设计、部署工作，认真落实项目任务</w:t>
      </w:r>
      <w:r>
        <w:rPr>
          <w:rFonts w:hint="default"/>
          <w:color w:val="auto"/>
          <w:highlight w:val="none"/>
          <w:lang w:val="en-US" w:eastAsia="zh-CN"/>
        </w:rPr>
        <w:t>乡村级储备应急饲草料117吨饲草料，储备应急饲草料牧民308户242.4吨，人工种草面积达到3000余亩产草1000吨，有效提升了畜牧业防灾、抗灾能力。</w:t>
      </w:r>
      <w:r>
        <w:rPr>
          <w:rFonts w:hint="eastAsia"/>
          <w:color w:val="auto"/>
          <w:highlight w:val="none"/>
          <w:lang w:val="en-US" w:eastAsia="zh-CN"/>
        </w:rPr>
        <w:t>工作中突出重点，高标准规划、精细设计。特色村寨门面房建设项目</w:t>
      </w:r>
      <w:r>
        <w:rPr>
          <w:rFonts w:hint="default"/>
          <w:color w:val="auto"/>
          <w:highlight w:val="none"/>
          <w:lang w:val="en-US" w:eastAsia="zh-CN"/>
        </w:rPr>
        <w:t>销售农副土特产品，今年累计接待游客约4万人，带动牧民增收</w:t>
      </w:r>
      <w:r>
        <w:rPr>
          <w:rFonts w:hint="eastAsia"/>
          <w:color w:val="auto"/>
          <w:highlight w:val="none"/>
          <w:lang w:val="en-US" w:eastAsia="zh-CN"/>
        </w:rPr>
        <w:t>。</w:t>
      </w:r>
    </w:p>
    <w:p>
      <w:pPr>
        <w:pStyle w:val="6"/>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val="en-US" w:eastAsia="zh-CN"/>
        </w:rPr>
      </w:pPr>
      <w:r>
        <w:rPr>
          <w:rFonts w:hint="eastAsia"/>
          <w:color w:val="auto"/>
          <w:highlight w:val="none"/>
          <w:lang w:val="en-US" w:eastAsia="zh-CN"/>
        </w:rPr>
        <w:t>我单位2023年度安排项目支出资金438.06万元，实际支出438.06万元，其中：上级专项资金支出396.09万元，本级财政安排项目资金支出41.97万元，项目预算资金执行率100%，结转0万元，结余0万元。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包括其他农业农村支出</w:t>
      </w:r>
      <w:r>
        <w:rPr>
          <w:rFonts w:hint="eastAsia"/>
          <w:color w:val="auto"/>
          <w:highlight w:val="none"/>
          <w:lang w:val="en-US" w:eastAsia="zh-CN"/>
        </w:rPr>
        <w:t>2.72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其他组织事务支出</w:t>
      </w:r>
      <w:r>
        <w:rPr>
          <w:rFonts w:hint="eastAsia"/>
          <w:color w:val="auto"/>
          <w:highlight w:val="none"/>
          <w:lang w:val="en-US" w:eastAsia="zh-CN"/>
        </w:rPr>
        <w:t>75.17</w:t>
      </w:r>
      <w:r>
        <w:rPr>
          <w:rFonts w:hint="default"/>
          <w:color w:val="auto"/>
          <w:highlight w:val="none"/>
          <w:lang w:val="en-US" w:eastAsia="zh-CN"/>
        </w:rPr>
        <w:t>万元，生产发展支出</w:t>
      </w:r>
      <w:r>
        <w:rPr>
          <w:rFonts w:hint="eastAsia"/>
          <w:color w:val="auto"/>
          <w:highlight w:val="none"/>
          <w:lang w:val="en-US" w:eastAsia="zh-CN"/>
        </w:rPr>
        <w:t>320.91</w:t>
      </w:r>
      <w:r>
        <w:rPr>
          <w:rFonts w:hint="default"/>
          <w:color w:val="auto"/>
          <w:highlight w:val="none"/>
          <w:lang w:val="en-US" w:eastAsia="zh-CN"/>
        </w:rPr>
        <w:t>万元，对村民委员会和村党支部的补助支出</w:t>
      </w:r>
      <w:r>
        <w:rPr>
          <w:rFonts w:hint="eastAsia"/>
          <w:color w:val="auto"/>
          <w:highlight w:val="none"/>
          <w:lang w:val="en-US" w:eastAsia="zh-CN"/>
        </w:rPr>
        <w:t>39.25</w:t>
      </w:r>
      <w:r>
        <w:rPr>
          <w:rFonts w:hint="default"/>
          <w:color w:val="auto"/>
          <w:highlight w:val="none"/>
          <w:lang w:val="en-US" w:eastAsia="zh-CN"/>
        </w:rPr>
        <w:t>万元</w:t>
      </w:r>
      <w:r>
        <w:rPr>
          <w:rFonts w:hint="eastAsia"/>
          <w:color w:val="auto"/>
          <w:highlight w:val="none"/>
          <w:lang w:val="en-US" w:eastAsia="zh-CN"/>
        </w:rPr>
        <w:t>。</w:t>
      </w:r>
    </w:p>
    <w:bookmarkEnd w:id="2"/>
    <w:p>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项目支出预算执行率指标年初设定目标是100%，年中绩效运行监控时完成值57.54%，年终实际完成值是100%，指标完成率是100%，达到项目资金支出专人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pPr>
        <w:pStyle w:val="5"/>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ind w:firstLine="56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“三公经费”控制率指标年初设定目标是100%，年中绩效运行监控时完成值100%，年终实际完成值是100%，指标完成率是100%，达到保障公车正常运转的预期目标</w:t>
      </w:r>
      <w:r>
        <w:rPr>
          <w:rFonts w:hint="eastAsia"/>
          <w:color w:val="auto"/>
          <w:highlight w:val="none"/>
        </w:rPr>
        <w:t>。偏差原因：无偏差。</w:t>
      </w:r>
    </w:p>
    <w:p>
      <w:pPr>
        <w:pStyle w:val="5"/>
        <w:numPr>
          <w:ilvl w:val="0"/>
          <w:numId w:val="0"/>
        </w:numPr>
        <w:bidi w:val="0"/>
        <w:ind w:leftChars="200"/>
        <w:rPr>
          <w:rFonts w:hint="eastAsia" w:ascii="仿宋_GB2312" w:hAnsi="仿宋_GB2312" w:eastAsia="仿宋" w:cs="仿宋_GB2312"/>
          <w:b w:val="0"/>
          <w:color w:val="auto"/>
          <w:kern w:val="2"/>
          <w:sz w:val="28"/>
          <w:szCs w:val="24"/>
          <w:highlight w:val="none"/>
          <w:lang w:val="en-US" w:eastAsia="zh-CN" w:bidi="ar-SA"/>
        </w:rPr>
      </w:pPr>
      <w:r>
        <w:rPr>
          <w:rFonts w:hint="eastAsia"/>
          <w:color w:val="auto"/>
          <w:highlight w:val="none"/>
          <w:lang w:val="en-US" w:eastAsia="zh-CN"/>
        </w:rPr>
        <w:t>（三）项目实施及时率控制率指标完成情况分析</w:t>
      </w:r>
    </w:p>
    <w:p>
      <w:pPr>
        <w:ind w:firstLine="560"/>
        <w:rPr>
          <w:rFonts w:hint="eastAsia" w:ascii="仿宋_GB2312" w:hAnsi="仿宋_GB2312" w:eastAsia="仿宋" w:cs="仿宋_GB2312"/>
          <w:b w:val="0"/>
          <w:color w:val="auto"/>
          <w:kern w:val="2"/>
          <w:sz w:val="28"/>
          <w:szCs w:val="24"/>
          <w:highlight w:val="none"/>
          <w:lang w:val="en-US" w:eastAsia="zh-CN" w:bidi="ar-SA"/>
        </w:rPr>
      </w:pPr>
      <w:r>
        <w:rPr>
          <w:rFonts w:hint="eastAsia"/>
          <w:color w:val="auto"/>
          <w:highlight w:val="none"/>
          <w:lang w:val="en-US" w:eastAsia="zh-CN"/>
        </w:rPr>
        <w:t>项目实施及时率控制率指标年初设定目标是&gt;=95%，年中绩效运行监控时完成值100%，年终实际完成值是100%，指标完成率是100%，达到项目及时实施，能按期完成的预期目标</w:t>
      </w:r>
      <w:r>
        <w:rPr>
          <w:rFonts w:hint="eastAsia"/>
          <w:color w:val="auto"/>
          <w:highlight w:val="none"/>
        </w:rPr>
        <w:t>。偏差原因：无偏差。</w:t>
      </w:r>
    </w:p>
    <w:p>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（四）保障职工数量控制率指标完成情况分析</w:t>
      </w:r>
    </w:p>
    <w:p>
      <w:pPr>
        <w:ind w:firstLine="560"/>
        <w:rPr>
          <w:rFonts w:hint="eastAsia"/>
          <w:color w:val="auto"/>
          <w:highlight w:val="none"/>
          <w:lang w:val="en-US" w:eastAsia="zh-CN"/>
        </w:rPr>
      </w:pPr>
      <w:r>
        <w:rPr>
          <w:rFonts w:hint="eastAsia"/>
          <w:bCs/>
          <w:color w:val="auto"/>
          <w:highlight w:val="none"/>
          <w:lang w:val="en-US" w:eastAsia="zh-CN"/>
        </w:rPr>
        <w:t>保障职工数量控制率指标年初设定目标是&lt;</w:t>
      </w:r>
      <w:r>
        <w:rPr>
          <w:rFonts w:hint="eastAsia"/>
          <w:color w:val="auto"/>
          <w:highlight w:val="none"/>
          <w:lang w:val="en-US" w:eastAsia="zh-CN"/>
        </w:rPr>
        <w:t>=</w:t>
      </w:r>
      <w:r>
        <w:rPr>
          <w:rFonts w:hint="eastAsia"/>
          <w:bCs/>
          <w:color w:val="auto"/>
          <w:highlight w:val="none"/>
          <w:lang w:val="en-US" w:eastAsia="zh-CN"/>
        </w:rPr>
        <w:t>134人，年中绩效运行监控时完成值134人，年终实际完成值是134人，指标完成率是100%，达到了单位在职职工工资的按时足额发放，单位的正常运转，广大干部职工工作积极性提高的预期目标</w:t>
      </w:r>
      <w:r>
        <w:rPr>
          <w:rFonts w:hint="eastAsia"/>
          <w:bCs/>
          <w:color w:val="auto"/>
          <w:highlight w:val="none"/>
        </w:rPr>
        <w:t>。偏差原因：无偏差。</w:t>
      </w:r>
    </w:p>
    <w:p>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（五）为民办事实事数量控制率指标完成情况分析</w:t>
      </w:r>
    </w:p>
    <w:p>
      <w:pPr>
        <w:ind w:firstLine="560"/>
        <w:rPr>
          <w:rFonts w:hint="eastAsia" w:ascii="Arial" w:hAnsi="Arial" w:eastAsia="楷体_GB2312" w:cs="仿宋_GB2312"/>
          <w:b/>
          <w:color w:val="auto"/>
          <w:kern w:val="2"/>
          <w:sz w:val="32"/>
          <w:szCs w:val="24"/>
          <w:highlight w:val="none"/>
          <w:lang w:val="en-US" w:eastAsia="zh-CN" w:bidi="ar-SA"/>
        </w:rPr>
      </w:pPr>
      <w:r>
        <w:rPr>
          <w:rFonts w:hint="eastAsia"/>
          <w:color w:val="auto"/>
          <w:highlight w:val="none"/>
          <w:lang w:val="en-US" w:eastAsia="zh-CN"/>
        </w:rPr>
        <w:t>为民办事实事数量控制率指标年初设定目标是&gt;=15件，年中绩效运行监控时完成值8件，年终实际完成值是15件，指标完成率是100%，</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（六）农牧民夜校受益人数控制率指标完成情况分析</w:t>
      </w:r>
    </w:p>
    <w:p>
      <w:pPr>
        <w:ind w:firstLine="560"/>
        <w:rPr>
          <w:bCs/>
          <w:color w:val="auto"/>
          <w:highlight w:val="none"/>
        </w:rPr>
      </w:pPr>
      <w:r>
        <w:rPr>
          <w:rFonts w:hint="eastAsia"/>
          <w:b w:val="0"/>
          <w:bCs w:val="0"/>
          <w:color w:val="auto"/>
          <w:highlight w:val="none"/>
          <w:lang w:val="en-US" w:eastAsia="zh-CN"/>
        </w:rPr>
        <w:t>牧民夜校受益人数控制率指标年初设定目标是</w:t>
      </w:r>
      <w:r>
        <w:rPr>
          <w:rFonts w:hint="eastAsia"/>
          <w:color w:val="auto"/>
          <w:highlight w:val="none"/>
          <w:lang w:val="en-US" w:eastAsia="zh-CN"/>
        </w:rPr>
        <w:t>&gt;=</w:t>
      </w:r>
      <w:r>
        <w:rPr>
          <w:rFonts w:hint="eastAsia"/>
          <w:b w:val="0"/>
          <w:bCs w:val="0"/>
          <w:color w:val="auto"/>
          <w:highlight w:val="none"/>
          <w:lang w:val="en-US" w:eastAsia="zh-CN"/>
        </w:rPr>
        <w:t>350人，年中绩效运行监控时完成值220人，年终实际完成值是350人，指标完成率是100%，</w:t>
      </w:r>
      <w:r>
        <w:rPr>
          <w:rFonts w:hint="eastAsia"/>
          <w:bCs/>
          <w:color w:val="auto"/>
          <w:highlight w:val="none"/>
        </w:rPr>
        <w:t>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pPr>
        <w:numPr>
          <w:ilvl w:val="0"/>
          <w:numId w:val="0"/>
        </w:numPr>
        <w:bidi w:val="0"/>
        <w:ind w:firstLine="560" w:firstLineChars="200"/>
        <w:rPr>
          <w:rFonts w:hint="eastAsia"/>
          <w:color w:val="auto"/>
          <w:highlight w:val="none"/>
          <w:lang w:val="en-US" w:eastAsia="zh-CN"/>
        </w:rPr>
      </w:pPr>
    </w:p>
    <w:p>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（七）干部职工满意度控制率指标完成情况分析</w:t>
      </w:r>
    </w:p>
    <w:p>
      <w:pPr>
        <w:ind w:firstLine="560"/>
        <w:rPr>
          <w:rFonts w:hint="eastAsia"/>
          <w:color w:val="auto"/>
          <w:highlight w:val="none"/>
          <w:lang w:val="en-US" w:eastAsia="zh-CN"/>
        </w:rPr>
      </w:pPr>
      <w:r>
        <w:rPr>
          <w:rFonts w:hint="eastAsia"/>
          <w:color w:val="auto"/>
          <w:highlight w:val="none"/>
          <w:lang w:val="en-US" w:eastAsia="zh-CN"/>
        </w:rPr>
        <w:t>干部职工满意度控制率指标年初设定目标是&gt;=95%，年中绩效运行监控时完成值未达监控节点，年终实际完成值是100%，指标完成率是100%，达到提高干部职工满意度，调动干部职工积极性预期目标</w:t>
      </w:r>
      <w:r>
        <w:rPr>
          <w:rFonts w:hint="eastAsia"/>
          <w:bCs/>
          <w:color w:val="auto"/>
          <w:highlight w:val="none"/>
        </w:rPr>
        <w:t>。偏差原因：无偏差。</w:t>
      </w:r>
    </w:p>
    <w:p>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pPr>
        <w:bidi w:val="0"/>
        <w:rPr>
          <w:rFonts w:hint="default"/>
          <w:color w:val="auto"/>
          <w:highlight w:val="none"/>
          <w:lang w:val="en-US" w:eastAsia="zh-CN"/>
        </w:rPr>
      </w:pPr>
      <w:bookmarkStart w:id="4" w:name="_Toc22800_WPSOffice_Level1"/>
      <w:r>
        <w:rPr>
          <w:rFonts w:hint="default"/>
          <w:color w:val="auto"/>
          <w:highlight w:val="none"/>
          <w:lang w:val="en-US" w:eastAsia="zh-CN"/>
        </w:rPr>
        <w:t>扎实推进项目建设，突出实效加快乡村振兴取得新进展。截至目前，已实施项目2个，涉及资金327万元，该项目县乡村三级验收已完成；充实完善了2024年县级巩固拓展脱贫攻坚成果项目库，共谋划项目7个，涉及资金1199万元。及时为134人（含26名在职，12名退休人员、4名遗属，1名离任村干部、3名三老人员、1名三老人员中担任过党支部书记人员、2名宗教人士、7名联防队员、44名两委、2名村委会主任助理、2名扶贫专干、10名小组长、20名小组干部）支付工资、社保、医保、公积金等人员经费，保障3辆工作用车正常运行，提升村、社区党组织服务群众能力，减轻农牧民负担。通过村、社区党组织惠民政策的实施、村、社区党建服务品牌建设、村、社区运转经费和实施等为民办实事项目的开展，确保为民办实事件数达到15件，为民办实事工作覆盖率达到95%以上，提升村、社区党组织服务群众能力。加强社会管理综合治理能力，维护社会稳定，营造良好社会秩序。通过我单位全年整体工作，确保专项资金专款专用，监督管理使用好各项支出，发挥效益目标。</w:t>
      </w:r>
    </w:p>
    <w:p>
      <w:pPr>
        <w:pStyle w:val="4"/>
        <w:bidi w:val="0"/>
        <w:rPr>
          <w:rFonts w:hint="default" w:ascii="宋体" w:hAnsi="宋体"/>
          <w:color w:val="auto"/>
          <w:highlight w:val="none"/>
          <w:lang w:val="en-US" w:eastAsia="zh-CN"/>
        </w:rPr>
      </w:pPr>
      <w:r>
        <w:rPr>
          <w:rFonts w:hint="eastAsia" w:ascii="宋体" w:hAnsi="宋体"/>
          <w:color w:val="auto"/>
          <w:highlight w:val="none"/>
          <w:lang w:val="en-US" w:eastAsia="zh-CN"/>
        </w:rPr>
        <w:t>五、存在的主要问题</w:t>
      </w:r>
      <w:bookmarkEnd w:id="4"/>
      <w:r>
        <w:rPr>
          <w:rFonts w:hint="eastAsia" w:ascii="宋体" w:hAnsi="宋体"/>
          <w:color w:val="auto"/>
          <w:highlight w:val="none"/>
          <w:lang w:val="en-US" w:eastAsia="zh-CN"/>
        </w:rPr>
        <w:t>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项目管理不善：由于缺乏有效的项目管理机制和监督机制，村民服务中心建设项目在实施过程中存在进度延误等现象；</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2、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3、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4"/>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ind w:firstLine="560"/>
        <w:rPr>
          <w:rFonts w:hint="default"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1、</w:t>
      </w:r>
      <w:r>
        <w:rPr>
          <w:rFonts w:hint="eastAsia" w:ascii="Times New Roman" w:hAnsi="Times New Roman" w:cs="Times New Roman"/>
          <w:color w:val="auto"/>
          <w:highlight w:val="none"/>
          <w:u w:color="000000"/>
          <w:lang w:val="en-US" w:eastAsia="zh-CN"/>
        </w:rPr>
        <w:t>加强项目管理监督。建立健全的项目管理监督机制，确保村民服务中心建设项目的进度和效益，防止进度延误。</w:t>
      </w:r>
    </w:p>
    <w:p>
      <w:pPr>
        <w:bidi w:val="0"/>
        <w:rPr>
          <w:rFonts w:hint="eastAsia"/>
          <w:color w:val="auto"/>
          <w:highlight w:val="none"/>
          <w:lang w:val="en-US" w:eastAsia="zh-CN"/>
        </w:rPr>
      </w:pPr>
      <w:r>
        <w:rPr>
          <w:rFonts w:hint="eastAsia"/>
          <w:color w:val="auto"/>
          <w:highlight w:val="none"/>
          <w:lang w:val="en-US" w:eastAsia="zh-CN"/>
        </w:rPr>
        <w:t>2、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3、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4"/>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51C0B8"/>
    <w:multiLevelType w:val="singleLevel"/>
    <w:tmpl w:val="5351C0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D2D6DBE"/>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174E53"/>
    <w:rsid w:val="417A34F9"/>
    <w:rsid w:val="418810F4"/>
    <w:rsid w:val="41A37673"/>
    <w:rsid w:val="42503F5E"/>
    <w:rsid w:val="42C30950"/>
    <w:rsid w:val="43105750"/>
    <w:rsid w:val="459B4F7E"/>
    <w:rsid w:val="45A65C7F"/>
    <w:rsid w:val="45F13359"/>
    <w:rsid w:val="468C2A4A"/>
    <w:rsid w:val="46AD2493"/>
    <w:rsid w:val="46EC7F14"/>
    <w:rsid w:val="47CA7D9C"/>
    <w:rsid w:val="47DB3D58"/>
    <w:rsid w:val="48194880"/>
    <w:rsid w:val="48AF4C7F"/>
    <w:rsid w:val="4A5B46DD"/>
    <w:rsid w:val="4A6F6A56"/>
    <w:rsid w:val="4A81677A"/>
    <w:rsid w:val="4B2D2DF1"/>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50D5EDB"/>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before="240" w:after="240" w:line="360" w:lineRule="auto"/>
      <w:jc w:val="center"/>
    </w:pPr>
    <w:rPr>
      <w:b/>
      <w:sz w:val="44"/>
    </w:rPr>
  </w:style>
  <w:style w:type="paragraph" w:styleId="7">
    <w:name w:val="Normal Indent"/>
    <w:basedOn w:val="1"/>
    <w:qFormat/>
    <w:uiPriority w:val="0"/>
    <w:pPr>
      <w:ind w:firstLine="420"/>
    </w:pPr>
    <w:rPr>
      <w:sz w:val="21"/>
    </w:rPr>
  </w:style>
  <w:style w:type="paragraph" w:styleId="8">
    <w:name w:val="annotation text"/>
    <w:basedOn w:val="1"/>
    <w:unhideWhenUsed/>
    <w:qFormat/>
    <w:uiPriority w:val="99"/>
    <w:pPr>
      <w:jc w:val="left"/>
    </w:p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4"/>
    <w:basedOn w:val="1"/>
    <w:next w:val="1"/>
    <w:qFormat/>
    <w:uiPriority w:val="0"/>
    <w:pPr>
      <w:ind w:left="1260" w:leftChars="600"/>
    </w:p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10225</Words>
  <Characters>10776</Characters>
  <Lines>7</Lines>
  <Paragraphs>2</Paragraphs>
  <TotalTime>3</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2024-08-10T08:31:58Z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