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both"/>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和静县巴音布鲁克镇卫生院巴音乌鲁分院整体支出绩效自评报告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color w:val="auto"/>
          <w:highlight w:val="none"/>
        </w:rPr>
      </w:pPr>
      <w:r>
        <w:rPr>
          <w:rFonts w:hint="eastAsia"/>
          <w:color w:val="auto"/>
          <w:highlight w:val="none"/>
          <w:lang w:val="en-US" w:eastAsia="zh-CN"/>
        </w:rPr>
        <w:t>1.部门主要职能</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color w:val="auto"/>
          <w:highlight w:val="none"/>
          <w:lang w:val="en-US" w:eastAsia="zh-CN"/>
        </w:rPr>
        <w:t>和静县</w:t>
      </w:r>
      <w:r>
        <w:rPr>
          <w:rFonts w:hint="eastAsia" w:ascii="仿宋_GB2312" w:hAnsi="宋体" w:eastAsia="仿宋_GB2312"/>
          <w:color w:val="auto"/>
          <w:sz w:val="28"/>
          <w:szCs w:val="28"/>
          <w:highlight w:val="none"/>
          <w:lang w:eastAsia="zh-CN"/>
        </w:rPr>
        <w:t>巴音布鲁克镇卫生院</w:t>
      </w:r>
      <w:r>
        <w:rPr>
          <w:rFonts w:hint="eastAsia" w:ascii="仿宋_GB2312" w:hAnsi="宋体" w:eastAsia="仿宋_GB2312"/>
          <w:color w:val="auto"/>
          <w:sz w:val="28"/>
          <w:szCs w:val="28"/>
          <w:highlight w:val="none"/>
          <w:lang w:val="en-US" w:eastAsia="zh-CN"/>
        </w:rPr>
        <w:t>巴音乌鲁分院</w:t>
      </w:r>
      <w:r>
        <w:rPr>
          <w:rFonts w:hint="eastAsia"/>
          <w:color w:val="auto"/>
          <w:highlight w:val="none"/>
          <w:lang w:val="en-US" w:eastAsia="zh-CN"/>
        </w:rPr>
        <w:t>主要职责是：</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基本医疗服务，开展农村常见病、多发病以及诊断明确的慢性非传染性疾病的诊疗。西医门诊实行基本药物制度、药品零差价，处理常见疾病及全民免费体检工作；中医理疗康复区主要开展中医诊断配药、艾灸、推拿、拔罐、刮痧、理疗等康复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基本公共卫生：开展预防保健、0-6岁儿童健康管理、孕产妇健康管理老年人管理、高血压患者健康管理、II型糖尿病健康管理、健康档案管理、家庭医生、严重精神障碍健康管理、居民健康档案的建立、健康教育、传染病及突发公共卫生、中医药健康管理、肺结核患者健康管理、卫生监</w:t>
      </w:r>
      <w:r>
        <w:rPr>
          <w:rFonts w:hint="eastAsia" w:ascii="仿宋_GB2312" w:hAnsi="宋体" w:eastAsia="仿宋_GB2312"/>
          <w:color w:val="auto"/>
          <w:sz w:val="28"/>
          <w:szCs w:val="28"/>
          <w:highlight w:val="none"/>
        </w:rPr>
        <w:t>督协管服</w:t>
      </w:r>
      <w:r>
        <w:rPr>
          <w:rFonts w:hint="eastAsia" w:ascii="仿宋_GB2312" w:hAnsi="仿宋" w:eastAsia="仿宋_GB2312" w:cs="仿宋"/>
          <w:color w:val="auto"/>
          <w:kern w:val="0"/>
          <w:sz w:val="28"/>
          <w:szCs w:val="28"/>
          <w:highlight w:val="none"/>
          <w:lang w:val="en-US" w:eastAsia="zh-CN"/>
        </w:rPr>
        <w:t>务等。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（3）贯彻落实国家基本药物制度，实施基本药物零差率销售。药品实行网上统一采购、统一配送的基本药物采购机制。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（4）协助开展突发公共卫生事件应急调查和组织工作，承担区域内公共卫生信息的收集和报告。</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（5）开展康复治疗、康复训练，提供计划生育技术指导与服务。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（6）对所属行政村卫生室实行一体化管理，承担对村卫生室和乡村医生的业务管理和指导。</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和静县巴音布鲁克镇卫生院巴音乌鲁分院是全额拨款事业单位，无下属预算单位，下设11个科室，分别是：院办，门诊部，药房，收费室，财务室、公共卫生科、防疫科、检验科，住院部，全民体检科，蒙医科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和静县巴音布鲁克镇卫生院巴音乌鲁分院编制数共8人，其中：行政编制0人，事业编制8人，工勤0人。年初预算实有在职人员8人，事业岗人员0人，退休人员2人，遗属人员1人。年末实有在职人数8人，事业岗人员0人，退休人员2人，遗属人员1人。</w:t>
      </w:r>
    </w:p>
    <w:p>
      <w:pPr>
        <w:pStyle w:val="4"/>
        <w:numPr>
          <w:ilvl w:val="0"/>
          <w:numId w:val="1"/>
        </w:numPr>
        <w:bidi w:val="0"/>
        <w:ind w:left="0" w:leftChars="0" w:firstLine="321" w:firstLineChars="100"/>
        <w:outlineLvl w:val="1"/>
        <w:rPr>
          <w:rFonts w:hint="eastAsia"/>
          <w:color w:val="auto"/>
          <w:highlight w:val="none"/>
          <w:lang w:val="en-US" w:eastAsia="zh-CN"/>
        </w:rPr>
      </w:pPr>
      <w:r>
        <w:rPr>
          <w:rFonts w:hint="eastAsia"/>
          <w:color w:val="auto"/>
          <w:highlight w:val="none"/>
          <w:lang w:val="en-US" w:eastAsia="zh-CN"/>
        </w:rPr>
        <w:t xml:space="preserve">部门单位年度重点工作 </w:t>
      </w:r>
    </w:p>
    <w:p>
      <w:pPr>
        <w:pStyle w:val="2"/>
        <w:rPr>
          <w:rFonts w:hint="default"/>
          <w:color w:val="auto"/>
          <w:highlight w:val="none"/>
          <w:lang w:val="en-US" w:eastAsia="zh-CN"/>
        </w:rPr>
      </w:pPr>
      <w:r>
        <w:rPr>
          <w:rFonts w:hint="eastAsia" w:ascii="仿宋_GB2312" w:hAnsi="宋体" w:eastAsia="仿宋_GB2312" w:cs="Times New Roman"/>
          <w:color w:val="auto"/>
          <w:sz w:val="28"/>
          <w:szCs w:val="28"/>
          <w:highlight w:val="none"/>
          <w:lang w:val="en-US" w:eastAsia="zh-CN"/>
        </w:rPr>
        <w:t>（1）</w:t>
      </w:r>
      <w:r>
        <w:rPr>
          <w:rFonts w:hint="eastAsia" w:ascii="仿宋_GB2312" w:hAnsi="宋体" w:eastAsia="仿宋_GB2312" w:cs="Times New Roman"/>
          <w:color w:val="auto"/>
          <w:sz w:val="28"/>
          <w:szCs w:val="28"/>
          <w:highlight w:val="none"/>
        </w:rPr>
        <w:t>基本公共卫生服务工作</w:t>
      </w:r>
    </w:p>
    <w:p>
      <w:pPr>
        <w:numPr>
          <w:ilvl w:val="0"/>
          <w:numId w:val="2"/>
        </w:numPr>
        <w:ind w:left="160" w:leftChars="0" w:firstLine="400" w:firstLineChars="0"/>
        <w:rPr>
          <w:rFonts w:hint="eastAsia" w:ascii="楷体" w:hAnsi="楷体" w:eastAsia="楷体" w:cs="楷体"/>
          <w:b/>
          <w:bCs/>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居民健康档案及老年人、慢性病管理工作</w:t>
      </w:r>
    </w:p>
    <w:p>
      <w:pPr>
        <w:numPr>
          <w:ilvl w:val="0"/>
          <w:numId w:val="0"/>
        </w:numPr>
        <w:ind w:firstLine="560" w:firstLineChars="20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根据国家服务管理规范的要求，落实了35岁以上首诊测血压制度，对诊断出的高血压患者纳入慢性病的管理范围，并且按时</w:t>
      </w:r>
      <w:r>
        <w:rPr>
          <w:rFonts w:hint="eastAsia" w:ascii="仿宋" w:hAnsi="仿宋" w:cs="仿宋"/>
          <w:b w:val="0"/>
          <w:bCs w:val="0"/>
          <w:color w:val="auto"/>
          <w:sz w:val="28"/>
          <w:szCs w:val="28"/>
          <w:highlight w:val="none"/>
          <w:lang w:eastAsia="zh-CN"/>
        </w:rPr>
        <w:t>随访</w:t>
      </w:r>
      <w:r>
        <w:rPr>
          <w:rFonts w:hint="eastAsia" w:ascii="仿宋" w:hAnsi="仿宋" w:eastAsia="仿宋" w:cs="仿宋"/>
          <w:b w:val="0"/>
          <w:bCs w:val="0"/>
          <w:color w:val="auto"/>
          <w:sz w:val="28"/>
          <w:szCs w:val="28"/>
          <w:highlight w:val="none"/>
        </w:rPr>
        <w:t>，指导用药状况，本年内共有高血压患者</w:t>
      </w:r>
      <w:r>
        <w:rPr>
          <w:rFonts w:hint="eastAsia" w:ascii="仿宋" w:hAnsi="仿宋" w:cs="仿宋"/>
          <w:b w:val="0"/>
          <w:bCs w:val="0"/>
          <w:color w:val="auto"/>
          <w:sz w:val="28"/>
          <w:szCs w:val="28"/>
          <w:highlight w:val="none"/>
          <w:lang w:val="en-US" w:eastAsia="zh-CN"/>
        </w:rPr>
        <w:t>551</w:t>
      </w:r>
      <w:r>
        <w:rPr>
          <w:rFonts w:hint="eastAsia" w:ascii="仿宋" w:hAnsi="仿宋" w:eastAsia="仿宋" w:cs="仿宋"/>
          <w:b w:val="0"/>
          <w:bCs w:val="0"/>
          <w:color w:val="auto"/>
          <w:sz w:val="28"/>
          <w:szCs w:val="28"/>
          <w:highlight w:val="none"/>
        </w:rPr>
        <w:t>人，</w:t>
      </w:r>
      <w:r>
        <w:rPr>
          <w:rFonts w:hint="eastAsia" w:ascii="仿宋" w:hAnsi="仿宋" w:cs="仿宋"/>
          <w:b w:val="0"/>
          <w:bCs w:val="0"/>
          <w:color w:val="auto"/>
          <w:sz w:val="28"/>
          <w:szCs w:val="28"/>
          <w:highlight w:val="none"/>
          <w:lang w:eastAsia="zh-CN"/>
        </w:rPr>
        <w:t>随访</w:t>
      </w:r>
      <w:r>
        <w:rPr>
          <w:rFonts w:hint="eastAsia" w:ascii="仿宋" w:hAnsi="仿宋" w:cs="仿宋"/>
          <w:b w:val="0"/>
          <w:bCs w:val="0"/>
          <w:color w:val="auto"/>
          <w:sz w:val="28"/>
          <w:szCs w:val="28"/>
          <w:highlight w:val="none"/>
          <w:lang w:val="en-US" w:eastAsia="zh-CN"/>
        </w:rPr>
        <w:t>551</w:t>
      </w:r>
      <w:r>
        <w:rPr>
          <w:rFonts w:hint="eastAsia" w:ascii="仿宋" w:hAnsi="仿宋" w:eastAsia="仿宋" w:cs="仿宋"/>
          <w:b w:val="0"/>
          <w:bCs w:val="0"/>
          <w:color w:val="auto"/>
          <w:sz w:val="28"/>
          <w:szCs w:val="28"/>
          <w:highlight w:val="none"/>
        </w:rPr>
        <w:t>人次，规范管理率</w:t>
      </w:r>
      <w:r>
        <w:rPr>
          <w:rFonts w:hint="eastAsia" w:ascii="仿宋" w:hAnsi="仿宋" w:cs="仿宋"/>
          <w:b w:val="0"/>
          <w:bCs w:val="0"/>
          <w:color w:val="auto"/>
          <w:sz w:val="28"/>
          <w:szCs w:val="28"/>
          <w:highlight w:val="none"/>
          <w:lang w:val="en-US" w:eastAsia="zh-CN"/>
        </w:rPr>
        <w:t>90</w:t>
      </w:r>
      <w:r>
        <w:rPr>
          <w:rFonts w:hint="eastAsia" w:ascii="仿宋" w:hAnsi="仿宋" w:eastAsia="仿宋" w:cs="仿宋"/>
          <w:b w:val="0"/>
          <w:bCs w:val="0"/>
          <w:color w:val="auto"/>
          <w:sz w:val="28"/>
          <w:szCs w:val="28"/>
          <w:highlight w:val="none"/>
        </w:rPr>
        <w:t>%，年度体检</w:t>
      </w:r>
      <w:r>
        <w:rPr>
          <w:rFonts w:hint="eastAsia" w:ascii="仿宋" w:hAnsi="仿宋" w:cs="仿宋"/>
          <w:b w:val="0"/>
          <w:bCs w:val="0"/>
          <w:color w:val="auto"/>
          <w:sz w:val="28"/>
          <w:szCs w:val="28"/>
          <w:highlight w:val="none"/>
          <w:lang w:val="en-US" w:eastAsia="zh-CN"/>
        </w:rPr>
        <w:t>523</w:t>
      </w:r>
      <w:r>
        <w:rPr>
          <w:rFonts w:hint="eastAsia" w:ascii="仿宋" w:hAnsi="仿宋" w:eastAsia="仿宋" w:cs="仿宋"/>
          <w:b w:val="0"/>
          <w:bCs w:val="0"/>
          <w:color w:val="auto"/>
          <w:sz w:val="28"/>
          <w:szCs w:val="28"/>
          <w:highlight w:val="none"/>
        </w:rPr>
        <w:t>人</w:t>
      </w:r>
      <w:r>
        <w:rPr>
          <w:rFonts w:hint="eastAsia" w:ascii="仿宋" w:hAnsi="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体检率</w:t>
      </w:r>
      <w:r>
        <w:rPr>
          <w:rFonts w:hint="eastAsia" w:ascii="仿宋" w:hAnsi="仿宋" w:cs="仿宋"/>
          <w:b w:val="0"/>
          <w:bCs w:val="0"/>
          <w:color w:val="auto"/>
          <w:sz w:val="28"/>
          <w:szCs w:val="28"/>
          <w:highlight w:val="none"/>
          <w:lang w:val="en-US" w:eastAsia="zh-CN"/>
        </w:rPr>
        <w:t>90</w:t>
      </w:r>
      <w:r>
        <w:rPr>
          <w:rFonts w:hint="eastAsia" w:ascii="仿宋" w:hAnsi="仿宋" w:eastAsia="仿宋" w:cs="仿宋"/>
          <w:b w:val="0"/>
          <w:bCs w:val="0"/>
          <w:color w:val="auto"/>
          <w:sz w:val="28"/>
          <w:szCs w:val="28"/>
          <w:highlight w:val="none"/>
        </w:rPr>
        <w:t>%，糖尿病患者</w:t>
      </w:r>
      <w:r>
        <w:rPr>
          <w:rFonts w:hint="eastAsia" w:ascii="仿宋" w:hAnsi="仿宋" w:cs="仿宋"/>
          <w:b w:val="0"/>
          <w:bCs w:val="0"/>
          <w:color w:val="auto"/>
          <w:sz w:val="28"/>
          <w:szCs w:val="28"/>
          <w:highlight w:val="none"/>
          <w:lang w:val="en-US" w:eastAsia="zh-CN"/>
        </w:rPr>
        <w:t>49</w:t>
      </w:r>
      <w:r>
        <w:rPr>
          <w:rFonts w:hint="eastAsia" w:ascii="仿宋" w:hAnsi="仿宋" w:eastAsia="仿宋" w:cs="仿宋"/>
          <w:b w:val="0"/>
          <w:bCs w:val="0"/>
          <w:color w:val="auto"/>
          <w:sz w:val="28"/>
          <w:szCs w:val="28"/>
          <w:highlight w:val="none"/>
        </w:rPr>
        <w:t>人，共</w:t>
      </w:r>
      <w:r>
        <w:rPr>
          <w:rFonts w:hint="eastAsia" w:ascii="仿宋" w:hAnsi="仿宋" w:cs="仿宋"/>
          <w:b w:val="0"/>
          <w:bCs w:val="0"/>
          <w:color w:val="auto"/>
          <w:sz w:val="28"/>
          <w:szCs w:val="28"/>
          <w:highlight w:val="none"/>
          <w:lang w:eastAsia="zh-CN"/>
        </w:rPr>
        <w:t>随访</w:t>
      </w:r>
      <w:r>
        <w:rPr>
          <w:rFonts w:hint="eastAsia" w:ascii="仿宋" w:hAnsi="仿宋" w:cs="仿宋"/>
          <w:b w:val="0"/>
          <w:bCs w:val="0"/>
          <w:color w:val="auto"/>
          <w:sz w:val="28"/>
          <w:szCs w:val="28"/>
          <w:highlight w:val="none"/>
          <w:lang w:val="en-US" w:eastAsia="zh-CN"/>
        </w:rPr>
        <w:t>49</w:t>
      </w:r>
      <w:r>
        <w:rPr>
          <w:rFonts w:hint="eastAsia" w:ascii="仿宋" w:hAnsi="仿宋" w:eastAsia="仿宋" w:cs="仿宋"/>
          <w:b w:val="0"/>
          <w:bCs w:val="0"/>
          <w:color w:val="auto"/>
          <w:sz w:val="28"/>
          <w:szCs w:val="28"/>
          <w:highlight w:val="none"/>
        </w:rPr>
        <w:t>人次，规范管理率</w:t>
      </w:r>
      <w:r>
        <w:rPr>
          <w:rFonts w:hint="eastAsia" w:ascii="仿宋" w:hAnsi="仿宋" w:cs="仿宋"/>
          <w:b w:val="0"/>
          <w:bCs w:val="0"/>
          <w:color w:val="auto"/>
          <w:sz w:val="28"/>
          <w:szCs w:val="28"/>
          <w:highlight w:val="none"/>
          <w:lang w:val="en-US" w:eastAsia="zh-CN"/>
        </w:rPr>
        <w:t>93</w:t>
      </w:r>
      <w:r>
        <w:rPr>
          <w:rFonts w:hint="eastAsia" w:ascii="仿宋" w:hAnsi="仿宋" w:eastAsia="仿宋" w:cs="仿宋"/>
          <w:b w:val="0"/>
          <w:bCs w:val="0"/>
          <w:color w:val="auto"/>
          <w:sz w:val="28"/>
          <w:szCs w:val="28"/>
          <w:highlight w:val="none"/>
        </w:rPr>
        <w:t>%，年度体检</w:t>
      </w:r>
      <w:r>
        <w:rPr>
          <w:rFonts w:hint="eastAsia" w:ascii="仿宋" w:hAnsi="仿宋" w:cs="仿宋"/>
          <w:b w:val="0"/>
          <w:bCs w:val="0"/>
          <w:color w:val="auto"/>
          <w:sz w:val="28"/>
          <w:szCs w:val="28"/>
          <w:highlight w:val="none"/>
          <w:lang w:val="en-US" w:eastAsia="zh-CN"/>
        </w:rPr>
        <w:t>43</w:t>
      </w:r>
      <w:r>
        <w:rPr>
          <w:rFonts w:hint="eastAsia" w:ascii="仿宋" w:hAnsi="仿宋" w:eastAsia="仿宋" w:cs="仿宋"/>
          <w:b w:val="0"/>
          <w:bCs w:val="0"/>
          <w:color w:val="auto"/>
          <w:sz w:val="28"/>
          <w:szCs w:val="28"/>
          <w:highlight w:val="none"/>
        </w:rPr>
        <w:t>人，并及时将体检结果反馈给患者，进行了相应的健康指导。</w:t>
      </w:r>
    </w:p>
    <w:p>
      <w:pPr>
        <w:ind w:left="0" w:leftChars="0" w:firstLine="560" w:firstLineChars="200"/>
        <w:rPr>
          <w:rFonts w:hint="eastAsia"/>
          <w:color w:val="auto"/>
          <w:sz w:val="28"/>
          <w:szCs w:val="28"/>
          <w:highlight w:val="none"/>
        </w:rPr>
      </w:pPr>
      <w:r>
        <w:rPr>
          <w:rFonts w:hint="eastAsia" w:ascii="仿宋" w:hAnsi="仿宋" w:eastAsia="仿宋" w:cs="仿宋"/>
          <w:b w:val="0"/>
          <w:bCs w:val="0"/>
          <w:color w:val="auto"/>
          <w:sz w:val="28"/>
          <w:szCs w:val="28"/>
          <w:highlight w:val="none"/>
        </w:rPr>
        <w:t>按照要求我们为65岁以上老年人进行登记管理，</w:t>
      </w:r>
      <w:r>
        <w:rPr>
          <w:rFonts w:hint="eastAsia" w:ascii="仿宋" w:hAnsi="仿宋" w:eastAsia="仿宋" w:cs="仿宋"/>
          <w:b w:val="0"/>
          <w:bCs w:val="0"/>
          <w:color w:val="auto"/>
          <w:sz w:val="28"/>
          <w:szCs w:val="28"/>
          <w:highlight w:val="none"/>
          <w:lang w:val="en-US" w:eastAsia="zh-CN"/>
        </w:rPr>
        <w:t>在上级医疗机构</w:t>
      </w:r>
      <w:r>
        <w:rPr>
          <w:rFonts w:hint="eastAsia" w:ascii="仿宋" w:hAnsi="仿宋" w:eastAsia="仿宋" w:cs="仿宋"/>
          <w:b w:val="0"/>
          <w:bCs w:val="0"/>
          <w:color w:val="auto"/>
          <w:sz w:val="28"/>
          <w:szCs w:val="28"/>
          <w:highlight w:val="none"/>
        </w:rPr>
        <w:t>开展</w:t>
      </w:r>
      <w:r>
        <w:rPr>
          <w:rFonts w:hint="eastAsia" w:ascii="仿宋" w:hAnsi="仿宋" w:eastAsia="仿宋" w:cs="仿宋"/>
          <w:b w:val="0"/>
          <w:bCs w:val="0"/>
          <w:color w:val="auto"/>
          <w:sz w:val="28"/>
          <w:szCs w:val="28"/>
          <w:highlight w:val="none"/>
          <w:lang w:val="en-US" w:eastAsia="zh-CN"/>
        </w:rPr>
        <w:t>全民</w:t>
      </w:r>
      <w:r>
        <w:rPr>
          <w:rFonts w:hint="eastAsia" w:ascii="仿宋" w:hAnsi="仿宋" w:eastAsia="仿宋" w:cs="仿宋"/>
          <w:b w:val="0"/>
          <w:bCs w:val="0"/>
          <w:color w:val="auto"/>
          <w:sz w:val="28"/>
          <w:szCs w:val="28"/>
          <w:highlight w:val="none"/>
        </w:rPr>
        <w:t>健康体检工作，体检资料包括生活方式和健康状况评估，透过问诊了解老年人的基本健康状况及生活自理潜质</w:t>
      </w:r>
      <w:r>
        <w:rPr>
          <w:rFonts w:hint="eastAsia" w:ascii="仿宋" w:hAnsi="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进行了体格检查，包括体温、呼吸、血压、血糖等常规检查，并进行了必要的辅助检查，包括肝肾功能、血常规、尿常规、心电图等检查，最后告知体检结果，进行了相应的健康指导，共体检</w:t>
      </w:r>
      <w:r>
        <w:rPr>
          <w:rFonts w:hint="eastAsia" w:ascii="仿宋" w:hAnsi="仿宋" w:cs="仿宋"/>
          <w:b w:val="0"/>
          <w:bCs w:val="0"/>
          <w:color w:val="auto"/>
          <w:sz w:val="28"/>
          <w:szCs w:val="28"/>
          <w:highlight w:val="none"/>
          <w:lang w:val="en-US" w:eastAsia="zh-CN"/>
        </w:rPr>
        <w:t>303</w:t>
      </w:r>
      <w:r>
        <w:rPr>
          <w:rFonts w:hint="eastAsia" w:ascii="仿宋" w:hAnsi="仿宋" w:eastAsia="仿宋" w:cs="仿宋"/>
          <w:b w:val="0"/>
          <w:bCs w:val="0"/>
          <w:color w:val="auto"/>
          <w:sz w:val="28"/>
          <w:szCs w:val="28"/>
          <w:highlight w:val="none"/>
        </w:rPr>
        <w:t>人</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其中对已发现的原发性高血压和2型糖尿病等患者纳入慢性病患者健康管理，对体检中发现有异常的老年人推荐定期复查，并预约了下次的体检时刻。</w:t>
      </w:r>
    </w:p>
    <w:p>
      <w:pPr>
        <w:numPr>
          <w:ilvl w:val="0"/>
          <w:numId w:val="2"/>
        </w:numPr>
        <w:ind w:left="160" w:leftChars="0" w:firstLine="400" w:firstLineChars="0"/>
        <w:rPr>
          <w:rFonts w:hint="eastAsia" w:ascii="楷体" w:hAnsi="楷体" w:eastAsia="楷体" w:cs="楷体"/>
          <w:b/>
          <w:bCs/>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健康教育宣传工作</w:t>
      </w:r>
    </w:p>
    <w:p>
      <w:pPr>
        <w:ind w:firstLine="56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月制作宣传栏</w:t>
      </w:r>
      <w:r>
        <w:rPr>
          <w:rFonts w:hint="eastAsia" w:ascii="仿宋" w:hAnsi="仿宋" w:cs="仿宋"/>
          <w:color w:val="auto"/>
          <w:sz w:val="28"/>
          <w:szCs w:val="28"/>
          <w:highlight w:val="none"/>
          <w:lang w:val="en-US" w:eastAsia="zh-CN"/>
        </w:rPr>
        <w:t>7</w:t>
      </w:r>
      <w:r>
        <w:rPr>
          <w:rFonts w:hint="eastAsia" w:ascii="仿宋" w:hAnsi="仿宋" w:eastAsia="仿宋" w:cs="仿宋"/>
          <w:color w:val="auto"/>
          <w:sz w:val="28"/>
          <w:szCs w:val="28"/>
          <w:highlight w:val="none"/>
        </w:rPr>
        <w:t>期，举办</w:t>
      </w:r>
      <w:r>
        <w:rPr>
          <w:rFonts w:hint="eastAsia" w:ascii="仿宋" w:hAnsi="仿宋" w:cs="仿宋"/>
          <w:color w:val="auto"/>
          <w:sz w:val="28"/>
          <w:szCs w:val="28"/>
          <w:highlight w:val="none"/>
          <w:lang w:val="en-US" w:eastAsia="zh-CN"/>
        </w:rPr>
        <w:t>7</w:t>
      </w:r>
      <w:r>
        <w:rPr>
          <w:rFonts w:hint="eastAsia" w:ascii="仿宋" w:hAnsi="仿宋" w:eastAsia="仿宋" w:cs="仿宋"/>
          <w:color w:val="auto"/>
          <w:sz w:val="28"/>
          <w:szCs w:val="28"/>
          <w:highlight w:val="none"/>
        </w:rPr>
        <w:t>期健康咨询活动</w:t>
      </w:r>
      <w:r>
        <w:rPr>
          <w:rFonts w:hint="eastAsia" w:ascii="仿宋" w:hAnsi="仿宋" w:cs="仿宋"/>
          <w:color w:val="auto"/>
          <w:sz w:val="28"/>
          <w:szCs w:val="28"/>
          <w:highlight w:val="none"/>
          <w:lang w:val="en-US" w:eastAsia="zh-CN"/>
        </w:rPr>
        <w:t>28</w:t>
      </w:r>
      <w:r>
        <w:rPr>
          <w:rFonts w:hint="eastAsia" w:ascii="仿宋" w:hAnsi="仿宋" w:eastAsia="仿宋" w:cs="仿宋"/>
          <w:color w:val="auto"/>
          <w:sz w:val="28"/>
          <w:szCs w:val="28"/>
          <w:highlight w:val="none"/>
        </w:rPr>
        <w:t>期健康知识讲座</w:t>
      </w:r>
      <w:r>
        <w:rPr>
          <w:rFonts w:hint="eastAsia" w:ascii="仿宋" w:hAnsi="仿宋" w:cs="仿宋"/>
          <w:color w:val="auto"/>
          <w:sz w:val="28"/>
          <w:szCs w:val="28"/>
          <w:highlight w:val="none"/>
          <w:lang w:val="en-US" w:eastAsia="zh-CN"/>
        </w:rPr>
        <w:t>17期</w:t>
      </w:r>
      <w:r>
        <w:rPr>
          <w:rFonts w:hint="eastAsia" w:ascii="仿宋" w:hAnsi="仿宋" w:eastAsia="仿宋" w:cs="仿宋"/>
          <w:color w:val="auto"/>
          <w:sz w:val="28"/>
          <w:szCs w:val="28"/>
          <w:highlight w:val="none"/>
        </w:rPr>
        <w:t>，播放了高血压</w:t>
      </w:r>
      <w:r>
        <w:rPr>
          <w:rFonts w:hint="eastAsia" w:ascii="仿宋" w:hAnsi="仿宋" w:cs="仿宋"/>
          <w:color w:val="auto"/>
          <w:sz w:val="28"/>
          <w:szCs w:val="28"/>
          <w:highlight w:val="none"/>
          <w:lang w:val="en-US" w:eastAsia="zh-CN"/>
        </w:rPr>
        <w:t>28次</w:t>
      </w:r>
      <w:r>
        <w:rPr>
          <w:rFonts w:hint="eastAsia" w:ascii="仿宋" w:hAnsi="仿宋" w:eastAsia="仿宋" w:cs="仿宋"/>
          <w:color w:val="auto"/>
          <w:sz w:val="28"/>
          <w:szCs w:val="28"/>
          <w:highlight w:val="none"/>
        </w:rPr>
        <w:t>、糖尿病防治</w:t>
      </w:r>
      <w:r>
        <w:rPr>
          <w:rFonts w:hint="eastAsia" w:ascii="仿宋" w:hAnsi="仿宋" w:cs="仿宋"/>
          <w:color w:val="auto"/>
          <w:sz w:val="28"/>
          <w:szCs w:val="28"/>
          <w:highlight w:val="none"/>
          <w:lang w:val="en-US" w:eastAsia="zh-CN"/>
        </w:rPr>
        <w:t>23次</w:t>
      </w:r>
      <w:r>
        <w:rPr>
          <w:rFonts w:hint="eastAsia" w:ascii="仿宋" w:hAnsi="仿宋" w:eastAsia="仿宋" w:cs="仿宋"/>
          <w:color w:val="auto"/>
          <w:sz w:val="28"/>
          <w:szCs w:val="28"/>
          <w:highlight w:val="none"/>
        </w:rPr>
        <w:t>、中医药健康教育知识</w:t>
      </w:r>
      <w:r>
        <w:rPr>
          <w:rFonts w:hint="eastAsia" w:ascii="仿宋" w:hAnsi="仿宋" w:cs="仿宋"/>
          <w:color w:val="auto"/>
          <w:sz w:val="28"/>
          <w:szCs w:val="28"/>
          <w:highlight w:val="none"/>
          <w:lang w:val="en-US" w:eastAsia="zh-CN"/>
        </w:rPr>
        <w:t>20次</w:t>
      </w:r>
      <w:r>
        <w:rPr>
          <w:rFonts w:hint="eastAsia" w:ascii="仿宋" w:hAnsi="仿宋" w:eastAsia="仿宋" w:cs="仿宋"/>
          <w:color w:val="auto"/>
          <w:sz w:val="28"/>
          <w:szCs w:val="28"/>
          <w:highlight w:val="none"/>
        </w:rPr>
        <w:t>、老年人合理用药等音像资料</w:t>
      </w:r>
      <w:r>
        <w:rPr>
          <w:rFonts w:hint="eastAsia" w:ascii="仿宋" w:hAnsi="仿宋" w:cs="仿宋"/>
          <w:color w:val="auto"/>
          <w:sz w:val="28"/>
          <w:szCs w:val="28"/>
          <w:highlight w:val="none"/>
          <w:lang w:val="en-US" w:eastAsia="zh-CN"/>
        </w:rPr>
        <w:t>26次</w:t>
      </w:r>
      <w:r>
        <w:rPr>
          <w:rFonts w:hint="eastAsia" w:ascii="仿宋" w:hAnsi="仿宋" w:eastAsia="仿宋" w:cs="仿宋"/>
          <w:color w:val="auto"/>
          <w:sz w:val="28"/>
          <w:szCs w:val="28"/>
          <w:highlight w:val="none"/>
        </w:rPr>
        <w:t>，发放健康</w:t>
      </w:r>
      <w:r>
        <w:rPr>
          <w:rFonts w:hint="eastAsia" w:ascii="仿宋" w:hAnsi="仿宋" w:eastAsia="仿宋" w:cs="仿宋"/>
          <w:color w:val="auto"/>
          <w:sz w:val="28"/>
          <w:szCs w:val="28"/>
          <w:highlight w:val="none"/>
          <w:lang w:val="en-US" w:eastAsia="zh-CN"/>
        </w:rPr>
        <w:t>宣传册</w:t>
      </w:r>
      <w:r>
        <w:rPr>
          <w:rFonts w:hint="eastAsia" w:ascii="仿宋" w:hAnsi="仿宋" w:cs="仿宋"/>
          <w:color w:val="auto"/>
          <w:sz w:val="28"/>
          <w:szCs w:val="28"/>
          <w:highlight w:val="none"/>
          <w:lang w:val="en-US" w:eastAsia="zh-CN"/>
        </w:rPr>
        <w:t>2167个</w:t>
      </w:r>
      <w:r>
        <w:rPr>
          <w:rFonts w:hint="eastAsia" w:ascii="仿宋" w:hAnsi="仿宋" w:eastAsia="仿宋" w:cs="仿宋"/>
          <w:color w:val="auto"/>
          <w:sz w:val="28"/>
          <w:szCs w:val="28"/>
          <w:highlight w:val="none"/>
          <w:lang w:val="en-US" w:eastAsia="zh-CN"/>
        </w:rPr>
        <w:t>。</w:t>
      </w:r>
    </w:p>
    <w:p>
      <w:pPr>
        <w:numPr>
          <w:ilvl w:val="0"/>
          <w:numId w:val="2"/>
        </w:numPr>
        <w:ind w:left="160" w:leftChars="0" w:firstLine="400" w:firstLineChars="0"/>
        <w:rPr>
          <w:rFonts w:hint="eastAsia" w:ascii="楷体" w:hAnsi="楷体" w:eastAsia="楷体" w:cs="楷体"/>
          <w:b/>
          <w:bCs/>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妇幼保健、儿童保健工作</w:t>
      </w:r>
    </w:p>
    <w:p>
      <w:pPr>
        <w:ind w:firstLine="560"/>
        <w:rPr>
          <w:rFonts w:hint="eastAsia" w:ascii="楷体" w:hAnsi="楷体" w:eastAsia="楷体" w:cs="楷体"/>
          <w:b/>
          <w:bCs/>
          <w:color w:val="auto"/>
          <w:sz w:val="28"/>
          <w:szCs w:val="28"/>
          <w:highlight w:val="none"/>
        </w:rPr>
      </w:pPr>
      <w:r>
        <w:rPr>
          <w:rFonts w:hint="eastAsia" w:ascii="仿宋" w:hAnsi="仿宋" w:eastAsia="仿宋" w:cs="仿宋"/>
          <w:color w:val="auto"/>
          <w:sz w:val="28"/>
          <w:szCs w:val="28"/>
          <w:highlight w:val="none"/>
        </w:rPr>
        <w:t>全年活产数</w:t>
      </w:r>
      <w:r>
        <w:rPr>
          <w:rFonts w:hint="eastAsia" w:ascii="仿宋" w:hAnsi="仿宋" w:cs="仿宋"/>
          <w:color w:val="auto"/>
          <w:sz w:val="28"/>
          <w:szCs w:val="28"/>
          <w:highlight w:val="none"/>
          <w:lang w:val="en-US" w:eastAsia="zh-CN"/>
        </w:rPr>
        <w:t>33</w:t>
      </w:r>
      <w:r>
        <w:rPr>
          <w:rFonts w:hint="eastAsia" w:ascii="仿宋" w:hAnsi="仿宋" w:eastAsia="仿宋" w:cs="仿宋"/>
          <w:color w:val="auto"/>
          <w:sz w:val="28"/>
          <w:szCs w:val="28"/>
          <w:highlight w:val="none"/>
        </w:rPr>
        <w:t>人，</w:t>
      </w:r>
      <w:r>
        <w:rPr>
          <w:rFonts w:hint="eastAsia" w:ascii="仿宋" w:hAnsi="仿宋" w:eastAsia="仿宋" w:cs="仿宋"/>
          <w:color w:val="auto"/>
          <w:sz w:val="28"/>
          <w:szCs w:val="28"/>
          <w:highlight w:val="none"/>
          <w:lang w:val="en-US" w:eastAsia="zh-CN"/>
        </w:rPr>
        <w:t>0-6</w:t>
      </w:r>
      <w:r>
        <w:rPr>
          <w:rFonts w:hint="eastAsia" w:ascii="仿宋" w:hAnsi="仿宋" w:eastAsia="仿宋" w:cs="仿宋"/>
          <w:color w:val="auto"/>
          <w:sz w:val="28"/>
          <w:szCs w:val="28"/>
          <w:highlight w:val="none"/>
        </w:rPr>
        <w:t>儿童</w:t>
      </w:r>
      <w:r>
        <w:rPr>
          <w:rFonts w:hint="eastAsia" w:ascii="仿宋" w:hAnsi="仿宋" w:cs="仿宋"/>
          <w:color w:val="auto"/>
          <w:sz w:val="28"/>
          <w:szCs w:val="28"/>
          <w:highlight w:val="none"/>
          <w:lang w:val="en-US" w:eastAsia="zh-CN"/>
        </w:rPr>
        <w:t>432人</w:t>
      </w:r>
      <w:r>
        <w:rPr>
          <w:rFonts w:hint="eastAsia" w:ascii="仿宋" w:hAnsi="仿宋" w:eastAsia="仿宋" w:cs="仿宋"/>
          <w:color w:val="auto"/>
          <w:sz w:val="28"/>
          <w:szCs w:val="28"/>
          <w:highlight w:val="none"/>
        </w:rPr>
        <w:t>，共完成</w:t>
      </w:r>
      <w:r>
        <w:rPr>
          <w:rFonts w:hint="eastAsia" w:ascii="仿宋" w:hAnsi="仿宋" w:cs="仿宋"/>
          <w:color w:val="auto"/>
          <w:sz w:val="28"/>
          <w:szCs w:val="28"/>
          <w:highlight w:val="none"/>
          <w:lang w:val="en-US" w:eastAsia="zh-CN"/>
        </w:rPr>
        <w:t>0</w:t>
      </w:r>
      <w:r>
        <w:rPr>
          <w:rFonts w:hint="eastAsia" w:ascii="仿宋" w:hAnsi="仿宋" w:eastAsia="仿宋" w:cs="仿宋"/>
          <w:color w:val="auto"/>
          <w:sz w:val="28"/>
          <w:szCs w:val="28"/>
          <w:highlight w:val="none"/>
        </w:rPr>
        <w:t>岁以下儿童体检</w:t>
      </w:r>
      <w:r>
        <w:rPr>
          <w:rFonts w:hint="eastAsia" w:ascii="仿宋" w:hAnsi="仿宋" w:cs="仿宋"/>
          <w:color w:val="auto"/>
          <w:sz w:val="28"/>
          <w:szCs w:val="28"/>
          <w:highlight w:val="none"/>
          <w:lang w:val="en-US" w:eastAsia="zh-CN"/>
        </w:rPr>
        <w:t>33</w:t>
      </w:r>
      <w:r>
        <w:rPr>
          <w:rFonts w:hint="eastAsia" w:ascii="仿宋" w:hAnsi="仿宋" w:eastAsia="仿宋" w:cs="仿宋"/>
          <w:color w:val="auto"/>
          <w:sz w:val="28"/>
          <w:szCs w:val="28"/>
          <w:highlight w:val="none"/>
        </w:rPr>
        <w:t>人次，规范管理率</w:t>
      </w:r>
      <w:r>
        <w:rPr>
          <w:rFonts w:hint="eastAsia" w:ascii="仿宋" w:hAnsi="仿宋" w:cs="仿宋"/>
          <w:color w:val="auto"/>
          <w:sz w:val="28"/>
          <w:szCs w:val="28"/>
          <w:highlight w:val="none"/>
          <w:lang w:val="en-US" w:eastAsia="zh-CN"/>
        </w:rPr>
        <w:t>100</w:t>
      </w:r>
      <w:r>
        <w:rPr>
          <w:rFonts w:hint="eastAsia" w:ascii="仿宋" w:hAnsi="仿宋" w:eastAsia="仿宋" w:cs="仿宋"/>
          <w:color w:val="auto"/>
          <w:sz w:val="28"/>
          <w:szCs w:val="28"/>
          <w:highlight w:val="none"/>
        </w:rPr>
        <w:t>%</w:t>
      </w:r>
      <w:r>
        <w:rPr>
          <w:rFonts w:hint="eastAsia" w:ascii="仿宋" w:hAnsi="仿宋" w:cs="仿宋"/>
          <w:color w:val="auto"/>
          <w:sz w:val="28"/>
          <w:szCs w:val="28"/>
          <w:highlight w:val="none"/>
          <w:lang w:eastAsia="zh-CN"/>
        </w:rPr>
        <w:t>；</w:t>
      </w:r>
      <w:r>
        <w:rPr>
          <w:rFonts w:hint="eastAsia" w:ascii="仿宋" w:hAnsi="仿宋" w:eastAsia="仿宋" w:cs="仿宋"/>
          <w:color w:val="auto"/>
          <w:sz w:val="28"/>
          <w:szCs w:val="28"/>
          <w:highlight w:val="none"/>
        </w:rPr>
        <w:t>住院分娩率</w:t>
      </w:r>
      <w:r>
        <w:rPr>
          <w:rFonts w:hint="eastAsia" w:ascii="仿宋" w:hAnsi="仿宋" w:cs="仿宋"/>
          <w:color w:val="auto"/>
          <w:sz w:val="28"/>
          <w:szCs w:val="28"/>
          <w:highlight w:val="none"/>
          <w:lang w:val="en-US" w:eastAsia="zh-CN"/>
        </w:rPr>
        <w:t>100</w:t>
      </w:r>
      <w:r>
        <w:rPr>
          <w:rFonts w:hint="eastAsia" w:ascii="仿宋" w:hAnsi="仿宋" w:eastAsia="仿宋" w:cs="仿宋"/>
          <w:color w:val="auto"/>
          <w:sz w:val="28"/>
          <w:szCs w:val="28"/>
          <w:highlight w:val="none"/>
        </w:rPr>
        <w:t>%，在管孕妇</w:t>
      </w:r>
      <w:r>
        <w:rPr>
          <w:rFonts w:hint="eastAsia" w:ascii="仿宋" w:hAnsi="仿宋" w:cs="仿宋"/>
          <w:color w:val="auto"/>
          <w:sz w:val="28"/>
          <w:szCs w:val="28"/>
          <w:highlight w:val="none"/>
          <w:lang w:val="en-US" w:eastAsia="zh-CN"/>
        </w:rPr>
        <w:t>22</w:t>
      </w:r>
      <w:r>
        <w:rPr>
          <w:rFonts w:hint="eastAsia" w:ascii="仿宋" w:hAnsi="仿宋" w:eastAsia="仿宋" w:cs="仿宋"/>
          <w:color w:val="auto"/>
          <w:sz w:val="28"/>
          <w:szCs w:val="28"/>
          <w:highlight w:val="none"/>
        </w:rPr>
        <w:t>人，早孕建卡率</w:t>
      </w:r>
      <w:r>
        <w:rPr>
          <w:rFonts w:hint="eastAsia" w:ascii="仿宋" w:hAnsi="仿宋" w:cs="仿宋"/>
          <w:color w:val="auto"/>
          <w:sz w:val="28"/>
          <w:szCs w:val="28"/>
          <w:highlight w:val="none"/>
          <w:lang w:val="en-US" w:eastAsia="zh-CN"/>
        </w:rPr>
        <w:t>100</w:t>
      </w:r>
      <w:r>
        <w:rPr>
          <w:rFonts w:hint="eastAsia" w:ascii="仿宋" w:hAnsi="仿宋" w:eastAsia="仿宋" w:cs="仿宋"/>
          <w:color w:val="auto"/>
          <w:sz w:val="28"/>
          <w:szCs w:val="28"/>
          <w:highlight w:val="none"/>
        </w:rPr>
        <w:t>%，认真做好相关监测、报表。开展母乳喂养周和小儿常见病防治知识宣传活动，宣传妇幼保健知识。</w:t>
      </w:r>
      <w:r>
        <w:rPr>
          <w:rFonts w:hint="eastAsia" w:ascii="仿宋" w:hAnsi="仿宋" w:eastAsia="仿宋" w:cs="仿宋"/>
          <w:color w:val="auto"/>
          <w:sz w:val="28"/>
          <w:szCs w:val="28"/>
          <w:highlight w:val="none"/>
        </w:rPr>
        <w:br w:type="textWrapping"/>
      </w:r>
      <w:r>
        <w:rPr>
          <w:rFonts w:hint="eastAsia" w:ascii="方正仿宋_GBK" w:hAnsi="方正仿宋_GBK" w:eastAsia="方正仿宋_GBK" w:cs="方正仿宋_GBK"/>
          <w:b/>
          <w:bCs/>
          <w:color w:val="auto"/>
          <w:sz w:val="31"/>
          <w:szCs w:val="31"/>
          <w:highlight w:val="none"/>
          <w:lang w:val="en-US" w:eastAsia="zh-CN"/>
        </w:rPr>
        <w:t xml:space="preserve">   </w:t>
      </w:r>
      <w:r>
        <w:rPr>
          <w:rFonts w:hint="eastAsia" w:ascii="楷体" w:hAnsi="楷体" w:eastAsia="楷体" w:cs="楷体"/>
          <w:b/>
          <w:bCs/>
          <w:color w:val="auto"/>
          <w:sz w:val="28"/>
          <w:szCs w:val="28"/>
          <w:highlight w:val="none"/>
          <w:lang w:val="en-US" w:eastAsia="zh-CN"/>
        </w:rPr>
        <w:t>(2）</w:t>
      </w:r>
      <w:r>
        <w:rPr>
          <w:rFonts w:hint="eastAsia" w:ascii="楷体" w:hAnsi="楷体" w:eastAsia="楷体" w:cs="楷体"/>
          <w:b/>
          <w:bCs/>
          <w:color w:val="auto"/>
          <w:sz w:val="28"/>
          <w:szCs w:val="28"/>
          <w:highlight w:val="none"/>
        </w:rPr>
        <w:t>基本</w:t>
      </w:r>
      <w:r>
        <w:rPr>
          <w:rFonts w:hint="eastAsia" w:ascii="楷体" w:hAnsi="楷体" w:eastAsia="楷体" w:cs="楷体"/>
          <w:b/>
          <w:bCs/>
          <w:color w:val="auto"/>
          <w:sz w:val="28"/>
          <w:szCs w:val="28"/>
          <w:highlight w:val="none"/>
          <w:lang w:eastAsia="zh-CN"/>
        </w:rPr>
        <w:t>医疗及基本药物</w:t>
      </w:r>
    </w:p>
    <w:p>
      <w:pPr>
        <w:ind w:firstLine="560"/>
        <w:rPr>
          <w:rFonts w:hint="eastAsia"/>
          <w:color w:val="auto"/>
          <w:szCs w:val="28"/>
          <w:highlight w:val="none"/>
          <w:lang w:val="en-US" w:eastAsia="zh-CN"/>
        </w:rPr>
      </w:pPr>
      <w:r>
        <w:rPr>
          <w:rFonts w:hint="eastAsia"/>
          <w:color w:val="auto"/>
          <w:szCs w:val="28"/>
          <w:highlight w:val="none"/>
          <w:lang w:val="en-US" w:eastAsia="zh-CN"/>
        </w:rPr>
        <w:t>严格执行诊疗常规和操作规程，处方书写规范；认真执行护理常规，基础护理工作无漏洞。巴音郭楞乡卫生院现配备基本药物类别238种，村卫生室配备123种，基本药物为100%，基本药100%零差率销售。</w:t>
      </w:r>
    </w:p>
    <w:p>
      <w:pPr>
        <w:rPr>
          <w:rFonts w:hint="eastAsia" w:ascii="楷体" w:hAnsi="楷体" w:eastAsia="楷体" w:cs="楷体"/>
          <w:b/>
          <w:bCs/>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（3）乡村一体化管理情况</w:t>
      </w:r>
    </w:p>
    <w:p>
      <w:pPr>
        <w:ind w:firstLine="560"/>
        <w:rPr>
          <w:rFonts w:hint="eastAsia"/>
          <w:color w:val="auto"/>
          <w:szCs w:val="28"/>
          <w:highlight w:val="none"/>
          <w:lang w:val="en-US" w:eastAsia="zh-CN"/>
        </w:rPr>
      </w:pPr>
      <w:r>
        <w:rPr>
          <w:rFonts w:hint="eastAsia"/>
          <w:color w:val="auto"/>
          <w:szCs w:val="28"/>
          <w:highlight w:val="none"/>
          <w:lang w:val="en-US" w:eastAsia="zh-CN"/>
        </w:rPr>
        <w:t>制度统一制订。全县统一制订村卫生室综合目标、村医工资发放等有关管理办法，建立健全卫生室各项规章制度和人员职责。</w:t>
      </w:r>
    </w:p>
    <w:p>
      <w:pPr>
        <w:ind w:firstLine="560"/>
        <w:rPr>
          <w:rFonts w:hint="eastAsia"/>
          <w:color w:val="auto"/>
          <w:szCs w:val="28"/>
          <w:highlight w:val="none"/>
          <w:lang w:val="en-US" w:eastAsia="zh-CN"/>
        </w:rPr>
      </w:pPr>
      <w:r>
        <w:rPr>
          <w:rFonts w:hint="eastAsia"/>
          <w:color w:val="auto"/>
          <w:szCs w:val="28"/>
          <w:highlight w:val="none"/>
          <w:lang w:val="en-US" w:eastAsia="zh-CN"/>
        </w:rPr>
        <w:t>财务统一管理。卫生室统一使用财政部门监制的收费票据，建立健全有关账目。社保报账款由乡卫生院统一管理，实行报账制。</w:t>
      </w:r>
    </w:p>
    <w:p>
      <w:pPr>
        <w:ind w:firstLine="560"/>
        <w:rPr>
          <w:rFonts w:hint="eastAsia"/>
          <w:color w:val="auto"/>
          <w:szCs w:val="28"/>
          <w:highlight w:val="none"/>
          <w:lang w:val="en-US" w:eastAsia="zh-CN"/>
        </w:rPr>
      </w:pPr>
      <w:r>
        <w:rPr>
          <w:rFonts w:hint="eastAsia"/>
          <w:color w:val="auto"/>
          <w:szCs w:val="28"/>
          <w:highlight w:val="none"/>
          <w:lang w:val="en-US" w:eastAsia="zh-CN"/>
        </w:rPr>
        <w:t>药械统一调拨。卫健委制定村卫生室基本用药目录，乡村医生根据上月用药情况上报本月用药计划，卫生院建立中心药库，村卫生室所需药品、医疗器械和卫生材料由卫生院从卫健委规定的采购渠道统一采购和调拨，医疗废物有焚烧医疗废物固定地点。</w:t>
      </w:r>
    </w:p>
    <w:p>
      <w:pPr>
        <w:ind w:firstLine="560"/>
        <w:rPr>
          <w:rFonts w:hint="eastAsia"/>
          <w:color w:val="auto"/>
          <w:szCs w:val="28"/>
          <w:highlight w:val="none"/>
          <w:lang w:val="en-US" w:eastAsia="zh-CN"/>
        </w:rPr>
      </w:pPr>
      <w:r>
        <w:rPr>
          <w:rFonts w:hint="eastAsia"/>
          <w:color w:val="auto"/>
          <w:szCs w:val="28"/>
          <w:highlight w:val="none"/>
          <w:lang w:val="en-US" w:eastAsia="zh-CN"/>
        </w:rPr>
        <w:t>业务统一考核。按照绩效考核方案，卫生院每月对村卫生室履行公共卫生服务职责、基本药物使用情况、免疫规划和基本医疗服务质量实行考核。村卫生室要求各项服务有登记，用药有处方，收费有凭单，转诊有记录。</w:t>
      </w:r>
    </w:p>
    <w:p>
      <w:pPr>
        <w:pStyle w:val="4"/>
        <w:bidi w:val="0"/>
        <w:ind w:left="0" w:leftChars="0" w:firstLine="321" w:firstLineChars="10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我单位年初预算数为103.53万元，实际预算执行数103.53万元，预算执行率为100%。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全年预算数为125.14万元，全年实际支出资金125.14万元，预算执行率为100%。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103.53</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21.61</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125.14</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20.81</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20.81</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125.14</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ascii="Times New Roman" w:hAnsi="Times New Roman" w:cs="Times New Roman"/>
          <w:bCs/>
          <w:color w:val="auto"/>
          <w:highlight w:val="none"/>
          <w:lang w:val="en-US" w:eastAsia="zh-CN"/>
        </w:rPr>
        <w:t>125.14</w:t>
      </w:r>
      <w:r>
        <w:rPr>
          <w:rFonts w:hint="default"/>
          <w:color w:val="auto"/>
          <w:highlight w:val="none"/>
          <w:lang w:val="en-US" w:eastAsia="zh-CN"/>
        </w:rPr>
        <w:t>万元，资金的使用方向为我单位机关人员经费支出</w:t>
      </w:r>
      <w:r>
        <w:rPr>
          <w:rFonts w:hint="eastAsia" w:ascii="Times New Roman" w:hAnsi="Times New Roman" w:cs="Times New Roman"/>
          <w:bCs/>
          <w:color w:val="auto"/>
          <w:highlight w:val="none"/>
          <w:lang w:val="en-US" w:eastAsia="zh-CN"/>
        </w:rPr>
        <w:t>125.14</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w:t>
      </w:r>
      <w:r>
        <w:rPr>
          <w:rFonts w:hint="default"/>
          <w:color w:val="auto"/>
          <w:highlight w:val="none"/>
          <w:lang w:val="en-US" w:eastAsia="zh-CN"/>
        </w:rPr>
        <w:t>日常公用经费支出</w:t>
      </w:r>
      <w:r>
        <w:rPr>
          <w:rFonts w:hint="eastAsia"/>
          <w:color w:val="auto"/>
          <w:highlight w:val="none"/>
          <w:lang w:val="en-US" w:eastAsia="zh-CN"/>
        </w:rPr>
        <w:t>0</w:t>
      </w:r>
      <w:r>
        <w:rPr>
          <w:rFonts w:hint="default"/>
          <w:color w:val="auto"/>
          <w:highlight w:val="none"/>
          <w:lang w:val="en-US" w:eastAsia="zh-CN"/>
        </w:rPr>
        <w:t>万元</w:t>
      </w:r>
      <w:r>
        <w:rPr>
          <w:rFonts w:hint="eastAsia"/>
          <w:color w:val="auto"/>
          <w:highlight w:val="none"/>
          <w:lang w:val="en-US" w:eastAsia="zh-CN"/>
        </w:rPr>
        <w:t>，单位办公用品购买及车辆燃油费及维修等方面支出。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0</w:t>
      </w:r>
      <w:r>
        <w:rPr>
          <w:rFonts w:hint="default"/>
          <w:color w:val="auto"/>
          <w:highlight w:val="none"/>
          <w:lang w:val="en-US" w:eastAsia="zh-CN"/>
        </w:rPr>
        <w:t>万元。</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125.14万元，全年实际支出125.14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125.14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公用经费支出0万元。</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bidi w:val="0"/>
        <w:rPr>
          <w:rFonts w:hint="eastAsia"/>
          <w:color w:val="auto"/>
          <w:highlight w:val="none"/>
          <w:lang w:eastAsia="zh-CN"/>
        </w:rPr>
      </w:pPr>
      <w:r>
        <w:rPr>
          <w:rFonts w:hint="eastAsia"/>
          <w:color w:val="auto"/>
          <w:highlight w:val="none"/>
          <w:lang w:val="en-US" w:eastAsia="zh-CN"/>
        </w:rPr>
        <w:t>我单位2023年度没有安排具体的项目支出</w:t>
      </w:r>
      <w:r>
        <w:rPr>
          <w:rFonts w:hint="default"/>
          <w:color w:val="auto"/>
          <w:highlight w:val="none"/>
          <w:lang w:val="en-US" w:eastAsia="zh-CN"/>
        </w:rPr>
        <w:t>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r>
        <w:rPr>
          <w:rFonts w:hint="eastAsia"/>
          <w:color w:val="auto"/>
          <w:highlight w:val="none"/>
          <w:lang w:eastAsia="zh-CN"/>
        </w:rPr>
        <w:t>。</w:t>
      </w:r>
    </w:p>
    <w:p>
      <w:pPr>
        <w:pStyle w:val="3"/>
        <w:bidi w:val="0"/>
        <w:rPr>
          <w:rFonts w:hint="eastAsia" w:eastAsia="黑体"/>
          <w:color w:val="auto"/>
          <w:highlight w:val="none"/>
          <w:lang w:val="en-US" w:eastAsia="zh-CN"/>
        </w:rPr>
      </w:pPr>
      <w:bookmarkStart w:id="2" w:name="_Toc13582_WPSOffice_Level1"/>
      <w:r>
        <w:rPr>
          <w:rFonts w:hint="eastAsia"/>
          <w:color w:val="auto"/>
          <w:highlight w:val="none"/>
          <w:lang w:val="en-US" w:eastAsia="zh-CN"/>
        </w:rPr>
        <w:t>三、</w:t>
      </w:r>
      <w:r>
        <w:rPr>
          <w:rFonts w:hint="eastAsia"/>
          <w:color w:val="auto"/>
          <w:highlight w:val="none"/>
        </w:rPr>
        <w:t>部门单位整体支出绩效</w:t>
      </w:r>
      <w:bookmarkEnd w:id="2"/>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8</w:t>
      </w:r>
      <w:r>
        <w:rPr>
          <w:rFonts w:hint="eastAsia"/>
          <w:color w:val="auto"/>
          <w:highlight w:val="none"/>
        </w:rPr>
        <w:t>个，三级指标</w:t>
      </w:r>
      <w:r>
        <w:rPr>
          <w:rFonts w:hint="eastAsia"/>
          <w:color w:val="auto"/>
          <w:highlight w:val="none"/>
          <w:lang w:val="en-US" w:eastAsia="zh-CN"/>
        </w:rPr>
        <w:t>8</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8</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numPr>
          <w:ilvl w:val="0"/>
          <w:numId w:val="3"/>
        </w:numPr>
        <w:bidi w:val="0"/>
        <w:rPr>
          <w:color w:val="auto"/>
          <w:highlight w:val="none"/>
        </w:rPr>
      </w:pPr>
      <w:r>
        <w:rPr>
          <w:rFonts w:hint="eastAsia"/>
          <w:color w:val="auto"/>
          <w:highlight w:val="none"/>
          <w:lang w:val="en-US" w:eastAsia="zh-CN"/>
        </w:rPr>
        <w:t>基本支出预算执行率</w:t>
      </w:r>
    </w:p>
    <w:p>
      <w:pPr>
        <w:bidi w:val="0"/>
        <w:rPr>
          <w:rFonts w:hint="eastAsia"/>
          <w:color w:val="auto"/>
          <w:highlight w:val="none"/>
          <w:lang w:val="en-US" w:eastAsia="zh-CN"/>
        </w:rPr>
      </w:pPr>
      <w:r>
        <w:rPr>
          <w:rFonts w:hint="eastAsia"/>
          <w:color w:val="auto"/>
          <w:highlight w:val="none"/>
          <w:lang w:val="en-US" w:eastAsia="zh-CN"/>
        </w:rPr>
        <w:t>“基本支出预算执行率”控制率指标年初设定目标是=100%，年中绩效运行监控时完成值54.6%，年终实际完成值是100%，指标完成率是100%，达到了“基本支出预算执行率”合理控制的预期目标。偏差原因：无偏差。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（二）在职人员经费保障人数指标完成情况分析</w:t>
      </w:r>
    </w:p>
    <w:p>
      <w:pPr>
        <w:pStyle w:val="4"/>
        <w:numPr>
          <w:ilvl w:val="0"/>
          <w:numId w:val="0"/>
        </w:numPr>
        <w:bidi w:val="0"/>
        <w:ind w:firstLine="560" w:firstLineChars="200"/>
        <w:rPr>
          <w:rFonts w:hint="default"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在职人员经费保障人数指标年初设定目标是&gt;=7人，年中绩效运行监控时完成值7人，年终实际完成值是</w:t>
      </w:r>
      <w:r>
        <w:rPr>
          <w:rFonts w:hint="eastAsia" w:cs="仿宋_GB2312"/>
          <w:b w:val="0"/>
          <w:bCs w:val="0"/>
          <w:color w:val="auto"/>
          <w:kern w:val="2"/>
          <w:sz w:val="28"/>
          <w:szCs w:val="24"/>
          <w:highlight w:val="none"/>
          <w:lang w:val="en-US" w:eastAsia="zh-CN" w:bidi="ar-SA"/>
        </w:rPr>
        <w:t>8人</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%，达到了职工人员工资</w:t>
      </w:r>
      <w:r>
        <w:rPr>
          <w:rFonts w:hint="eastAsia" w:cs="仿宋_GB2312"/>
          <w:b w:val="0"/>
          <w:bCs w:val="0"/>
          <w:color w:val="auto"/>
          <w:kern w:val="2"/>
          <w:sz w:val="28"/>
          <w:szCs w:val="24"/>
          <w:highlight w:val="none"/>
          <w:lang w:val="en-US" w:eastAsia="zh-CN" w:bidi="ar-SA"/>
        </w:rPr>
        <w:t>按时</w:t>
      </w:r>
      <w:r>
        <w:rPr>
          <w:rFonts w:hint="eastAsia" w:ascii="仿宋_GB2312" w:hAnsi="仿宋_GB2312" w:eastAsia="仿宋" w:cs="仿宋_GB2312"/>
          <w:b w:val="0"/>
          <w:bCs w:val="0"/>
          <w:color w:val="auto"/>
          <w:kern w:val="2"/>
          <w:sz w:val="28"/>
          <w:szCs w:val="24"/>
          <w:highlight w:val="none"/>
          <w:lang w:val="en-US" w:eastAsia="zh-CN" w:bidi="ar-SA"/>
        </w:rPr>
        <w:t>发放</w:t>
      </w:r>
      <w:r>
        <w:rPr>
          <w:rFonts w:hint="eastAsia" w:cs="仿宋_GB2312"/>
          <w:b w:val="0"/>
          <w:bCs w:val="0"/>
          <w:color w:val="auto"/>
          <w:kern w:val="2"/>
          <w:sz w:val="28"/>
          <w:szCs w:val="24"/>
          <w:highlight w:val="none"/>
          <w:lang w:val="en-US" w:eastAsia="zh-CN" w:bidi="ar-SA"/>
        </w:rPr>
        <w:t>、社保按时缴纳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的预期目标。偏差原因：本年考入1名新生。</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（三）基层医务人员培训人数指标完成情况分析</w:t>
      </w:r>
    </w:p>
    <w:p>
      <w:pPr>
        <w:numPr>
          <w:ilvl w:val="0"/>
          <w:numId w:val="0"/>
        </w:numPr>
        <w:ind w:firstLine="560" w:firstLineChars="200"/>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药品差价政策执行率指标年初设定目标是&gt;=</w:t>
      </w:r>
      <w:r>
        <w:rPr>
          <w:rFonts w:hint="eastAsia" w:cs="仿宋_GB2312"/>
          <w:b w:val="0"/>
          <w:bCs w:val="0"/>
          <w:color w:val="auto"/>
          <w:kern w:val="2"/>
          <w:sz w:val="28"/>
          <w:szCs w:val="24"/>
          <w:highlight w:val="none"/>
          <w:lang w:val="en-US" w:eastAsia="zh-CN" w:bidi="ar-SA"/>
        </w:rPr>
        <w:t>3</w:t>
      </w:r>
      <w:r>
        <w:rPr>
          <w:rFonts w:hint="eastAsia" w:ascii="仿宋_GB2312" w:hAnsi="仿宋_GB2312" w:eastAsia="仿宋" w:cs="仿宋_GB2312"/>
          <w:b w:val="0"/>
          <w:bCs w:val="0"/>
          <w:color w:val="auto"/>
          <w:kern w:val="2"/>
          <w:sz w:val="28"/>
          <w:szCs w:val="24"/>
          <w:highlight w:val="none"/>
          <w:lang w:val="en-US" w:eastAsia="zh-CN" w:bidi="ar-SA"/>
        </w:rPr>
        <w:t>人次，年中绩效运行监控时完成值</w:t>
      </w:r>
      <w:r>
        <w:rPr>
          <w:rFonts w:hint="eastAsia" w:cs="仿宋_GB2312"/>
          <w:b w:val="0"/>
          <w:bCs w:val="0"/>
          <w:color w:val="auto"/>
          <w:kern w:val="2"/>
          <w:sz w:val="28"/>
          <w:szCs w:val="24"/>
          <w:highlight w:val="none"/>
          <w:lang w:val="en-US" w:eastAsia="zh-CN" w:bidi="ar-SA"/>
        </w:rPr>
        <w:t>3</w:t>
      </w:r>
      <w:r>
        <w:rPr>
          <w:rFonts w:hint="eastAsia" w:ascii="仿宋_GB2312" w:hAnsi="仿宋_GB2312" w:eastAsia="仿宋" w:cs="仿宋_GB2312"/>
          <w:b w:val="0"/>
          <w:bCs w:val="0"/>
          <w:color w:val="auto"/>
          <w:kern w:val="2"/>
          <w:sz w:val="28"/>
          <w:szCs w:val="24"/>
          <w:highlight w:val="none"/>
          <w:lang w:val="en-US" w:eastAsia="zh-CN" w:bidi="ar-SA"/>
        </w:rPr>
        <w:t>人次，年终实际完成值是</w:t>
      </w:r>
      <w:r>
        <w:rPr>
          <w:rFonts w:hint="eastAsia" w:cs="仿宋_GB2312"/>
          <w:b w:val="0"/>
          <w:bCs w:val="0"/>
          <w:color w:val="auto"/>
          <w:kern w:val="2"/>
          <w:sz w:val="28"/>
          <w:szCs w:val="24"/>
          <w:highlight w:val="none"/>
          <w:lang w:val="en-US" w:eastAsia="zh-CN" w:bidi="ar-SA"/>
        </w:rPr>
        <w:t>3</w:t>
      </w:r>
      <w:r>
        <w:rPr>
          <w:rFonts w:hint="eastAsia" w:ascii="仿宋_GB2312" w:hAnsi="仿宋_GB2312" w:eastAsia="仿宋" w:cs="仿宋_GB2312"/>
          <w:b w:val="0"/>
          <w:bCs w:val="0"/>
          <w:color w:val="auto"/>
          <w:kern w:val="2"/>
          <w:sz w:val="28"/>
          <w:szCs w:val="24"/>
          <w:highlight w:val="none"/>
          <w:lang w:val="en-US" w:eastAsia="zh-CN" w:bidi="ar-SA"/>
        </w:rPr>
        <w:t>人次，指标完成率是100%，达到</w:t>
      </w:r>
      <w:r>
        <w:rPr>
          <w:rFonts w:hint="eastAsia" w:cs="仿宋_GB2312"/>
          <w:b w:val="0"/>
          <w:bCs w:val="0"/>
          <w:color w:val="auto"/>
          <w:kern w:val="2"/>
          <w:sz w:val="28"/>
          <w:szCs w:val="24"/>
          <w:highlight w:val="none"/>
          <w:lang w:val="en-US" w:eastAsia="zh-CN" w:bidi="ar-SA"/>
        </w:rPr>
        <w:t>了提升医务人员自身职业技能水平的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r>
        <w:rPr>
          <w:rFonts w:hint="eastAsia" w:cs="仿宋_GB2312"/>
          <w:b w:val="0"/>
          <w:bCs w:val="0"/>
          <w:color w:val="auto"/>
          <w:kern w:val="2"/>
          <w:sz w:val="28"/>
          <w:szCs w:val="24"/>
          <w:highlight w:val="none"/>
          <w:lang w:val="en-US" w:eastAsia="zh-CN" w:bidi="ar-SA"/>
        </w:rPr>
        <w:t>。</w:t>
      </w:r>
    </w:p>
    <w:p>
      <w:pPr>
        <w:pStyle w:val="4"/>
        <w:numPr>
          <w:ilvl w:val="0"/>
          <w:numId w:val="0"/>
        </w:numPr>
        <w:bidi w:val="0"/>
        <w:spacing w:before="0" w:beforeLines="0" w:line="240" w:lineRule="auto"/>
        <w:ind w:left="560" w:leftChars="0"/>
        <w:rPr>
          <w:rFonts w:hint="eastAsia"/>
          <w:color w:val="auto"/>
          <w:highlight w:val="none"/>
          <w:lang w:val="en-US" w:eastAsia="zh-CN"/>
        </w:rPr>
      </w:pPr>
      <w:r>
        <w:rPr>
          <w:rFonts w:hint="eastAsia"/>
          <w:color w:val="auto"/>
          <w:highlight w:val="none"/>
          <w:lang w:val="en-US" w:eastAsia="zh-CN"/>
        </w:rPr>
        <w:t>（四）人员经费保障率指标完成情况分析</w:t>
      </w:r>
    </w:p>
    <w:p>
      <w:pPr>
        <w:pStyle w:val="2"/>
        <w:ind w:left="0" w:leftChars="0" w:firstLine="600" w:firstLineChars="200"/>
        <w:rPr>
          <w:rFonts w:hint="eastAsia"/>
          <w:color w:val="auto"/>
          <w:highlight w:val="none"/>
          <w:lang w:val="en-US" w:eastAsia="zh-CN"/>
        </w:rPr>
      </w:pPr>
      <w:r>
        <w:rPr>
          <w:rFonts w:hint="eastAsia"/>
          <w:b w:val="0"/>
          <w:bCs w:val="0"/>
          <w:color w:val="auto"/>
          <w:highlight w:val="none"/>
          <w:lang w:val="en-US" w:eastAsia="zh-CN"/>
        </w:rPr>
        <w:t>人员经费保障率</w:t>
      </w:r>
      <w:r>
        <w:rPr>
          <w:rFonts w:hint="eastAsia" w:ascii="仿宋_GB2312" w:hAnsi="仿宋_GB2312" w:eastAsia="仿宋" w:cs="仿宋_GB2312"/>
          <w:b w:val="0"/>
          <w:bCs w:val="0"/>
          <w:color w:val="auto"/>
          <w:kern w:val="2"/>
          <w:sz w:val="28"/>
          <w:szCs w:val="24"/>
          <w:highlight w:val="none"/>
          <w:lang w:val="en-US" w:eastAsia="zh-CN" w:bidi="ar-SA"/>
        </w:rPr>
        <w:t>指标年初设定目标是=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达到了保障在职人员工资按时发放，社会保险及医疗保险按时足额缴纳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（五）提供医疗与护理保健服务率指标完成情况分析</w:t>
      </w:r>
    </w:p>
    <w:p>
      <w:pPr>
        <w:pStyle w:val="2"/>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提供医疗与护理保健服务率指标年初设定目标是&gt;=</w:t>
      </w:r>
      <w:r>
        <w:rPr>
          <w:rFonts w:hint="eastAsia" w:cs="仿宋_GB2312"/>
          <w:b w:val="0"/>
          <w:bCs w:val="0"/>
          <w:color w:val="auto"/>
          <w:kern w:val="2"/>
          <w:sz w:val="28"/>
          <w:szCs w:val="24"/>
          <w:highlight w:val="none"/>
          <w:lang w:val="en-US" w:eastAsia="zh-CN" w:bidi="ar-SA"/>
        </w:rPr>
        <w:t>90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提高了患者就医医疗与服务水平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（六）医保政策知晓率指标完成情况分析</w:t>
      </w:r>
    </w:p>
    <w:p>
      <w:pPr>
        <w:numPr>
          <w:ilvl w:val="0"/>
          <w:numId w:val="0"/>
        </w:numPr>
        <w:ind w:firstLine="560" w:firstLineChars="200"/>
        <w:rPr>
          <w:rFonts w:hint="eastAsia"/>
          <w:color w:val="auto"/>
          <w:highlight w:val="none"/>
          <w:lang w:val="en-US" w:eastAsia="zh-CN"/>
        </w:rPr>
      </w:pPr>
      <w:r>
        <w:rPr>
          <w:rFonts w:hint="eastAsia"/>
          <w:color w:val="auto"/>
          <w:highlight w:val="none"/>
          <w:lang w:val="en-US" w:eastAsia="zh-CN"/>
        </w:rPr>
        <w:t>医保政策知晓率指标年初设定目标是&gt;=85%，年中绩效运行监控时完成值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olor w:val="auto"/>
          <w:highlight w:val="none"/>
          <w:lang w:val="en-US" w:eastAsia="zh-CN"/>
        </w:rPr>
        <w:t>年终实际完成值是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olor w:val="auto"/>
          <w:highlight w:val="none"/>
          <w:lang w:val="en-US" w:eastAsia="zh-CN"/>
        </w:rPr>
        <w:t>指标完成率是100%，提高了居民对医保政策的理解和信任的预期目标。偏差原因：无偏差。</w:t>
      </w:r>
    </w:p>
    <w:p>
      <w:pPr>
        <w:pStyle w:val="2"/>
        <w:numPr>
          <w:ilvl w:val="0"/>
          <w:numId w:val="0"/>
        </w:numPr>
        <w:ind w:firstLine="643" w:firstLineChars="200"/>
        <w:rPr>
          <w:rFonts w:hint="eastAsia"/>
          <w:color w:val="auto"/>
          <w:highlight w:val="none"/>
          <w:lang w:val="en-US" w:eastAsia="zh-CN"/>
        </w:rPr>
      </w:pPr>
      <w:r>
        <w:rPr>
          <w:rFonts w:hint="eastAsia" w:ascii="Arial" w:hAnsi="Arial" w:eastAsia="楷体_GB2312" w:cs="仿宋_GB2312"/>
          <w:b/>
          <w:bCs w:val="0"/>
          <w:color w:val="auto"/>
          <w:kern w:val="2"/>
          <w:sz w:val="32"/>
          <w:szCs w:val="24"/>
          <w:highlight w:val="none"/>
          <w:lang w:val="en-US" w:eastAsia="zh-CN" w:bidi="ar-SA"/>
        </w:rPr>
        <w:t>（七）</w:t>
      </w:r>
      <w:r>
        <w:rPr>
          <w:rFonts w:hint="eastAsia"/>
          <w:color w:val="auto"/>
          <w:highlight w:val="none"/>
          <w:lang w:val="en-US" w:eastAsia="zh-CN"/>
        </w:rPr>
        <w:t>提升本辖区居民健康水平指标完成情况分析</w:t>
      </w:r>
    </w:p>
    <w:p>
      <w:pPr>
        <w:bidi w:val="0"/>
        <w:rPr>
          <w:rFonts w:hint="eastAsia"/>
          <w:b/>
          <w:bCs/>
          <w:color w:val="auto"/>
          <w:highlight w:val="none"/>
          <w:lang w:val="en-US" w:eastAsia="zh-CN"/>
        </w:rPr>
      </w:pPr>
      <w:r>
        <w:rPr>
          <w:rFonts w:hint="eastAsia"/>
          <w:color w:val="auto"/>
          <w:highlight w:val="none"/>
          <w:lang w:val="en-US" w:eastAsia="zh-CN"/>
        </w:rPr>
        <w:t>提升本辖区居民健康水平指标年初设定目标是&gt;=90%，年中绩效运行监控时完成值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olor w:val="auto"/>
          <w:highlight w:val="none"/>
          <w:lang w:val="en-US" w:eastAsia="zh-CN"/>
        </w:rPr>
        <w:t>年终实际完成值是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olor w:val="auto"/>
          <w:highlight w:val="none"/>
          <w:lang w:val="en-US" w:eastAsia="zh-CN"/>
        </w:rPr>
        <w:t>，指标完成率是100%，提高了本辖区居民健康水平的预期目标。偏差原因：无偏差。</w:t>
      </w:r>
    </w:p>
    <w:p>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（八）职工满意度指标完成情况分析</w:t>
      </w:r>
    </w:p>
    <w:p>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职工满意度指标年初设定目标是&gt;=90%，年中绩效运行监控时完成值未达监控节点，年终实际完成值是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olor w:val="auto"/>
          <w:highlight w:val="none"/>
          <w:lang w:val="en-US" w:eastAsia="zh-CN"/>
        </w:rPr>
        <w:t>指标完成率是100%，增强了员工的积极性，提高了工作效率，减少人员流失的预期目标。偏差原因：无偏差。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spacing w:line="560" w:lineRule="exact"/>
        <w:ind w:firstLine="560" w:firstLineChars="200"/>
        <w:rPr>
          <w:rFonts w:hint="default"/>
          <w:color w:val="auto"/>
          <w:highlight w:val="none"/>
          <w:lang w:eastAsia="zh-CN"/>
        </w:rPr>
      </w:pPr>
      <w:r>
        <w:rPr>
          <w:rFonts w:hint="default"/>
          <w:color w:val="auto"/>
          <w:highlight w:val="none"/>
          <w:lang w:eastAsia="zh-CN"/>
        </w:rPr>
        <w:t>2023年，</w:t>
      </w:r>
      <w:r>
        <w:rPr>
          <w:rFonts w:hint="default"/>
          <w:color w:val="auto"/>
          <w:highlight w:val="none"/>
          <w:lang w:val="en-US" w:eastAsia="zh-CN"/>
        </w:rPr>
        <w:t>和静县</w:t>
      </w:r>
      <w:r>
        <w:rPr>
          <w:rFonts w:hint="eastAsia"/>
          <w:color w:val="auto"/>
          <w:highlight w:val="none"/>
          <w:lang w:val="en-US" w:eastAsia="zh-CN"/>
        </w:rPr>
        <w:t>巴音乌鲁分院</w:t>
      </w:r>
      <w:r>
        <w:rPr>
          <w:rFonts w:hint="default"/>
          <w:color w:val="auto"/>
          <w:highlight w:val="none"/>
          <w:lang w:eastAsia="zh-CN"/>
        </w:rPr>
        <w:t>坚持以习近平新时代中国特色社会主义重要思想</w:t>
      </w:r>
      <w:bookmarkStart w:id="5" w:name="_GoBack"/>
      <w:bookmarkEnd w:id="5"/>
      <w:r>
        <w:rPr>
          <w:rFonts w:hint="default"/>
          <w:color w:val="auto"/>
          <w:highlight w:val="none"/>
          <w:lang w:eastAsia="zh-CN"/>
        </w:rPr>
        <w:t>为指导，深入贯彻党的</w:t>
      </w:r>
      <w:r>
        <w:rPr>
          <w:rFonts w:hint="default"/>
          <w:color w:val="auto"/>
          <w:highlight w:val="none"/>
          <w:lang w:val="en-US" w:eastAsia="zh-CN"/>
        </w:rPr>
        <w:t>二十</w:t>
      </w:r>
      <w:r>
        <w:rPr>
          <w:rFonts w:hint="default"/>
          <w:color w:val="auto"/>
          <w:highlight w:val="none"/>
          <w:lang w:eastAsia="zh-CN"/>
        </w:rPr>
        <w:t>大精神</w:t>
      </w:r>
      <w:r>
        <w:rPr>
          <w:rFonts w:hint="eastAsia"/>
          <w:color w:val="auto"/>
          <w:highlight w:val="none"/>
          <w:lang w:eastAsia="zh-CN"/>
        </w:rPr>
        <w:t>，</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w:t>
      </w:r>
      <w:r>
        <w:rPr>
          <w:rFonts w:hint="eastAsia"/>
          <w:color w:val="auto"/>
          <w:highlight w:val="none"/>
          <w:lang w:val="en-US" w:eastAsia="zh-CN"/>
        </w:rPr>
        <w:t>我辖区居民</w:t>
      </w:r>
      <w:r>
        <w:rPr>
          <w:rFonts w:hint="default"/>
          <w:color w:val="auto"/>
          <w:highlight w:val="none"/>
          <w:lang w:eastAsia="zh-CN"/>
        </w:rPr>
        <w:t>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p>
    <w:p>
      <w:pPr>
        <w:pStyle w:val="3"/>
        <w:numPr>
          <w:ilvl w:val="0"/>
          <w:numId w:val="4"/>
        </w:numPr>
        <w:bidi w:val="0"/>
        <w:ind w:left="0" w:leftChars="0" w:firstLine="640" w:firstLineChars="200"/>
        <w:rPr>
          <w:rFonts w:hint="eastAsia"/>
          <w:color w:val="auto"/>
          <w:highlight w:val="none"/>
          <w:lang w:val="en-US" w:eastAsia="zh-CN"/>
        </w:rPr>
      </w:pPr>
      <w:bookmarkStart w:id="3" w:name="_Toc22800_WPSOffice_Level1"/>
      <w:r>
        <w:rPr>
          <w:rFonts w:hint="eastAsia"/>
          <w:color w:val="auto"/>
          <w:highlight w:val="none"/>
        </w:rPr>
        <w:t>存在的主要问题</w:t>
      </w:r>
      <w:bookmarkEnd w:id="3"/>
      <w:r>
        <w:rPr>
          <w:rFonts w:hint="eastAsia"/>
          <w:color w:val="auto"/>
          <w:highlight w:val="none"/>
          <w:lang w:val="en-US" w:eastAsia="zh-CN"/>
        </w:rPr>
        <w:t>及原因分析</w:t>
      </w:r>
    </w:p>
    <w:p>
      <w:pPr>
        <w:spacing w:line="360" w:lineRule="auto"/>
        <w:ind w:firstLine="560" w:firstLineChars="200"/>
        <w:jc w:val="left"/>
        <w:rPr>
          <w:rFonts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pPr>
        <w:numPr>
          <w:ilvl w:val="0"/>
          <w:numId w:val="5"/>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pPr>
        <w:numPr>
          <w:ilvl w:val="0"/>
          <w:numId w:val="5"/>
        </w:numPr>
        <w:spacing w:line="360" w:lineRule="auto"/>
        <w:ind w:firstLine="560" w:firstLineChars="200"/>
        <w:jc w:val="left"/>
        <w:rPr>
          <w:rFonts w:hint="eastAsia" w:ascii="Times New Roman" w:hAnsi="Times New Roman" w:cs="Times New Roman"/>
          <w:color w:val="auto"/>
          <w:kern w:val="0"/>
          <w:szCs w:val="28"/>
          <w:highlight w:val="none"/>
          <w:lang w:val="en-US" w:eastAsia="zh-CN"/>
        </w:rPr>
      </w:pPr>
      <w:r>
        <w:rPr>
          <w:rFonts w:hint="eastAsia" w:ascii="Times New Roman" w:hAnsi="Times New Roman" w:cs="Times New Roman"/>
          <w:color w:val="auto"/>
          <w:kern w:val="0"/>
          <w:szCs w:val="28"/>
          <w:highlight w:val="none"/>
          <w:lang w:val="en-US" w:eastAsia="zh-CN"/>
        </w:rPr>
        <w:t>年初预算的编制未细化到每个科室，医院属于业务型单位，突发公共事件、紧急采购、临时维修、培训学习等项目较多，因此对于追加的预算资金，没有进行预算分解，涉及追加预算资金的预算管理仅从总额进行控制。</w:t>
      </w:r>
    </w:p>
    <w:p>
      <w:pPr>
        <w:pStyle w:val="3"/>
        <w:bidi w:val="0"/>
        <w:rPr>
          <w:rFonts w:hint="eastAsia"/>
          <w:color w:val="auto"/>
          <w:highlight w:val="none"/>
        </w:rPr>
      </w:pPr>
      <w:bookmarkStart w:id="4" w:name="_Toc29546_WPSOffice_Level1"/>
      <w:r>
        <w:rPr>
          <w:rFonts w:hint="eastAsia"/>
          <w:color w:val="auto"/>
          <w:highlight w:val="none"/>
          <w:lang w:val="en-US" w:eastAsia="zh-CN"/>
        </w:rPr>
        <w:t>六、</w:t>
      </w:r>
      <w:r>
        <w:rPr>
          <w:rFonts w:hint="eastAsia"/>
          <w:color w:val="auto"/>
          <w:highlight w:val="none"/>
        </w:rPr>
        <w:t>改进措施和建议</w:t>
      </w:r>
      <w:bookmarkEnd w:id="4"/>
    </w:p>
    <w:p>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rPr>
          <w:rFonts w:hint="eastAsia"/>
          <w:color w:val="auto"/>
          <w:highlight w:val="none"/>
        </w:rPr>
      </w:pPr>
    </w:p>
    <w:p>
      <w:pPr>
        <w:bidi w:val="0"/>
        <w:rPr>
          <w:rFonts w:hint="eastAsia" w:ascii="黑体" w:hAnsi="黑体" w:eastAsia="黑体" w:cs="黑体"/>
          <w:b/>
          <w:bCs/>
          <w:color w:val="auto"/>
          <w:sz w:val="32"/>
          <w:szCs w:val="32"/>
          <w:highlight w:val="none"/>
          <w:lang w:val="en-US" w:eastAsia="zh-CN"/>
        </w:rPr>
      </w:pPr>
      <w:r>
        <w:rPr>
          <w:rFonts w:hint="eastAsia" w:ascii="黑体" w:hAnsi="黑体" w:eastAsia="黑体" w:cs="黑体"/>
          <w:b/>
          <w:bCs/>
          <w:color w:val="auto"/>
          <w:sz w:val="32"/>
          <w:szCs w:val="32"/>
          <w:highlight w:val="none"/>
          <w:lang w:val="en-US" w:eastAsia="zh-CN"/>
        </w:rPr>
        <w:t>七、附件上传</w:t>
      </w: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5EAF67"/>
    <w:multiLevelType w:val="singleLevel"/>
    <w:tmpl w:val="F05EAF67"/>
    <w:lvl w:ilvl="0" w:tentative="0">
      <w:start w:val="1"/>
      <w:numFmt w:val="decimal"/>
      <w:suff w:val="nothing"/>
      <w:lvlText w:val="%1、"/>
      <w:lvlJc w:val="left"/>
    </w:lvl>
  </w:abstractNum>
  <w:abstractNum w:abstractNumId="1">
    <w:nsid w:val="1F4C4E0F"/>
    <w:multiLevelType w:val="singleLevel"/>
    <w:tmpl w:val="1F4C4E0F"/>
    <w:lvl w:ilvl="0" w:tentative="0">
      <w:start w:val="1"/>
      <w:numFmt w:val="chineseCounting"/>
      <w:suff w:val="nothing"/>
      <w:lvlText w:val="（%1）"/>
      <w:lvlJc w:val="left"/>
      <w:rPr>
        <w:rFonts w:hint="eastAsia"/>
      </w:rPr>
    </w:lvl>
  </w:abstractNum>
  <w:abstractNum w:abstractNumId="2">
    <w:nsid w:val="2A2C6F6F"/>
    <w:multiLevelType w:val="singleLevel"/>
    <w:tmpl w:val="2A2C6F6F"/>
    <w:lvl w:ilvl="0" w:tentative="0">
      <w:start w:val="1"/>
      <w:numFmt w:val="decimalEnclosedCircleChinese"/>
      <w:suff w:val="nothing"/>
      <w:lvlText w:val="%1　"/>
      <w:lvlJc w:val="left"/>
      <w:pPr>
        <w:ind w:left="160" w:firstLine="400"/>
      </w:pPr>
      <w:rPr>
        <w:rFonts w:hint="eastAsia"/>
      </w:rPr>
    </w:lvl>
  </w:abstractNum>
  <w:abstractNum w:abstractNumId="3">
    <w:nsid w:val="3E228427"/>
    <w:multiLevelType w:val="singleLevel"/>
    <w:tmpl w:val="3E228427"/>
    <w:lvl w:ilvl="0" w:tentative="0">
      <w:start w:val="5"/>
      <w:numFmt w:val="chineseCounting"/>
      <w:suff w:val="nothing"/>
      <w:lvlText w:val="%1、"/>
      <w:lvlJc w:val="left"/>
      <w:rPr>
        <w:rFonts w:hint="eastAsia"/>
      </w:rPr>
    </w:lvl>
  </w:abstractNum>
  <w:abstractNum w:abstractNumId="4">
    <w:nsid w:val="6F612B8B"/>
    <w:multiLevelType w:val="singleLevel"/>
    <w:tmpl w:val="6F612B8B"/>
    <w:lvl w:ilvl="0" w:tentative="0">
      <w:start w:val="2"/>
      <w:numFmt w:val="chineseCounting"/>
      <w:suff w:val="nothing"/>
      <w:lvlText w:val="（%1）"/>
      <w:lvlJc w:val="left"/>
      <w:rPr>
        <w:rFonts w:hint="eastAsia"/>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72A86"/>
    <w:rsid w:val="00491D09"/>
    <w:rsid w:val="004E1483"/>
    <w:rsid w:val="0054132C"/>
    <w:rsid w:val="005B1250"/>
    <w:rsid w:val="006258B7"/>
    <w:rsid w:val="00633862"/>
    <w:rsid w:val="00643BE3"/>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84114"/>
    <w:rsid w:val="00EB1FFE"/>
    <w:rsid w:val="00F326C7"/>
    <w:rsid w:val="00F84215"/>
    <w:rsid w:val="00FF2ACD"/>
    <w:rsid w:val="01162728"/>
    <w:rsid w:val="012008EE"/>
    <w:rsid w:val="013B41EB"/>
    <w:rsid w:val="01941124"/>
    <w:rsid w:val="01BC68B7"/>
    <w:rsid w:val="01CC583F"/>
    <w:rsid w:val="02337D11"/>
    <w:rsid w:val="02610413"/>
    <w:rsid w:val="02C40969"/>
    <w:rsid w:val="02D50DC8"/>
    <w:rsid w:val="0337738D"/>
    <w:rsid w:val="04163446"/>
    <w:rsid w:val="045F6B9B"/>
    <w:rsid w:val="04DB4953"/>
    <w:rsid w:val="04FF0482"/>
    <w:rsid w:val="05062887"/>
    <w:rsid w:val="05464D81"/>
    <w:rsid w:val="05CA59F1"/>
    <w:rsid w:val="05F70F85"/>
    <w:rsid w:val="0607573C"/>
    <w:rsid w:val="06547701"/>
    <w:rsid w:val="06FF4665"/>
    <w:rsid w:val="071E0F8F"/>
    <w:rsid w:val="072B19D6"/>
    <w:rsid w:val="084208C4"/>
    <w:rsid w:val="087D5842"/>
    <w:rsid w:val="08A90D2D"/>
    <w:rsid w:val="095962AF"/>
    <w:rsid w:val="098A3C0A"/>
    <w:rsid w:val="09A24E4E"/>
    <w:rsid w:val="09DF42DA"/>
    <w:rsid w:val="0A375D4C"/>
    <w:rsid w:val="0A565781"/>
    <w:rsid w:val="0A87276B"/>
    <w:rsid w:val="0A9A7091"/>
    <w:rsid w:val="0B8B417D"/>
    <w:rsid w:val="0BC1013B"/>
    <w:rsid w:val="0BE36304"/>
    <w:rsid w:val="0C00695E"/>
    <w:rsid w:val="0C254A1B"/>
    <w:rsid w:val="0C6738B8"/>
    <w:rsid w:val="0C803B53"/>
    <w:rsid w:val="0CC02029"/>
    <w:rsid w:val="0CF06F2A"/>
    <w:rsid w:val="0CF11C7D"/>
    <w:rsid w:val="0D26294C"/>
    <w:rsid w:val="0D533015"/>
    <w:rsid w:val="0E7D784C"/>
    <w:rsid w:val="0E87566C"/>
    <w:rsid w:val="0E9D4E90"/>
    <w:rsid w:val="0F1D7D7F"/>
    <w:rsid w:val="0F612DA3"/>
    <w:rsid w:val="0F615EBD"/>
    <w:rsid w:val="0FC73292"/>
    <w:rsid w:val="101271B8"/>
    <w:rsid w:val="10300946"/>
    <w:rsid w:val="10A1053B"/>
    <w:rsid w:val="10FE60D7"/>
    <w:rsid w:val="115A5EBE"/>
    <w:rsid w:val="11F052D6"/>
    <w:rsid w:val="12587CF9"/>
    <w:rsid w:val="134F7771"/>
    <w:rsid w:val="138309AD"/>
    <w:rsid w:val="13A05616"/>
    <w:rsid w:val="13E513B9"/>
    <w:rsid w:val="14085134"/>
    <w:rsid w:val="141D43FE"/>
    <w:rsid w:val="14627FE2"/>
    <w:rsid w:val="14A800EA"/>
    <w:rsid w:val="1527393E"/>
    <w:rsid w:val="15791F29"/>
    <w:rsid w:val="158C5316"/>
    <w:rsid w:val="15A847B7"/>
    <w:rsid w:val="15B904C0"/>
    <w:rsid w:val="160F7CF5"/>
    <w:rsid w:val="16287735"/>
    <w:rsid w:val="165C118C"/>
    <w:rsid w:val="172D035F"/>
    <w:rsid w:val="175D58E3"/>
    <w:rsid w:val="177C13BA"/>
    <w:rsid w:val="17D2722C"/>
    <w:rsid w:val="18061B60"/>
    <w:rsid w:val="185C36C6"/>
    <w:rsid w:val="189D7DFD"/>
    <w:rsid w:val="18B85447"/>
    <w:rsid w:val="18E13B03"/>
    <w:rsid w:val="190C3DF8"/>
    <w:rsid w:val="192F2B88"/>
    <w:rsid w:val="19AA4D08"/>
    <w:rsid w:val="19F83E30"/>
    <w:rsid w:val="1AA80E44"/>
    <w:rsid w:val="1B403139"/>
    <w:rsid w:val="1B662AAD"/>
    <w:rsid w:val="1BCA6B98"/>
    <w:rsid w:val="1C6D319F"/>
    <w:rsid w:val="1C737230"/>
    <w:rsid w:val="1CD557F5"/>
    <w:rsid w:val="1D322C47"/>
    <w:rsid w:val="1D384A93"/>
    <w:rsid w:val="1D4D74D6"/>
    <w:rsid w:val="1DA11B7B"/>
    <w:rsid w:val="1DBE272D"/>
    <w:rsid w:val="1DE32CFD"/>
    <w:rsid w:val="1E366767"/>
    <w:rsid w:val="1E5303AE"/>
    <w:rsid w:val="1EB51D82"/>
    <w:rsid w:val="1EFF4DAB"/>
    <w:rsid w:val="1F1A602A"/>
    <w:rsid w:val="1F2854B6"/>
    <w:rsid w:val="20146634"/>
    <w:rsid w:val="20AD6033"/>
    <w:rsid w:val="21717AB6"/>
    <w:rsid w:val="217D20CE"/>
    <w:rsid w:val="21C67E02"/>
    <w:rsid w:val="21C768CD"/>
    <w:rsid w:val="220F3557"/>
    <w:rsid w:val="228E4DC3"/>
    <w:rsid w:val="228F4698"/>
    <w:rsid w:val="22B10AB2"/>
    <w:rsid w:val="22E14253"/>
    <w:rsid w:val="23931BB2"/>
    <w:rsid w:val="23F209A3"/>
    <w:rsid w:val="2403516E"/>
    <w:rsid w:val="241035B6"/>
    <w:rsid w:val="2415065A"/>
    <w:rsid w:val="2435301D"/>
    <w:rsid w:val="245E4322"/>
    <w:rsid w:val="24E71FCC"/>
    <w:rsid w:val="24EC7B7F"/>
    <w:rsid w:val="256A2A9E"/>
    <w:rsid w:val="257162D7"/>
    <w:rsid w:val="25C63C72"/>
    <w:rsid w:val="26031625"/>
    <w:rsid w:val="268B3412"/>
    <w:rsid w:val="26BB5A5B"/>
    <w:rsid w:val="27F7226E"/>
    <w:rsid w:val="2805537E"/>
    <w:rsid w:val="288E0F4E"/>
    <w:rsid w:val="289437EE"/>
    <w:rsid w:val="292A336C"/>
    <w:rsid w:val="292C0E92"/>
    <w:rsid w:val="297873DB"/>
    <w:rsid w:val="29C410CB"/>
    <w:rsid w:val="29F35E61"/>
    <w:rsid w:val="2A285817"/>
    <w:rsid w:val="2A390259"/>
    <w:rsid w:val="2A641244"/>
    <w:rsid w:val="2AD92954"/>
    <w:rsid w:val="2B6F150A"/>
    <w:rsid w:val="2B822FEC"/>
    <w:rsid w:val="2B9C671C"/>
    <w:rsid w:val="2BB557CB"/>
    <w:rsid w:val="2BC51751"/>
    <w:rsid w:val="2D166684"/>
    <w:rsid w:val="2D984D48"/>
    <w:rsid w:val="2DDE76C8"/>
    <w:rsid w:val="2E840E29"/>
    <w:rsid w:val="2E8B12D6"/>
    <w:rsid w:val="2EBF757D"/>
    <w:rsid w:val="2EF835C5"/>
    <w:rsid w:val="2F9E0595"/>
    <w:rsid w:val="305667F5"/>
    <w:rsid w:val="31085D41"/>
    <w:rsid w:val="31215055"/>
    <w:rsid w:val="313A1C72"/>
    <w:rsid w:val="31927D00"/>
    <w:rsid w:val="31AE39CE"/>
    <w:rsid w:val="31B83F5F"/>
    <w:rsid w:val="31E81F23"/>
    <w:rsid w:val="324C4353"/>
    <w:rsid w:val="328E2AB6"/>
    <w:rsid w:val="329B12EA"/>
    <w:rsid w:val="329B2BE5"/>
    <w:rsid w:val="32C1089D"/>
    <w:rsid w:val="32D81743"/>
    <w:rsid w:val="32FB1A54"/>
    <w:rsid w:val="331A3077"/>
    <w:rsid w:val="33291F9F"/>
    <w:rsid w:val="33A01558"/>
    <w:rsid w:val="33A83F87"/>
    <w:rsid w:val="340D2D0F"/>
    <w:rsid w:val="340D366E"/>
    <w:rsid w:val="348F1A9E"/>
    <w:rsid w:val="34BC3BD5"/>
    <w:rsid w:val="34D04DC8"/>
    <w:rsid w:val="35341CB5"/>
    <w:rsid w:val="355C2B3F"/>
    <w:rsid w:val="356B4AF0"/>
    <w:rsid w:val="35AC1BFA"/>
    <w:rsid w:val="35D27E03"/>
    <w:rsid w:val="35F12468"/>
    <w:rsid w:val="362D1DA6"/>
    <w:rsid w:val="36851B5C"/>
    <w:rsid w:val="37645C9B"/>
    <w:rsid w:val="37661A13"/>
    <w:rsid w:val="379871D0"/>
    <w:rsid w:val="37BA58BB"/>
    <w:rsid w:val="37D360CA"/>
    <w:rsid w:val="38CB5066"/>
    <w:rsid w:val="38E054C9"/>
    <w:rsid w:val="38E5105E"/>
    <w:rsid w:val="393873DF"/>
    <w:rsid w:val="397B107A"/>
    <w:rsid w:val="39AA4541"/>
    <w:rsid w:val="39D013C6"/>
    <w:rsid w:val="3A565DE9"/>
    <w:rsid w:val="3A7A1463"/>
    <w:rsid w:val="3A802DEC"/>
    <w:rsid w:val="3AC36A27"/>
    <w:rsid w:val="3ADB2718"/>
    <w:rsid w:val="3B1B48C3"/>
    <w:rsid w:val="3B327257"/>
    <w:rsid w:val="3B4A3407"/>
    <w:rsid w:val="3BBA40DC"/>
    <w:rsid w:val="3BF27D19"/>
    <w:rsid w:val="3E624571"/>
    <w:rsid w:val="3F2B709E"/>
    <w:rsid w:val="3F301058"/>
    <w:rsid w:val="3F4A5777"/>
    <w:rsid w:val="40384169"/>
    <w:rsid w:val="41630D72"/>
    <w:rsid w:val="417A34F9"/>
    <w:rsid w:val="418810F4"/>
    <w:rsid w:val="41A37673"/>
    <w:rsid w:val="41D5429B"/>
    <w:rsid w:val="42503F5E"/>
    <w:rsid w:val="4258271B"/>
    <w:rsid w:val="427F607F"/>
    <w:rsid w:val="4292190E"/>
    <w:rsid w:val="42AE618F"/>
    <w:rsid w:val="42B20202"/>
    <w:rsid w:val="42C30950"/>
    <w:rsid w:val="42C6780A"/>
    <w:rsid w:val="459B4F7E"/>
    <w:rsid w:val="45A65C7F"/>
    <w:rsid w:val="45F13359"/>
    <w:rsid w:val="464253F9"/>
    <w:rsid w:val="468C2A4A"/>
    <w:rsid w:val="46AD2493"/>
    <w:rsid w:val="46EC7F14"/>
    <w:rsid w:val="46EE732F"/>
    <w:rsid w:val="477517FF"/>
    <w:rsid w:val="47CA7D9C"/>
    <w:rsid w:val="47DB3D58"/>
    <w:rsid w:val="480D0379"/>
    <w:rsid w:val="480D1A37"/>
    <w:rsid w:val="48194880"/>
    <w:rsid w:val="484279D0"/>
    <w:rsid w:val="48594C7C"/>
    <w:rsid w:val="48AF4C7F"/>
    <w:rsid w:val="49957F36"/>
    <w:rsid w:val="49D92519"/>
    <w:rsid w:val="4A5B46DD"/>
    <w:rsid w:val="4A6F6A56"/>
    <w:rsid w:val="4A81677A"/>
    <w:rsid w:val="4AA743C5"/>
    <w:rsid w:val="4AFC316A"/>
    <w:rsid w:val="4B3B5348"/>
    <w:rsid w:val="4B622640"/>
    <w:rsid w:val="4B751DCD"/>
    <w:rsid w:val="4DA177B2"/>
    <w:rsid w:val="4DA370C6"/>
    <w:rsid w:val="4DF36D4F"/>
    <w:rsid w:val="4E037827"/>
    <w:rsid w:val="4E2C132C"/>
    <w:rsid w:val="4E564138"/>
    <w:rsid w:val="4E5C7274"/>
    <w:rsid w:val="4F893200"/>
    <w:rsid w:val="4FD32054"/>
    <w:rsid w:val="501B7C76"/>
    <w:rsid w:val="502E69EF"/>
    <w:rsid w:val="503C110B"/>
    <w:rsid w:val="504D5CCF"/>
    <w:rsid w:val="50AF18DD"/>
    <w:rsid w:val="50E27F05"/>
    <w:rsid w:val="511A2CA6"/>
    <w:rsid w:val="51A76A58"/>
    <w:rsid w:val="51BA2C30"/>
    <w:rsid w:val="5243507E"/>
    <w:rsid w:val="524D7411"/>
    <w:rsid w:val="528079D5"/>
    <w:rsid w:val="530F6FAB"/>
    <w:rsid w:val="533A7469"/>
    <w:rsid w:val="53526129"/>
    <w:rsid w:val="538B4CD8"/>
    <w:rsid w:val="53A21BCD"/>
    <w:rsid w:val="5411465D"/>
    <w:rsid w:val="54394F3D"/>
    <w:rsid w:val="5454111A"/>
    <w:rsid w:val="54C0102B"/>
    <w:rsid w:val="55102317"/>
    <w:rsid w:val="553B7BE4"/>
    <w:rsid w:val="55472A2C"/>
    <w:rsid w:val="55E24503"/>
    <w:rsid w:val="563F54B2"/>
    <w:rsid w:val="564B3E56"/>
    <w:rsid w:val="565F61A9"/>
    <w:rsid w:val="56AD4B11"/>
    <w:rsid w:val="57232FC4"/>
    <w:rsid w:val="572D2326"/>
    <w:rsid w:val="57365691"/>
    <w:rsid w:val="58BC103B"/>
    <w:rsid w:val="590B5B1F"/>
    <w:rsid w:val="592D1F39"/>
    <w:rsid w:val="595456C0"/>
    <w:rsid w:val="59EE1E48"/>
    <w:rsid w:val="5A490F5C"/>
    <w:rsid w:val="5AF22227"/>
    <w:rsid w:val="5B184523"/>
    <w:rsid w:val="5B67083D"/>
    <w:rsid w:val="5B805E16"/>
    <w:rsid w:val="5BD21464"/>
    <w:rsid w:val="5BDE2B83"/>
    <w:rsid w:val="5C777282"/>
    <w:rsid w:val="5D042FB1"/>
    <w:rsid w:val="5F105C3D"/>
    <w:rsid w:val="5F571ABE"/>
    <w:rsid w:val="5FBE38EB"/>
    <w:rsid w:val="5FF23595"/>
    <w:rsid w:val="5FFE63DD"/>
    <w:rsid w:val="60752978"/>
    <w:rsid w:val="60FB1121"/>
    <w:rsid w:val="61020404"/>
    <w:rsid w:val="610A2B60"/>
    <w:rsid w:val="61635F72"/>
    <w:rsid w:val="618606C5"/>
    <w:rsid w:val="61930DA7"/>
    <w:rsid w:val="61C732C5"/>
    <w:rsid w:val="61F53810"/>
    <w:rsid w:val="62065A1D"/>
    <w:rsid w:val="6224402D"/>
    <w:rsid w:val="63244046"/>
    <w:rsid w:val="63442359"/>
    <w:rsid w:val="6384067A"/>
    <w:rsid w:val="638D125E"/>
    <w:rsid w:val="6396333E"/>
    <w:rsid w:val="63D87F09"/>
    <w:rsid w:val="63E114D3"/>
    <w:rsid w:val="64A31301"/>
    <w:rsid w:val="64CD0D44"/>
    <w:rsid w:val="651D5558"/>
    <w:rsid w:val="65501489"/>
    <w:rsid w:val="65735178"/>
    <w:rsid w:val="66052B24"/>
    <w:rsid w:val="662B31CD"/>
    <w:rsid w:val="662F5543"/>
    <w:rsid w:val="66BC67C3"/>
    <w:rsid w:val="672F7562"/>
    <w:rsid w:val="676204CA"/>
    <w:rsid w:val="67876CB8"/>
    <w:rsid w:val="69AB1384"/>
    <w:rsid w:val="6A576E16"/>
    <w:rsid w:val="6A845731"/>
    <w:rsid w:val="6AD46D46"/>
    <w:rsid w:val="6B07083C"/>
    <w:rsid w:val="6B623CC4"/>
    <w:rsid w:val="6B6C65E0"/>
    <w:rsid w:val="6BBA3B00"/>
    <w:rsid w:val="6BC009EB"/>
    <w:rsid w:val="6C2B67AC"/>
    <w:rsid w:val="6CB31465"/>
    <w:rsid w:val="6D233542"/>
    <w:rsid w:val="6D714693"/>
    <w:rsid w:val="6DD30EA9"/>
    <w:rsid w:val="6DE07909"/>
    <w:rsid w:val="6E492F1A"/>
    <w:rsid w:val="6E58438A"/>
    <w:rsid w:val="6E7066F8"/>
    <w:rsid w:val="6E880046"/>
    <w:rsid w:val="6E9543B1"/>
    <w:rsid w:val="6E9D5508"/>
    <w:rsid w:val="6EA2262A"/>
    <w:rsid w:val="6EB5235D"/>
    <w:rsid w:val="6EFB3EE0"/>
    <w:rsid w:val="6F871359"/>
    <w:rsid w:val="7077120D"/>
    <w:rsid w:val="70F57389"/>
    <w:rsid w:val="71030A39"/>
    <w:rsid w:val="711B7F18"/>
    <w:rsid w:val="713954C7"/>
    <w:rsid w:val="71EB22B3"/>
    <w:rsid w:val="72010FA6"/>
    <w:rsid w:val="723F4D5F"/>
    <w:rsid w:val="726631D8"/>
    <w:rsid w:val="72B16072"/>
    <w:rsid w:val="72D11BED"/>
    <w:rsid w:val="7318441C"/>
    <w:rsid w:val="733F48EB"/>
    <w:rsid w:val="73702CF6"/>
    <w:rsid w:val="74212849"/>
    <w:rsid w:val="744C1D4E"/>
    <w:rsid w:val="7480340D"/>
    <w:rsid w:val="748A4F72"/>
    <w:rsid w:val="74961819"/>
    <w:rsid w:val="74BB61F3"/>
    <w:rsid w:val="750202C6"/>
    <w:rsid w:val="752E4C17"/>
    <w:rsid w:val="75664078"/>
    <w:rsid w:val="757F68C2"/>
    <w:rsid w:val="761262E7"/>
    <w:rsid w:val="761E4132"/>
    <w:rsid w:val="77721097"/>
    <w:rsid w:val="78061A79"/>
    <w:rsid w:val="78072707"/>
    <w:rsid w:val="782A7918"/>
    <w:rsid w:val="78915BE9"/>
    <w:rsid w:val="78C31B1A"/>
    <w:rsid w:val="79181486"/>
    <w:rsid w:val="79674B9C"/>
    <w:rsid w:val="799C2A97"/>
    <w:rsid w:val="7A184717"/>
    <w:rsid w:val="7A680BCB"/>
    <w:rsid w:val="7AE2097E"/>
    <w:rsid w:val="7AFE508C"/>
    <w:rsid w:val="7B2561EC"/>
    <w:rsid w:val="7BC003CA"/>
    <w:rsid w:val="7BF87D2D"/>
    <w:rsid w:val="7C01660C"/>
    <w:rsid w:val="7CB93960"/>
    <w:rsid w:val="7CBF4BB4"/>
    <w:rsid w:val="7CD5227A"/>
    <w:rsid w:val="7CE16A13"/>
    <w:rsid w:val="7DCC321F"/>
    <w:rsid w:val="7E132BFC"/>
    <w:rsid w:val="7E53749D"/>
    <w:rsid w:val="7E5D346D"/>
    <w:rsid w:val="7ECC4CE0"/>
    <w:rsid w:val="7ECE71D0"/>
    <w:rsid w:val="7EE84089"/>
    <w:rsid w:val="7F923FF5"/>
    <w:rsid w:val="7FB83A5B"/>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9</Pages>
  <Words>10225</Words>
  <Characters>10776</Characters>
  <Lines>7</Lines>
  <Paragraphs>2</Paragraphs>
  <TotalTime>2</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2024-08-11T08:35:17Z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