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bidi w:val="0"/>
        <w:ind w:left="560" w:leftChars="200" w:firstLine="0" w:firstLineChars="0"/>
        <w:rPr>
          <w:rFonts w:hint="eastAsia"/>
          <w:color w:val="auto"/>
          <w:highlight w:val="none"/>
          <w:lang w:val="en-US" w:eastAsia="zh-CN"/>
        </w:rPr>
      </w:pPr>
      <w:r>
        <w:rPr>
          <w:rFonts w:hint="eastAsia"/>
          <w:color w:val="auto"/>
          <w:highlight w:val="none"/>
          <w:lang w:val="en-US" w:eastAsia="zh-CN"/>
        </w:rPr>
        <w:t>和静县巴音布鲁克镇卫生防疫妇幼保健分站主要职责是：</w:t>
      </w:r>
      <w:r>
        <w:rPr>
          <w:rFonts w:hint="eastAsia"/>
          <w:color w:val="auto"/>
          <w:highlight w:val="none"/>
          <w:lang w:val="en-US" w:eastAsia="zh-CN"/>
        </w:rPr>
        <w:cr/>
      </w:r>
      <w:r>
        <w:rPr>
          <w:rFonts w:hint="eastAsia"/>
          <w:color w:val="auto"/>
          <w:highlight w:val="none"/>
          <w:lang w:val="en-US" w:eastAsia="zh-CN"/>
        </w:rPr>
        <w:t>（1）全镇疾病监测、疾病预防控制</w:t>
      </w:r>
      <w:r>
        <w:rPr>
          <w:rFonts w:hint="eastAsia"/>
          <w:color w:val="auto"/>
          <w:highlight w:val="none"/>
          <w:lang w:val="en-US" w:eastAsia="zh-CN"/>
        </w:rPr>
        <w:cr/>
      </w:r>
      <w:r>
        <w:rPr>
          <w:rFonts w:hint="eastAsia"/>
          <w:color w:val="auto"/>
          <w:highlight w:val="none"/>
          <w:lang w:val="en-US" w:eastAsia="zh-CN"/>
        </w:rPr>
        <w:t>（2）计划免疫管理及计划免疫疫苗的接种、传染病防治</w:t>
      </w:r>
      <w:r>
        <w:rPr>
          <w:rFonts w:hint="eastAsia"/>
          <w:color w:val="auto"/>
          <w:highlight w:val="none"/>
          <w:lang w:val="en-US" w:eastAsia="zh-CN"/>
        </w:rPr>
        <w:cr/>
      </w:r>
      <w:r>
        <w:rPr>
          <w:rFonts w:hint="eastAsia"/>
          <w:color w:val="auto"/>
          <w:highlight w:val="none"/>
          <w:lang w:val="en-US" w:eastAsia="zh-CN"/>
        </w:rPr>
        <w:t>（3）巴音布鲁克镇及巩乃斯镇的卫生监督作用。</w:t>
      </w:r>
    </w:p>
    <w:p>
      <w:pPr>
        <w:spacing w:line="600" w:lineRule="exact"/>
        <w:jc w:val="left"/>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2.部门机构设置及人员构成</w:t>
      </w:r>
    </w:p>
    <w:p>
      <w:pPr>
        <w:bidi w:val="0"/>
        <w:rPr>
          <w:rFonts w:hint="eastAsia" w:eastAsia="仿宋_GB2312"/>
          <w:color w:val="auto"/>
          <w:highlight w:val="none"/>
          <w:lang w:val="en-US" w:eastAsia="zh-CN"/>
        </w:rPr>
      </w:pPr>
      <w:r>
        <w:rPr>
          <w:rFonts w:hint="eastAsia"/>
          <w:color w:val="auto"/>
          <w:highlight w:val="none"/>
          <w:lang w:val="en-US" w:eastAsia="zh-CN"/>
        </w:rPr>
        <w:t>和静县巴音布鲁克镇卫生防疫妇幼保健分站机构设置：无下属预算单位，内设4个科室，分别是：财务室、免疫室、档案室、接种室。和静县巴音布鲁克镇卫生防疫妇幼保健分站人员总数4名，其中：在职3名，退休1名。实有人员4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bidi w:val="0"/>
        <w:rPr>
          <w:rFonts w:hint="eastAsia"/>
          <w:color w:val="auto"/>
          <w:highlight w:val="none"/>
          <w:lang w:val="en-US" w:eastAsia="zh-CN"/>
        </w:rPr>
      </w:pPr>
      <w:r>
        <w:rPr>
          <w:rFonts w:hint="eastAsia"/>
          <w:color w:val="auto"/>
          <w:highlight w:val="none"/>
          <w:lang w:val="en-US" w:eastAsia="zh-CN"/>
        </w:rPr>
        <w:t>1、公共场所卫生监督。配合县卫生监督局对全镇40家公共场所（包括：住宿业、美容美发、超市、公共浴室）进行监督检查。加大卫生执法力度，增加监督频次，提升了卫生监督质量，监督覆盖率达100%。开展公共场所卫生知识培训班，在监督检查中对存在问题，卫生监督员进行现场培训，指导从业人员依据相关法律法规规范开展工作。并及时进行回头看，确保问题整改到位。</w:t>
      </w:r>
    </w:p>
    <w:p>
      <w:pPr>
        <w:bidi w:val="0"/>
        <w:rPr>
          <w:rFonts w:hint="eastAsia"/>
          <w:color w:val="auto"/>
          <w:highlight w:val="none"/>
          <w:lang w:val="en-US" w:eastAsia="zh-CN"/>
        </w:rPr>
      </w:pPr>
      <w:r>
        <w:rPr>
          <w:rFonts w:hint="eastAsia"/>
          <w:color w:val="auto"/>
          <w:highlight w:val="none"/>
          <w:lang w:val="en-US" w:eastAsia="zh-CN"/>
        </w:rPr>
        <w:t>2、配合县卫生监督局对全镇1所学校开展卫生监督检查工作。根据《学校卫生工作条例》，对学校教学环境卫生、传染病和常见病防控等工作进行检查监督，监督覆盖率100%。依据《2023年学校卫生自治州监督抽检工作计划表》，现场开展了教室课桌椅、黑板、采光、照明进行了检测，并开展了学校卫生综合监督评价。</w:t>
      </w:r>
    </w:p>
    <w:p>
      <w:pPr>
        <w:bidi w:val="0"/>
        <w:rPr>
          <w:rFonts w:hint="eastAsia"/>
          <w:color w:val="auto"/>
          <w:highlight w:val="none"/>
          <w:lang w:val="en-US" w:eastAsia="zh-CN"/>
        </w:rPr>
      </w:pPr>
      <w:r>
        <w:rPr>
          <w:rFonts w:hint="eastAsia"/>
          <w:color w:val="auto"/>
          <w:highlight w:val="none"/>
          <w:lang w:val="en-US" w:eastAsia="zh-CN"/>
        </w:rPr>
        <w:t xml:space="preserve">3、医疗机构和传染病监督检查：对全镇11家医疗机构开展专项监督检查，检查内容包括：传染病各项制度及上报情况等。下达卫生监督意见书，并对发现的问题当场下发卫生监督意见书，并及时将整改情况进行回头看，确保各医疗机构能够快速准确地整改到位，筑牢医疗卫生机构防控密网，确保我县传染病预防工作安全有效开展。  </w:t>
      </w:r>
    </w:p>
    <w:p>
      <w:pPr>
        <w:bidi w:val="0"/>
        <w:rPr>
          <w:rFonts w:hint="eastAsia"/>
          <w:color w:val="auto"/>
          <w:highlight w:val="none"/>
          <w:lang w:val="en-US" w:eastAsia="zh-CN"/>
        </w:rPr>
      </w:pPr>
      <w:r>
        <w:rPr>
          <w:rFonts w:hint="eastAsia"/>
          <w:color w:val="auto"/>
          <w:highlight w:val="none"/>
          <w:lang w:val="en-US" w:eastAsia="zh-CN"/>
        </w:rPr>
        <w:t>4、重大社会活动卫生监管。为了2023年东归那达慕大会顺利召开。我站在县卫生计生综合监督执法局的带领下2023年7月至8月份对巴音布鲁克镇、巩乃斯镇的公共场所（宾馆、酒店、旅社、公共浴室、美发店及牧家乐、风情园）和医疗机构进行了为期20天的专项监督检查。</w:t>
      </w:r>
    </w:p>
    <w:p>
      <w:pPr>
        <w:bidi w:val="0"/>
        <w:rPr>
          <w:rFonts w:hint="eastAsia"/>
          <w:color w:val="auto"/>
          <w:highlight w:val="none"/>
          <w:lang w:val="en-US" w:eastAsia="zh-CN"/>
        </w:rPr>
      </w:pPr>
      <w:r>
        <w:rPr>
          <w:rFonts w:hint="eastAsia"/>
          <w:color w:val="auto"/>
          <w:highlight w:val="none"/>
          <w:lang w:val="en-US" w:eastAsia="zh-CN"/>
        </w:rPr>
        <w:t>5、在巴音布鲁克镇举办两期公共场所从业人员培训班，共80余名负责人和从业人员参加了培训。为全面规范业主依法经营行为，维护消费者的健康权益打下坚实基础。</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我单位年初预算数为44.47万元，实际预算执行数44.11万元，预算执行率为99.2%。</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全年预算数为44.11元，全年实际支出资金44.11万元，预算执行率为100%。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44.47</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0.36</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44.11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0.81</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0.81</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44.11</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44.11</w:t>
      </w:r>
      <w:r>
        <w:rPr>
          <w:rFonts w:hint="default"/>
          <w:color w:val="auto"/>
          <w:highlight w:val="none"/>
          <w:lang w:val="en-US" w:eastAsia="zh-CN"/>
        </w:rPr>
        <w:t>万元，资金的使用方向为我单位机关人员经费支出</w:t>
      </w:r>
      <w:r>
        <w:rPr>
          <w:rFonts w:hint="eastAsia"/>
          <w:color w:val="auto"/>
          <w:highlight w:val="none"/>
          <w:lang w:val="en-US" w:eastAsia="zh-CN"/>
        </w:rPr>
        <w:t>43.68万</w:t>
      </w:r>
      <w:r>
        <w:rPr>
          <w:rFonts w:hint="default"/>
          <w:color w:val="auto"/>
          <w:highlight w:val="none"/>
          <w:lang w:val="en-US" w:eastAsia="zh-CN"/>
        </w:rPr>
        <w:t>元,日常公用经费支出</w:t>
      </w:r>
      <w:r>
        <w:rPr>
          <w:rFonts w:hint="eastAsia"/>
          <w:color w:val="auto"/>
          <w:highlight w:val="none"/>
          <w:lang w:val="en-US" w:eastAsia="zh-CN"/>
        </w:rPr>
        <w:t>0.43万</w:t>
      </w:r>
      <w:r>
        <w:rPr>
          <w:rFonts w:hint="default"/>
          <w:color w:val="auto"/>
          <w:highlight w:val="none"/>
          <w:lang w:val="en-US" w:eastAsia="zh-CN"/>
        </w:rPr>
        <w:t>元</w:t>
      </w:r>
      <w:r>
        <w:rPr>
          <w:rFonts w:hint="eastAsia"/>
          <w:color w:val="auto"/>
          <w:highlight w:val="none"/>
          <w:lang w:val="en-US" w:eastAsia="zh-CN"/>
        </w:rPr>
        <w:t>,主要用于保障人员工资及人员医保、社保、住房公积金等缴费，单位办公用品购买及车辆燃油费及维修等方面支出。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基本支出预算是指为保障部门正常运转、完成日常工作任务而制定的本单位人员薪酬福利支出计划和日常办公经费支出计划，可分为人员经费支出和公用经费支出。2023年我单位基本支出全年预算总额44.11</w:t>
      </w:r>
      <w:r>
        <w:rPr>
          <w:rFonts w:hint="default"/>
          <w:color w:val="auto"/>
          <w:highlight w:val="none"/>
          <w:lang w:val="en-US" w:eastAsia="zh-CN"/>
        </w:rPr>
        <w:t>万</w:t>
      </w:r>
      <w:r>
        <w:rPr>
          <w:rFonts w:hint="eastAsia"/>
          <w:color w:val="auto"/>
          <w:highlight w:val="none"/>
          <w:lang w:val="en-US" w:eastAsia="zh-CN"/>
        </w:rPr>
        <w:t>元，全年实际支出44.11</w:t>
      </w:r>
      <w:r>
        <w:rPr>
          <w:rFonts w:hint="default"/>
          <w:color w:val="auto"/>
          <w:highlight w:val="none"/>
          <w:lang w:val="en-US" w:eastAsia="zh-CN"/>
        </w:rPr>
        <w:t>万</w:t>
      </w:r>
      <w:r>
        <w:rPr>
          <w:rFonts w:hint="eastAsia"/>
          <w:color w:val="auto"/>
          <w:highlight w:val="none"/>
          <w:lang w:val="en-US" w:eastAsia="zh-CN"/>
        </w:rPr>
        <w:t>元，资金执行率100</w:t>
      </w:r>
      <w:r>
        <w:rPr>
          <w:rFonts w:hint="eastAsia" w:ascii="Times New Roman" w:hAnsi="Times New Roman" w:cs="Times New Roman"/>
          <w:bCs/>
          <w:color w:val="auto"/>
          <w:highlight w:val="none"/>
          <w:lang w:eastAsia="zh-CN"/>
        </w:rPr>
        <w:t>%</w:t>
      </w:r>
      <w:r>
        <w:rPr>
          <w:rFonts w:hint="eastAsia"/>
          <w:color w:val="auto"/>
          <w:highlight w:val="none"/>
          <w:lang w:val="en-US" w:eastAsia="zh-CN"/>
        </w:rPr>
        <w:t>。基本支出严格按照财务管理制度执行，其中：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人员经费支出43.68</w:t>
      </w:r>
      <w:r>
        <w:rPr>
          <w:rFonts w:hint="default"/>
          <w:color w:val="auto"/>
          <w:highlight w:val="none"/>
          <w:lang w:val="en-US" w:eastAsia="zh-CN"/>
        </w:rPr>
        <w:t>万</w:t>
      </w:r>
      <w:r>
        <w:rPr>
          <w:rFonts w:hint="eastAsia"/>
          <w:color w:val="auto"/>
          <w:highlight w:val="none"/>
          <w:lang w:val="en-US" w:eastAsia="zh-CN"/>
        </w:rPr>
        <w:t>元，主要包括：基本工资、津贴补贴、奖金、绩效工资、机关事业单位基本养老保险缴费、职业年金缴费、职工基本医疗保险缴费、其他社会保障缴费、住房公积金、其他工资福利支出、退休费、奖励金等。</w:t>
      </w:r>
    </w:p>
    <w:p>
      <w:pPr>
        <w:bidi w:val="0"/>
        <w:rPr>
          <w:rFonts w:hint="eastAsia"/>
          <w:color w:val="auto"/>
          <w:highlight w:val="none"/>
          <w:lang w:val="en-US" w:eastAsia="zh-CN"/>
        </w:rPr>
      </w:pPr>
      <w:r>
        <w:rPr>
          <w:rFonts w:hint="eastAsia"/>
          <w:color w:val="auto"/>
          <w:highlight w:val="none"/>
          <w:lang w:val="en-US" w:eastAsia="zh-CN"/>
        </w:rPr>
        <w:t>公用经费支出0.43</w:t>
      </w:r>
      <w:r>
        <w:rPr>
          <w:rFonts w:hint="default"/>
          <w:color w:val="auto"/>
          <w:highlight w:val="none"/>
          <w:lang w:val="en-US" w:eastAsia="zh-CN"/>
        </w:rPr>
        <w:t>万</w:t>
      </w:r>
      <w:r>
        <w:rPr>
          <w:rFonts w:hint="eastAsia"/>
          <w:color w:val="auto"/>
          <w:highlight w:val="none"/>
          <w:lang w:val="en-US" w:eastAsia="zh-CN"/>
        </w:rPr>
        <w:t>元，主要包括：办公费。</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b w:val="0"/>
          <w:bCs w:val="0"/>
          <w:color w:val="auto"/>
          <w:highlight w:val="none"/>
          <w:lang w:val="en-US" w:eastAsia="zh-CN"/>
        </w:rPr>
      </w:pPr>
      <w:r>
        <w:rPr>
          <w:rFonts w:hint="eastAsia"/>
          <w:b w:val="0"/>
          <w:bCs w:val="0"/>
          <w:color w:val="auto"/>
          <w:highlight w:val="none"/>
          <w:lang w:val="en-US" w:eastAsia="zh-CN"/>
        </w:rPr>
        <w:t>我单位全年未安排项目支出。</w:t>
      </w:r>
    </w:p>
    <w:p>
      <w:pPr>
        <w:pStyle w:val="3"/>
        <w:bidi w:val="0"/>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16</w:t>
      </w:r>
      <w:r>
        <w:rPr>
          <w:rFonts w:hint="eastAsia"/>
          <w:color w:val="auto"/>
          <w:highlight w:val="none"/>
        </w:rPr>
        <w:t>个，三级指标</w:t>
      </w:r>
      <w:r>
        <w:rPr>
          <w:rFonts w:hint="eastAsia"/>
          <w:color w:val="auto"/>
          <w:highlight w:val="none"/>
          <w:lang w:val="en-US" w:eastAsia="zh-CN"/>
        </w:rPr>
        <w:t>16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15</w:t>
      </w:r>
      <w:r>
        <w:rPr>
          <w:rFonts w:hint="eastAsia"/>
          <w:color w:val="auto"/>
          <w:highlight w:val="none"/>
          <w:lang w:eastAsia="zh-CN"/>
        </w:rPr>
        <w:t>个，指标完成率为</w:t>
      </w:r>
      <w:r>
        <w:rPr>
          <w:rFonts w:hint="eastAsia"/>
          <w:color w:val="auto"/>
          <w:highlight w:val="none"/>
          <w:lang w:val="en-US" w:eastAsia="zh-CN"/>
        </w:rPr>
        <w:t>93.75</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一）“三公经费”控制率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“三公经费”控制率指标年初设定目标是100%，年中绩效运行监控时完成值100%，年终实际完成值是100%，指标完成率是100%，达到厉行节约保障资金正常运行的预期目标。偏差原因：无。</w:t>
      </w:r>
    </w:p>
    <w:p>
      <w:pPr>
        <w:pStyle w:val="4"/>
        <w:bidi w:val="0"/>
        <w:rPr>
          <w:rFonts w:hint="eastAsia"/>
          <w:color w:val="auto"/>
          <w:highlight w:val="none"/>
          <w:lang w:val="en-US" w:eastAsia="zh-CN"/>
        </w:rPr>
      </w:pPr>
      <w:r>
        <w:rPr>
          <w:rFonts w:hint="eastAsia"/>
          <w:color w:val="auto"/>
          <w:highlight w:val="none"/>
          <w:lang w:val="en-US" w:eastAsia="zh-CN"/>
        </w:rPr>
        <w:t>（二）保障人员人数指标完成情况分析</w:t>
      </w:r>
    </w:p>
    <w:p>
      <w:pPr>
        <w:keepNext/>
        <w:keepLines w:val="0"/>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保障人员人数指标年初设定目标是&gt;=4人，年中绩效运行监控时完成值4人，年终实际完成值是3人，指标完成率是75%，达到足额保障3位职工的预期目标。偏差原因：年初指标设置有误。整改方式：设定年初目标前做好充分的调查研究，精准设定年初目标值，避免因目标值不准确产生偏差。</w:t>
      </w:r>
    </w:p>
    <w:p>
      <w:pPr>
        <w:pStyle w:val="4"/>
        <w:bidi w:val="0"/>
        <w:rPr>
          <w:rFonts w:hint="eastAsia"/>
          <w:color w:val="auto"/>
          <w:highlight w:val="none"/>
          <w:lang w:val="en-US" w:eastAsia="zh-CN"/>
        </w:rPr>
      </w:pPr>
      <w:r>
        <w:rPr>
          <w:rFonts w:hint="eastAsia"/>
          <w:color w:val="auto"/>
          <w:highlight w:val="none"/>
          <w:lang w:val="en-US" w:eastAsia="zh-CN"/>
        </w:rPr>
        <w:t>（三）开展医疗机构、传染病防治监督户数指标完成情况分析</w:t>
      </w:r>
    </w:p>
    <w:p>
      <w:pPr>
        <w:bidi w:val="0"/>
        <w:rPr>
          <w:rFonts w:hint="eastAsia"/>
          <w:color w:val="auto"/>
          <w:highlight w:val="none"/>
          <w:lang w:val="en-US" w:eastAsia="zh-CN"/>
        </w:rPr>
      </w:pPr>
      <w:r>
        <w:rPr>
          <w:rFonts w:hint="eastAsia"/>
          <w:color w:val="auto"/>
          <w:highlight w:val="none"/>
          <w:lang w:val="en-US" w:eastAsia="zh-CN"/>
        </w:rPr>
        <w:t>开展医疗机构、传染病防治监督户数指标年初设定目标是&gt;=11户，年中绩效运行监控时完成值5户，年终实际完成值是11户，指标完成率是100%，达到传染病预防工作安全有效开展覆盖率100%的预期目标。偏差原因：无。</w:t>
      </w:r>
    </w:p>
    <w:p>
      <w:pPr>
        <w:pStyle w:val="4"/>
        <w:bidi w:val="0"/>
        <w:rPr>
          <w:rFonts w:hint="eastAsia"/>
          <w:color w:val="auto"/>
          <w:highlight w:val="none"/>
          <w:lang w:val="en-US" w:eastAsia="zh-CN"/>
        </w:rPr>
      </w:pPr>
      <w:r>
        <w:rPr>
          <w:rFonts w:hint="eastAsia"/>
          <w:color w:val="auto"/>
          <w:highlight w:val="none"/>
          <w:lang w:val="en-US" w:eastAsia="zh-CN"/>
        </w:rPr>
        <w:t>（四）公共场所卫生监督户数指标完成情况分析</w:t>
      </w:r>
    </w:p>
    <w:p>
      <w:pPr>
        <w:bidi w:val="0"/>
        <w:rPr>
          <w:rFonts w:hint="eastAsia"/>
          <w:color w:val="auto"/>
          <w:highlight w:val="none"/>
          <w:lang w:val="en-US" w:eastAsia="zh-CN"/>
        </w:rPr>
      </w:pPr>
      <w:r>
        <w:rPr>
          <w:rFonts w:hint="eastAsia"/>
          <w:color w:val="auto"/>
          <w:highlight w:val="none"/>
          <w:lang w:val="en-US" w:eastAsia="zh-CN"/>
        </w:rPr>
        <w:t>公共场所卫生监督户数指标年初设定目标是&gt;=40户，年中绩效运行监控时完成值26户，年终实际完成值是40户，指标完成率是100%，达到卫生监督员进行现场培训，指导从业人员依据相关法律法规规范开展工作覆盖率100%的预期目标。偏差原因：无。</w:t>
      </w:r>
    </w:p>
    <w:p>
      <w:pPr>
        <w:pStyle w:val="4"/>
        <w:bidi w:val="0"/>
        <w:rPr>
          <w:rFonts w:hint="eastAsia"/>
          <w:color w:val="auto"/>
          <w:highlight w:val="none"/>
          <w:lang w:val="en-US" w:eastAsia="zh-CN"/>
        </w:rPr>
      </w:pPr>
      <w:r>
        <w:rPr>
          <w:rFonts w:hint="eastAsia"/>
          <w:color w:val="auto"/>
          <w:highlight w:val="none"/>
          <w:lang w:val="en-US" w:eastAsia="zh-CN"/>
        </w:rPr>
        <w:t>（五）开展学校卫生监督户数指标完成情况分析</w:t>
      </w:r>
    </w:p>
    <w:p>
      <w:pPr>
        <w:bidi w:val="0"/>
        <w:rPr>
          <w:rFonts w:hint="eastAsia"/>
          <w:color w:val="auto"/>
          <w:highlight w:val="none"/>
          <w:lang w:val="en-US" w:eastAsia="zh-CN"/>
        </w:rPr>
      </w:pPr>
      <w:r>
        <w:rPr>
          <w:rFonts w:hint="eastAsia"/>
          <w:color w:val="auto"/>
          <w:highlight w:val="none"/>
          <w:lang w:val="en-US" w:eastAsia="zh-CN"/>
        </w:rPr>
        <w:t>开展学校卫生监督户数指标年初设定目标是&gt;=1户，年中绩效运行监控时完成值1户，年终实际完成值是1户，指标完成率是100%，达到开展教学环境卫生、传染病防控、学校饮用水卫生管理工作等方面检查率100%的预期目标。偏差原因：无。</w:t>
      </w:r>
    </w:p>
    <w:p>
      <w:pPr>
        <w:pStyle w:val="4"/>
        <w:bidi w:val="0"/>
        <w:rPr>
          <w:rFonts w:hint="eastAsia"/>
          <w:color w:val="auto"/>
          <w:highlight w:val="none"/>
          <w:lang w:val="en-US" w:eastAsia="zh-CN"/>
        </w:rPr>
      </w:pPr>
      <w:r>
        <w:rPr>
          <w:rFonts w:hint="eastAsia"/>
          <w:color w:val="auto"/>
          <w:highlight w:val="none"/>
          <w:lang w:val="en-US" w:eastAsia="zh-CN"/>
        </w:rPr>
        <w:t>（六）开展管理相对人的宣传培训人次指标完成情况分析</w:t>
      </w:r>
    </w:p>
    <w:p>
      <w:pPr>
        <w:bidi w:val="0"/>
        <w:rPr>
          <w:rFonts w:hint="eastAsia"/>
          <w:color w:val="auto"/>
          <w:highlight w:val="none"/>
          <w:lang w:val="en-US" w:eastAsia="zh-CN"/>
        </w:rPr>
      </w:pPr>
      <w:r>
        <w:rPr>
          <w:rFonts w:hint="eastAsia"/>
          <w:color w:val="auto"/>
          <w:highlight w:val="none"/>
          <w:lang w:val="en-US" w:eastAsia="zh-CN"/>
        </w:rPr>
        <w:t>开展管理相对人的宣传培训人次指标年初设定目标是&gt;=80人次，年中绩效运行监控时完成值53人次，年终实际完成值是80人次，指标完成率是100%，达到卫生监督员进行现场培训，指导从业人员依据相关法律法规规范开展工作率100%的预期目标。偏差原因：无。</w:t>
      </w:r>
    </w:p>
    <w:p>
      <w:pPr>
        <w:pStyle w:val="4"/>
        <w:bidi w:val="0"/>
        <w:rPr>
          <w:rFonts w:hint="eastAsia"/>
          <w:color w:val="auto"/>
          <w:highlight w:val="none"/>
          <w:lang w:val="en-US" w:eastAsia="zh-CN"/>
        </w:rPr>
      </w:pPr>
      <w:r>
        <w:rPr>
          <w:rFonts w:hint="eastAsia"/>
          <w:color w:val="auto"/>
          <w:highlight w:val="none"/>
          <w:lang w:val="en-US" w:eastAsia="zh-CN"/>
        </w:rPr>
        <w:t>（七）单位退休人员人数指标完成情况分析</w:t>
      </w:r>
    </w:p>
    <w:p>
      <w:pPr>
        <w:bidi w:val="0"/>
        <w:rPr>
          <w:rFonts w:hint="eastAsia"/>
          <w:color w:val="auto"/>
          <w:highlight w:val="none"/>
          <w:lang w:val="en-US" w:eastAsia="zh-CN"/>
        </w:rPr>
      </w:pPr>
      <w:r>
        <w:rPr>
          <w:rFonts w:hint="eastAsia"/>
          <w:color w:val="auto"/>
          <w:highlight w:val="none"/>
          <w:lang w:val="en-US" w:eastAsia="zh-CN"/>
        </w:rPr>
        <w:t>单位退休人员人数指标年初设定目标是&gt;=1人，年中绩效运行监控时完成值1人，年终实际完成值是1人，指标完成率是100%，达到工资发放、确保单位各项工作有序开展预期目标。偏差原因：无。</w:t>
      </w:r>
    </w:p>
    <w:p>
      <w:pPr>
        <w:pStyle w:val="4"/>
        <w:bidi w:val="0"/>
        <w:rPr>
          <w:rFonts w:hint="eastAsia"/>
          <w:color w:val="auto"/>
          <w:highlight w:val="none"/>
          <w:lang w:val="en-US" w:eastAsia="zh-CN"/>
        </w:rPr>
      </w:pPr>
      <w:r>
        <w:rPr>
          <w:rFonts w:hint="eastAsia"/>
          <w:color w:val="auto"/>
          <w:highlight w:val="none"/>
          <w:lang w:val="en-US" w:eastAsia="zh-CN"/>
        </w:rPr>
        <w:t>（八）卫生监督覆盖率指标完成情况分析</w:t>
      </w:r>
    </w:p>
    <w:p>
      <w:pPr>
        <w:bidi w:val="0"/>
        <w:rPr>
          <w:rFonts w:hint="eastAsia"/>
          <w:color w:val="auto"/>
          <w:highlight w:val="none"/>
          <w:lang w:val="en-US" w:eastAsia="zh-CN"/>
        </w:rPr>
      </w:pPr>
      <w:r>
        <w:rPr>
          <w:rFonts w:hint="eastAsia"/>
          <w:color w:val="auto"/>
          <w:highlight w:val="none"/>
          <w:lang w:val="en-US" w:eastAsia="zh-CN"/>
        </w:rPr>
        <w:t>卫生监督覆盖率指标年初设定目标是=100%，年中绩效运行监控时完成值100%，年终实际完成值是100%，指标完成率是100%，达到加大卫生执法力度，增加监督频次，提升了卫生监督质量覆盖率100%的预期目标。偏差原因：无。</w:t>
      </w:r>
    </w:p>
    <w:p>
      <w:pPr>
        <w:pStyle w:val="4"/>
        <w:bidi w:val="0"/>
        <w:rPr>
          <w:rFonts w:hint="eastAsia"/>
          <w:color w:val="auto"/>
          <w:highlight w:val="none"/>
          <w:lang w:val="en-US" w:eastAsia="zh-CN"/>
        </w:rPr>
      </w:pPr>
      <w:r>
        <w:rPr>
          <w:rFonts w:hint="eastAsia"/>
          <w:color w:val="auto"/>
          <w:highlight w:val="none"/>
          <w:lang w:val="en-US" w:eastAsia="zh-CN"/>
        </w:rPr>
        <w:t>（九）对管理相对人的宣传和培训覆盖率指标完成情况分析</w:t>
      </w:r>
    </w:p>
    <w:p>
      <w:pPr>
        <w:bidi w:val="0"/>
        <w:rPr>
          <w:rFonts w:hint="eastAsia"/>
          <w:color w:val="auto"/>
          <w:highlight w:val="none"/>
          <w:lang w:val="en-US" w:eastAsia="zh-CN"/>
        </w:rPr>
      </w:pPr>
      <w:r>
        <w:rPr>
          <w:rFonts w:hint="eastAsia"/>
          <w:color w:val="auto"/>
          <w:highlight w:val="none"/>
          <w:lang w:val="en-US" w:eastAsia="zh-CN"/>
        </w:rPr>
        <w:t>对管理相对人的宣传和培训覆盖率指标年初设定目标是&gt;=90%，年中绩效运行监控时完成值100%，年终实际完成值是100%，指标完成率是100%，达到卫生监督员进行现场培训，指导从业人员依据相关法律法规规范开展工作率100%的预期目标。偏差原因：无</w:t>
      </w:r>
    </w:p>
    <w:p>
      <w:pPr>
        <w:pStyle w:val="4"/>
        <w:bidi w:val="0"/>
        <w:rPr>
          <w:rFonts w:hint="eastAsia"/>
          <w:color w:val="auto"/>
          <w:highlight w:val="none"/>
          <w:lang w:val="en-US" w:eastAsia="zh-CN"/>
        </w:rPr>
      </w:pPr>
      <w:r>
        <w:rPr>
          <w:rFonts w:hint="eastAsia"/>
          <w:color w:val="auto"/>
          <w:highlight w:val="none"/>
          <w:lang w:val="en-US" w:eastAsia="zh-CN"/>
        </w:rPr>
        <w:t>（十）开展管理相对人的宣传培训合格率指标完成情况分析</w:t>
      </w:r>
    </w:p>
    <w:p>
      <w:pPr>
        <w:bidi w:val="0"/>
        <w:rPr>
          <w:rFonts w:hint="eastAsia"/>
          <w:color w:val="auto"/>
          <w:highlight w:val="none"/>
          <w:lang w:val="en-US" w:eastAsia="zh-CN"/>
        </w:rPr>
      </w:pPr>
      <w:r>
        <w:rPr>
          <w:rFonts w:hint="eastAsia"/>
          <w:color w:val="auto"/>
          <w:highlight w:val="none"/>
          <w:lang w:val="en-US" w:eastAsia="zh-CN"/>
        </w:rPr>
        <w:t>开展管理相对人的宣传培训合格率指标年初设定目标是&gt;=90%，年中绩效运行监控时完成值100%，年终实际完成值是100%，指标完成率是100%，达到卫生监督员进行现场培训，指导从业人员依据相关法律法规规范开展工作合格率100%的预期目标。偏差原因：无。</w:t>
      </w:r>
    </w:p>
    <w:p>
      <w:pPr>
        <w:pStyle w:val="4"/>
        <w:bidi w:val="0"/>
        <w:rPr>
          <w:rFonts w:hint="eastAsia"/>
          <w:color w:val="auto"/>
          <w:highlight w:val="none"/>
          <w:lang w:val="en-US" w:eastAsia="zh-CN"/>
        </w:rPr>
      </w:pPr>
      <w:r>
        <w:rPr>
          <w:rFonts w:hint="eastAsia"/>
          <w:color w:val="auto"/>
          <w:highlight w:val="none"/>
          <w:lang w:val="en-US" w:eastAsia="zh-CN"/>
        </w:rPr>
        <w:t>（十一）人员及经费保障率指标完成情况分析</w:t>
      </w:r>
    </w:p>
    <w:p>
      <w:pPr>
        <w:bidi w:val="0"/>
        <w:rPr>
          <w:rFonts w:hint="eastAsia"/>
          <w:color w:val="auto"/>
          <w:highlight w:val="none"/>
          <w:lang w:val="en-US" w:eastAsia="zh-CN"/>
        </w:rPr>
      </w:pPr>
      <w:r>
        <w:rPr>
          <w:rFonts w:hint="eastAsia"/>
          <w:color w:val="auto"/>
          <w:highlight w:val="none"/>
          <w:lang w:val="en-US" w:eastAsia="zh-CN"/>
        </w:rPr>
        <w:t>人员及经费保障率指标年初设定目标是=100%，年中绩效运行监控时完成值51.46%，年终实际完成值是100%，指标完成率是100%，达到人员工资按时发放和日常办公运转经费，确保单位各项工作有序开展指标完成率100%的预期目标。偏差原因：无。</w:t>
      </w:r>
    </w:p>
    <w:p>
      <w:pPr>
        <w:pStyle w:val="4"/>
        <w:bidi w:val="0"/>
        <w:rPr>
          <w:rFonts w:hint="eastAsia"/>
          <w:color w:val="auto"/>
          <w:highlight w:val="none"/>
          <w:lang w:val="en-US" w:eastAsia="zh-CN"/>
        </w:rPr>
      </w:pPr>
      <w:r>
        <w:rPr>
          <w:rFonts w:hint="eastAsia"/>
          <w:color w:val="auto"/>
          <w:highlight w:val="none"/>
          <w:lang w:val="en-US" w:eastAsia="zh-CN"/>
        </w:rPr>
        <w:t>（十二）宣传培训活动出勤率指标完成情况分析</w:t>
      </w:r>
    </w:p>
    <w:p>
      <w:pPr>
        <w:bidi w:val="0"/>
        <w:rPr>
          <w:rFonts w:hint="eastAsia"/>
          <w:color w:val="auto"/>
          <w:highlight w:val="none"/>
          <w:lang w:val="en-US" w:eastAsia="zh-CN"/>
        </w:rPr>
      </w:pPr>
      <w:r>
        <w:rPr>
          <w:rFonts w:hint="eastAsia"/>
          <w:color w:val="auto"/>
          <w:highlight w:val="none"/>
          <w:lang w:val="en-US" w:eastAsia="zh-CN"/>
        </w:rPr>
        <w:t>宣传培训活动出勤率指标年初设定目标是&gt;=95%，年中绩效运行监控时完成值100%，年终实际完成值是100%，指标完成率是100%，达到对加大卫生执法力度，增加监督频次，提升了卫生监督质量，监督覆盖率100%的预期目标。偏差原因：无。</w:t>
      </w:r>
    </w:p>
    <w:p>
      <w:pPr>
        <w:pStyle w:val="4"/>
        <w:bidi w:val="0"/>
        <w:rPr>
          <w:rFonts w:hint="eastAsia"/>
          <w:color w:val="auto"/>
          <w:highlight w:val="none"/>
          <w:lang w:val="en-US" w:eastAsia="zh-CN"/>
        </w:rPr>
      </w:pPr>
      <w:r>
        <w:rPr>
          <w:rFonts w:hint="eastAsia"/>
          <w:color w:val="auto"/>
          <w:highlight w:val="none"/>
          <w:lang w:val="en-US" w:eastAsia="zh-CN"/>
        </w:rPr>
        <w:t>（十三）为人民身体健康提供卫生监督保障指标完成情况分析</w:t>
      </w:r>
    </w:p>
    <w:p>
      <w:pPr>
        <w:ind w:firstLine="645"/>
        <w:rPr>
          <w:rFonts w:hint="eastAsia"/>
          <w:color w:val="auto"/>
          <w:highlight w:val="none"/>
          <w:lang w:val="en-US" w:eastAsia="zh-CN"/>
        </w:rPr>
      </w:pPr>
      <w:r>
        <w:rPr>
          <w:rFonts w:hint="eastAsia"/>
          <w:color w:val="auto"/>
          <w:highlight w:val="none"/>
          <w:lang w:val="en-US" w:eastAsia="zh-CN"/>
        </w:rPr>
        <w:t>为人民身体健康提供卫生监督保障指标年初设定目标是&gt;=90%，年中绩效运行监控时完成值100%，年终实际完成值是100%，指标完成率是100%，达到</w:t>
      </w:r>
      <w:r>
        <w:rPr>
          <w:rFonts w:hint="eastAsia" w:ascii="仿宋" w:hAnsi="仿宋" w:eastAsia="仿宋" w:cs="仿宋"/>
          <w:color w:val="auto"/>
          <w:sz w:val="32"/>
          <w:szCs w:val="32"/>
          <w:highlight w:val="none"/>
          <w:lang w:val="en-US" w:eastAsia="zh-CN"/>
        </w:rPr>
        <w:t>医疗卫生进行监督检查</w:t>
      </w:r>
      <w:r>
        <w:rPr>
          <w:rFonts w:hint="eastAsia" w:ascii="仿宋" w:hAnsi="仿宋" w:cs="仿宋"/>
          <w:color w:val="auto"/>
          <w:sz w:val="32"/>
          <w:szCs w:val="32"/>
          <w:highlight w:val="none"/>
          <w:lang w:val="en-US" w:eastAsia="zh-CN"/>
        </w:rPr>
        <w:t>，</w:t>
      </w:r>
      <w:r>
        <w:rPr>
          <w:rFonts w:hint="eastAsia" w:ascii="仿宋" w:hAnsi="仿宋" w:eastAsia="仿宋" w:cs="仿宋"/>
          <w:color w:val="auto"/>
          <w:sz w:val="32"/>
          <w:szCs w:val="32"/>
          <w:highlight w:val="none"/>
          <w:lang w:val="en-US" w:eastAsia="zh-CN"/>
        </w:rPr>
        <w:t>同时确保了公共场所卫生及医疗机构卫生的安全</w:t>
      </w:r>
      <w:r>
        <w:rPr>
          <w:rFonts w:hint="eastAsia"/>
          <w:color w:val="auto"/>
          <w:highlight w:val="none"/>
          <w:lang w:val="en-US" w:eastAsia="zh-CN"/>
        </w:rPr>
        <w:t>100%的预期目标。偏差原因：无。</w:t>
      </w:r>
    </w:p>
    <w:p>
      <w:pPr>
        <w:pStyle w:val="4"/>
        <w:bidi w:val="0"/>
        <w:rPr>
          <w:rFonts w:hint="eastAsia"/>
          <w:color w:val="auto"/>
          <w:highlight w:val="none"/>
          <w:lang w:val="en-US" w:eastAsia="zh-CN"/>
        </w:rPr>
      </w:pPr>
      <w:r>
        <w:rPr>
          <w:rFonts w:hint="eastAsia"/>
          <w:color w:val="auto"/>
          <w:highlight w:val="none"/>
          <w:lang w:val="en-US" w:eastAsia="zh-CN"/>
        </w:rPr>
        <w:t>（十四）提升本辖区居民健康水平指标完成情况分析</w:t>
      </w:r>
    </w:p>
    <w:p>
      <w:pPr>
        <w:ind w:firstLine="645"/>
        <w:rPr>
          <w:rFonts w:hint="eastAsia"/>
          <w:color w:val="auto"/>
          <w:highlight w:val="none"/>
          <w:lang w:val="en-US" w:eastAsia="zh-CN"/>
        </w:rPr>
      </w:pPr>
      <w:r>
        <w:rPr>
          <w:rFonts w:hint="eastAsia"/>
          <w:color w:val="auto"/>
          <w:highlight w:val="none"/>
          <w:lang w:val="en-US" w:eastAsia="zh-CN"/>
        </w:rPr>
        <w:t>提升本辖区居民健康水平指标年初设定目标是&gt;=95%，年中绩效运行监控时完成值100%，年终实际完成值是100%，指标完成率是100%，达到严格干部管理和突发公共卫生事件处理、确保了公共场所卫生及医疗机构卫生的安全100%的预期目标。偏差原因：无。</w:t>
      </w:r>
    </w:p>
    <w:p>
      <w:pPr>
        <w:pStyle w:val="4"/>
        <w:bidi w:val="0"/>
        <w:rPr>
          <w:rFonts w:hint="eastAsia"/>
          <w:color w:val="auto"/>
          <w:highlight w:val="none"/>
          <w:lang w:val="en-US" w:eastAsia="zh-CN"/>
        </w:rPr>
      </w:pPr>
      <w:r>
        <w:rPr>
          <w:rFonts w:hint="eastAsia"/>
          <w:color w:val="auto"/>
          <w:highlight w:val="none"/>
          <w:lang w:val="en-US" w:eastAsia="zh-CN"/>
        </w:rPr>
        <w:t>（十五）单位职工满意度指标完成情况分析</w:t>
      </w:r>
    </w:p>
    <w:p>
      <w:pPr>
        <w:bidi w:val="0"/>
        <w:rPr>
          <w:rFonts w:hint="eastAsia"/>
          <w:color w:val="auto"/>
          <w:highlight w:val="none"/>
          <w:lang w:val="en-US" w:eastAsia="zh-CN"/>
        </w:rPr>
      </w:pPr>
      <w:r>
        <w:rPr>
          <w:rFonts w:hint="eastAsia"/>
          <w:color w:val="auto"/>
          <w:highlight w:val="none"/>
          <w:lang w:val="en-US" w:eastAsia="zh-CN"/>
        </w:rPr>
        <w:t>单位职工满意度指标年初设定目标是&gt;=95%，年中绩效运行监控时完成值未达到监控节点，年终实际完成值是100%，指标完成率是100%，达到单位职工对发放工资、确保单位各项工作有序开展满意度指标完成率100%的预期目标。偏差原因：无。</w:t>
      </w:r>
    </w:p>
    <w:p>
      <w:pPr>
        <w:pStyle w:val="4"/>
        <w:bidi w:val="0"/>
        <w:rPr>
          <w:rFonts w:hint="eastAsia"/>
          <w:color w:val="auto"/>
          <w:highlight w:val="none"/>
          <w:lang w:val="en-US" w:eastAsia="zh-CN"/>
        </w:rPr>
      </w:pPr>
      <w:r>
        <w:rPr>
          <w:rFonts w:hint="eastAsia"/>
          <w:color w:val="auto"/>
          <w:highlight w:val="none"/>
          <w:lang w:val="en-US" w:eastAsia="zh-CN"/>
        </w:rPr>
        <w:t>（十六）辖区居民满意度指标完成情况分析</w:t>
      </w:r>
    </w:p>
    <w:p>
      <w:pPr>
        <w:bidi w:val="0"/>
        <w:rPr>
          <w:rFonts w:hint="eastAsia"/>
          <w:color w:val="auto"/>
          <w:highlight w:val="none"/>
          <w:lang w:val="en-US" w:eastAsia="zh-CN"/>
        </w:rPr>
      </w:pPr>
      <w:r>
        <w:rPr>
          <w:rFonts w:hint="eastAsia"/>
          <w:color w:val="auto"/>
          <w:highlight w:val="none"/>
          <w:lang w:val="en-US" w:eastAsia="zh-CN"/>
        </w:rPr>
        <w:t>辖区居民满意度指标年初设定目标是&gt;=98%，年中绩效运行监控时完成值未达到监控节点，年终实际完成值是100%，指标完成率是100%，达到群众对我们卫生监督人员的服务态度、办事效率100%预期目标。偏差原因：无。</w:t>
      </w:r>
    </w:p>
    <w:p>
      <w:pPr>
        <w:pStyle w:val="3"/>
        <w:numPr>
          <w:ilvl w:val="0"/>
          <w:numId w:val="0"/>
        </w:numPr>
        <w:bidi w:val="0"/>
        <w:ind w:firstLine="640" w:firstLineChars="200"/>
        <w:rPr>
          <w:rFonts w:hint="default"/>
          <w:color w:val="auto"/>
          <w:highlight w:val="none"/>
          <w:lang w:val="en-US"/>
        </w:rPr>
      </w:pPr>
      <w:r>
        <w:rPr>
          <w:rFonts w:hint="eastAsia"/>
          <w:color w:val="auto"/>
          <w:highlight w:val="none"/>
          <w:lang w:val="en-US" w:eastAsia="zh-CN"/>
        </w:rPr>
        <w:t>四、评价结论</w:t>
      </w:r>
    </w:p>
    <w:p>
      <w:pPr>
        <w:bidi w:val="0"/>
        <w:rPr>
          <w:rFonts w:hint="eastAsia"/>
          <w:color w:val="auto"/>
          <w:highlight w:val="none"/>
          <w:lang w:val="en-US" w:eastAsia="zh-CN"/>
        </w:rPr>
      </w:pPr>
      <w:r>
        <w:rPr>
          <w:rFonts w:hint="eastAsia"/>
          <w:color w:val="auto"/>
          <w:highlight w:val="none"/>
          <w:lang w:val="en-US" w:eastAsia="zh-CN"/>
        </w:rPr>
        <w:t>我单位2023年度部门整体支出绩效自评综合得分98分，评价结果为“优”。我</w:t>
      </w:r>
      <w:r>
        <w:rPr>
          <w:rFonts w:hint="default"/>
          <w:color w:val="auto"/>
          <w:highlight w:val="none"/>
          <w:lang w:val="en-US" w:eastAsia="zh-CN"/>
        </w:rPr>
        <w:t>单位202</w:t>
      </w:r>
      <w:r>
        <w:rPr>
          <w:rFonts w:hint="eastAsia"/>
          <w:color w:val="auto"/>
          <w:highlight w:val="none"/>
          <w:lang w:val="en-US" w:eastAsia="zh-CN"/>
        </w:rPr>
        <w:t>3</w:t>
      </w:r>
      <w:r>
        <w:rPr>
          <w:rFonts w:hint="default"/>
          <w:color w:val="auto"/>
          <w:highlight w:val="none"/>
          <w:lang w:val="en-US" w:eastAsia="zh-CN"/>
        </w:rPr>
        <w:t>年部门履职效果良好，</w:t>
      </w:r>
      <w:r>
        <w:rPr>
          <w:rFonts w:hint="eastAsia"/>
          <w:color w:val="auto"/>
          <w:highlight w:val="none"/>
          <w:lang w:val="en-US" w:eastAsia="zh-CN"/>
        </w:rPr>
        <w:t>主要体现在：</w:t>
      </w:r>
    </w:p>
    <w:p>
      <w:pPr>
        <w:bidi w:val="0"/>
        <w:rPr>
          <w:rFonts w:hint="eastAsia"/>
          <w:color w:val="auto"/>
          <w:highlight w:val="none"/>
          <w:lang w:val="en-US" w:eastAsia="zh-CN"/>
        </w:rPr>
      </w:pPr>
      <w:r>
        <w:rPr>
          <w:rFonts w:hint="eastAsia"/>
          <w:color w:val="auto"/>
          <w:highlight w:val="none"/>
          <w:lang w:val="en-US" w:eastAsia="zh-CN"/>
        </w:rPr>
        <w:t>2023年我站严格按照上级党委、政府要求做好了各项工作，做好了宣传贯彻执行党的路线方针、政策、贯彻落实上级党组织的决议、指示。协助县卫生计生综合监督执法局开展卫生监督管理、卫生法制宣传、公共场所培训与管理工作。其中：⑴开展医疗机构、传染病防治监督11户；⑵开展公共场所卫生监督40户；⑶开展学校卫生监督1户；⑷开展对管理相对人的宣传培训80人次。通过开展卫生监督执法工作，规范被监督单位业务工作开展，提高管理相对人政策知晓率，为巴音布鲁克镇各族群众营造了良好的卫生环境，人民身体健康水平不断提升。</w:t>
      </w:r>
    </w:p>
    <w:p>
      <w:pPr>
        <w:pStyle w:val="3"/>
        <w:bidi w:val="0"/>
        <w:rPr>
          <w:rFonts w:hint="default" w:eastAsia="黑体"/>
          <w:color w:val="auto"/>
          <w:highlight w:val="none"/>
          <w:lang w:val="en-US" w:eastAsia="zh-CN"/>
        </w:rPr>
      </w:pPr>
      <w:bookmarkStart w:id="3" w:name="_Toc22800_WPSOffice_Level1"/>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pPr>
        <w:bidi w:val="0"/>
        <w:rPr>
          <w:rFonts w:hint="eastAsia"/>
          <w:color w:val="auto"/>
          <w:highlight w:val="none"/>
          <w:lang w:val="en-US" w:eastAsia="zh-CN"/>
        </w:rPr>
      </w:pPr>
      <w:bookmarkStart w:id="4" w:name="_Toc29546_WPSOffice_Level1"/>
      <w:r>
        <w:rPr>
          <w:rFonts w:hint="eastAsia"/>
          <w:color w:val="auto"/>
          <w:highlight w:val="none"/>
          <w:lang w:val="en-US" w:eastAsia="zh-CN"/>
        </w:rPr>
        <w:t>（一）预算绩效管理水平仍有欠缺。在2023年预算绩效管理工作中，对全面实施预算绩效管理的要求认识还不到位。预算绩效管理水平提升的空间还是很大。</w:t>
      </w:r>
    </w:p>
    <w:p>
      <w:pPr>
        <w:bidi w:val="0"/>
        <w:rPr>
          <w:rFonts w:hint="eastAsia"/>
          <w:color w:val="auto"/>
          <w:highlight w:val="none"/>
          <w:lang w:val="en-US" w:eastAsia="zh-CN"/>
        </w:rPr>
      </w:pPr>
      <w:r>
        <w:rPr>
          <w:rFonts w:hint="eastAsia"/>
          <w:color w:val="auto"/>
          <w:highlight w:val="none"/>
          <w:lang w:val="en-US" w:eastAsia="zh-CN"/>
        </w:rPr>
        <w:t>（二）</w:t>
      </w:r>
      <w:r>
        <w:rPr>
          <w:rFonts w:hint="default"/>
          <w:color w:val="auto"/>
          <w:highlight w:val="none"/>
          <w:lang w:val="en-US" w:eastAsia="zh-CN"/>
        </w:rPr>
        <w:t>随着</w:t>
      </w:r>
      <w:r>
        <w:rPr>
          <w:rFonts w:hint="eastAsia"/>
          <w:color w:val="auto"/>
          <w:highlight w:val="none"/>
          <w:lang w:val="en-US" w:eastAsia="zh-CN"/>
        </w:rPr>
        <w:t>重大传染病</w:t>
      </w:r>
      <w:r>
        <w:rPr>
          <w:rFonts w:hint="default"/>
          <w:color w:val="auto"/>
          <w:highlight w:val="none"/>
          <w:lang w:val="en-US" w:eastAsia="zh-CN"/>
        </w:rPr>
        <w:t>防控工作的进一步推进，对卫生监督执法队伍要求不断提高，卫生监督执法人员配置不能满足执法需求这一问题愈加突出，导致卫生监督执法工作存在薄弱环节。</w:t>
      </w:r>
    </w:p>
    <w:p>
      <w:pPr>
        <w:pStyle w:val="3"/>
        <w:numPr>
          <w:ilvl w:val="0"/>
          <w:numId w:val="0"/>
        </w:numPr>
        <w:bidi w:val="0"/>
        <w:ind w:firstLine="640" w:firstLineChars="200"/>
        <w:rPr>
          <w:rFonts w:hint="eastAsia"/>
          <w:color w:val="auto"/>
          <w:highlight w:val="none"/>
        </w:rPr>
      </w:pPr>
      <w:r>
        <w:rPr>
          <w:rFonts w:hint="eastAsia"/>
          <w:color w:val="auto"/>
          <w:highlight w:val="none"/>
          <w:lang w:eastAsia="zh-CN"/>
        </w:rPr>
        <w:t>六、</w:t>
      </w:r>
      <w:r>
        <w:rPr>
          <w:rFonts w:hint="eastAsia"/>
          <w:color w:val="auto"/>
          <w:highlight w:val="none"/>
        </w:rPr>
        <w:t>改进措施和建议</w:t>
      </w:r>
      <w:bookmarkEnd w:id="4"/>
    </w:p>
    <w:p>
      <w:pPr>
        <w:bidi w:val="0"/>
        <w:rPr>
          <w:rFonts w:hint="eastAsia"/>
          <w:color w:val="auto"/>
          <w:highlight w:val="none"/>
          <w:lang w:val="en-US" w:eastAsia="zh-CN"/>
        </w:rPr>
      </w:pPr>
      <w:r>
        <w:rPr>
          <w:rFonts w:hint="eastAsia" w:ascii="仿宋_GB2312" w:hAnsi="仿宋_GB2312" w:eastAsia="仿宋" w:cs="仿宋_GB2312"/>
          <w:bCs w:val="0"/>
          <w:color w:val="auto"/>
          <w:kern w:val="2"/>
          <w:sz w:val="28"/>
          <w:szCs w:val="24"/>
          <w:highlight w:val="none"/>
          <w:lang w:val="en-US" w:eastAsia="zh-CN" w:bidi="ar-SA"/>
        </w:rPr>
        <w:t xml:space="preserve"> </w:t>
      </w:r>
      <w:r>
        <w:rPr>
          <w:rFonts w:hint="eastAsia"/>
          <w:color w:val="auto"/>
          <w:highlight w:val="none"/>
          <w:lang w:val="en-US" w:eastAsia="zh-CN"/>
        </w:rPr>
        <w:t>（一）提高预算绩效管理水平。高度重视，加强领导，精心组织，逐步推开，实现编制预算绩效目标全覆盖。积极开展绩效跟踪监控，及时纠偏，确保绩效目标实现，提高资金使用效率。严格按规定做好绩效目标申报、监控、自评、 公开等相关工作，提高财政资金使用效率。</w:t>
      </w:r>
    </w:p>
    <w:p>
      <w:pPr>
        <w:bidi w:val="0"/>
        <w:rPr>
          <w:rFonts w:hint="eastAsia" w:ascii="仿宋_GB2312" w:hAnsi="仿宋_GB2312" w:eastAsia="仿宋" w:cs="仿宋_GB2312"/>
          <w:bCs w:val="0"/>
          <w:color w:val="auto"/>
          <w:kern w:val="2"/>
          <w:sz w:val="28"/>
          <w:szCs w:val="24"/>
          <w:highlight w:val="none"/>
          <w:lang w:val="en-US" w:eastAsia="zh-CN" w:bidi="ar-SA"/>
        </w:rPr>
      </w:pPr>
      <w:r>
        <w:rPr>
          <w:rFonts w:hint="eastAsia"/>
          <w:color w:val="auto"/>
          <w:highlight w:val="none"/>
          <w:lang w:val="en-US" w:eastAsia="zh-CN"/>
        </w:rPr>
        <w:t>（二）</w:t>
      </w:r>
      <w:r>
        <w:rPr>
          <w:rFonts w:hint="default"/>
          <w:color w:val="auto"/>
          <w:highlight w:val="none"/>
          <w:lang w:val="en-US" w:eastAsia="zh-CN"/>
        </w:rPr>
        <w:t>提高全</w:t>
      </w:r>
      <w:r>
        <w:rPr>
          <w:rFonts w:hint="eastAsia"/>
          <w:color w:val="auto"/>
          <w:highlight w:val="none"/>
          <w:lang w:val="en-US" w:eastAsia="zh-CN"/>
        </w:rPr>
        <w:t>局</w:t>
      </w:r>
      <w:r>
        <w:rPr>
          <w:rFonts w:hint="default"/>
          <w:color w:val="auto"/>
          <w:highlight w:val="none"/>
          <w:lang w:val="en-US" w:eastAsia="zh-CN"/>
        </w:rPr>
        <w:t>卫生监督员业务培训，多种形式，不定时开展业务培训。加强卫生监督协管工作，更有效</w:t>
      </w:r>
      <w:r>
        <w:rPr>
          <w:rFonts w:hint="eastAsia"/>
          <w:color w:val="auto"/>
          <w:highlight w:val="none"/>
          <w:lang w:val="en-US" w:eastAsia="zh-CN"/>
        </w:rPr>
        <w:t>地</w:t>
      </w:r>
      <w:bookmarkStart w:id="5" w:name="_GoBack"/>
      <w:bookmarkEnd w:id="5"/>
      <w:r>
        <w:rPr>
          <w:rFonts w:hint="default"/>
          <w:color w:val="auto"/>
          <w:highlight w:val="none"/>
          <w:lang w:val="en-US" w:eastAsia="zh-CN"/>
        </w:rPr>
        <w:t>利用身边资源，解决卫生监督日常监管和</w:t>
      </w:r>
      <w:r>
        <w:rPr>
          <w:rFonts w:hint="eastAsia"/>
          <w:color w:val="auto"/>
          <w:highlight w:val="none"/>
          <w:lang w:val="en-US" w:eastAsia="zh-CN"/>
        </w:rPr>
        <w:t>重大传染病</w:t>
      </w:r>
      <w:r>
        <w:rPr>
          <w:rFonts w:hint="default"/>
          <w:color w:val="auto"/>
          <w:highlight w:val="none"/>
          <w:lang w:val="en-US" w:eastAsia="zh-CN"/>
        </w:rPr>
        <w:t>防控工作。</w:t>
      </w:r>
    </w:p>
    <w:p>
      <w:pPr>
        <w:pStyle w:val="3"/>
        <w:bidi w:val="0"/>
        <w:rPr>
          <w:rFonts w:hint="eastAsia"/>
          <w:color w:val="auto"/>
          <w:highlight w:val="none"/>
          <w:lang w:val="en-US" w:eastAsia="zh-CN"/>
        </w:rPr>
      </w:pPr>
      <w:r>
        <w:rPr>
          <w:rFonts w:hint="eastAsia"/>
          <w:color w:val="auto"/>
          <w:highlight w:val="none"/>
          <w:lang w:val="en-US" w:eastAsia="zh-CN"/>
        </w:rPr>
        <w:t>七、附件上传</w:t>
      </w:r>
    </w:p>
    <w:p>
      <w:pPr>
        <w:pStyle w:val="7"/>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1、2023年部门预算公开报告。</w:t>
      </w:r>
    </w:p>
    <w:p>
      <w:pPr>
        <w:pStyle w:val="7"/>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2、2023年决算公开报表。</w:t>
      </w:r>
    </w:p>
    <w:p>
      <w:pPr>
        <w:pStyle w:val="7"/>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3、2023年工作总结。</w:t>
      </w:r>
    </w:p>
    <w:p>
      <w:pPr>
        <w:pStyle w:val="2"/>
        <w:rPr>
          <w:rFonts w:hint="eastAsia"/>
          <w:color w:val="auto"/>
          <w:highlight w:val="none"/>
          <w:lang w:val="en-US" w:eastAsia="zh-CN"/>
        </w:rPr>
      </w:pP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4A35FC"/>
    <w:rsid w:val="04BB4F4C"/>
    <w:rsid w:val="04DB4953"/>
    <w:rsid w:val="04FF0482"/>
    <w:rsid w:val="05062887"/>
    <w:rsid w:val="05464D81"/>
    <w:rsid w:val="057F3337"/>
    <w:rsid w:val="05F70F85"/>
    <w:rsid w:val="0607573C"/>
    <w:rsid w:val="06547701"/>
    <w:rsid w:val="072B19D6"/>
    <w:rsid w:val="084208C4"/>
    <w:rsid w:val="098A3C0A"/>
    <w:rsid w:val="09A24E4E"/>
    <w:rsid w:val="0A9A7091"/>
    <w:rsid w:val="0C6738B8"/>
    <w:rsid w:val="0D8D61CE"/>
    <w:rsid w:val="0DD8155A"/>
    <w:rsid w:val="0E7D784C"/>
    <w:rsid w:val="10300946"/>
    <w:rsid w:val="10FE60D7"/>
    <w:rsid w:val="134F7771"/>
    <w:rsid w:val="13E513B9"/>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B24356"/>
    <w:rsid w:val="21C67E02"/>
    <w:rsid w:val="21C768CD"/>
    <w:rsid w:val="226247DB"/>
    <w:rsid w:val="22E14253"/>
    <w:rsid w:val="23931BB2"/>
    <w:rsid w:val="23F209A3"/>
    <w:rsid w:val="2403516E"/>
    <w:rsid w:val="24731115"/>
    <w:rsid w:val="24E71FCC"/>
    <w:rsid w:val="256A2A9E"/>
    <w:rsid w:val="27EA0C59"/>
    <w:rsid w:val="27F7226E"/>
    <w:rsid w:val="2805537E"/>
    <w:rsid w:val="289437EE"/>
    <w:rsid w:val="297873DB"/>
    <w:rsid w:val="29F35E61"/>
    <w:rsid w:val="2A285817"/>
    <w:rsid w:val="2B6F150A"/>
    <w:rsid w:val="2BB557CB"/>
    <w:rsid w:val="2BC51751"/>
    <w:rsid w:val="2D166684"/>
    <w:rsid w:val="2EBF757D"/>
    <w:rsid w:val="30654F3A"/>
    <w:rsid w:val="313A1C72"/>
    <w:rsid w:val="31927D00"/>
    <w:rsid w:val="31AE39CE"/>
    <w:rsid w:val="31B83F5F"/>
    <w:rsid w:val="328E2AB6"/>
    <w:rsid w:val="329B12EA"/>
    <w:rsid w:val="32FB1A54"/>
    <w:rsid w:val="331A3077"/>
    <w:rsid w:val="33291F9F"/>
    <w:rsid w:val="33A83F87"/>
    <w:rsid w:val="33CA3B4D"/>
    <w:rsid w:val="340D2D0F"/>
    <w:rsid w:val="348F1A9E"/>
    <w:rsid w:val="355C2B3F"/>
    <w:rsid w:val="356B4AF0"/>
    <w:rsid w:val="35F12468"/>
    <w:rsid w:val="36851B5C"/>
    <w:rsid w:val="37661A13"/>
    <w:rsid w:val="379871D0"/>
    <w:rsid w:val="37BA58BB"/>
    <w:rsid w:val="37D360CA"/>
    <w:rsid w:val="389E19FD"/>
    <w:rsid w:val="38CB5066"/>
    <w:rsid w:val="38E054C9"/>
    <w:rsid w:val="3A565DE9"/>
    <w:rsid w:val="3AC36A27"/>
    <w:rsid w:val="3B4A3407"/>
    <w:rsid w:val="3E3F3AD1"/>
    <w:rsid w:val="3F301058"/>
    <w:rsid w:val="3F8213B4"/>
    <w:rsid w:val="417A34F9"/>
    <w:rsid w:val="418810F4"/>
    <w:rsid w:val="41A37673"/>
    <w:rsid w:val="42503F5E"/>
    <w:rsid w:val="42C30950"/>
    <w:rsid w:val="459B4F7E"/>
    <w:rsid w:val="45A65C7F"/>
    <w:rsid w:val="45F13359"/>
    <w:rsid w:val="468C2A4A"/>
    <w:rsid w:val="46AD2493"/>
    <w:rsid w:val="46EC7F14"/>
    <w:rsid w:val="47CA7D9C"/>
    <w:rsid w:val="47DB3D58"/>
    <w:rsid w:val="480D0379"/>
    <w:rsid w:val="48194880"/>
    <w:rsid w:val="48AF4C7F"/>
    <w:rsid w:val="4A5B46DD"/>
    <w:rsid w:val="4A6F6A56"/>
    <w:rsid w:val="4A81677A"/>
    <w:rsid w:val="4B3B5348"/>
    <w:rsid w:val="4DA177B2"/>
    <w:rsid w:val="4DA370C6"/>
    <w:rsid w:val="4DF36D4F"/>
    <w:rsid w:val="4E4C1B14"/>
    <w:rsid w:val="501B7C76"/>
    <w:rsid w:val="504D5CCF"/>
    <w:rsid w:val="511A2CA6"/>
    <w:rsid w:val="533A7469"/>
    <w:rsid w:val="53526129"/>
    <w:rsid w:val="538B4CD8"/>
    <w:rsid w:val="53A21BCD"/>
    <w:rsid w:val="54394F3D"/>
    <w:rsid w:val="565F61A9"/>
    <w:rsid w:val="56AD4B11"/>
    <w:rsid w:val="57232FC4"/>
    <w:rsid w:val="572D2326"/>
    <w:rsid w:val="57365691"/>
    <w:rsid w:val="598D4786"/>
    <w:rsid w:val="59EE1E48"/>
    <w:rsid w:val="5A490F5C"/>
    <w:rsid w:val="5B805E16"/>
    <w:rsid w:val="5BD21464"/>
    <w:rsid w:val="5BDE2B83"/>
    <w:rsid w:val="5C777282"/>
    <w:rsid w:val="5F223BC2"/>
    <w:rsid w:val="61635F72"/>
    <w:rsid w:val="618606C5"/>
    <w:rsid w:val="6224402D"/>
    <w:rsid w:val="6384067A"/>
    <w:rsid w:val="638D125E"/>
    <w:rsid w:val="6396333E"/>
    <w:rsid w:val="63E114D3"/>
    <w:rsid w:val="680921E1"/>
    <w:rsid w:val="6AD46D46"/>
    <w:rsid w:val="6B07083C"/>
    <w:rsid w:val="6B623CC4"/>
    <w:rsid w:val="6B6C65E0"/>
    <w:rsid w:val="6C2B67AC"/>
    <w:rsid w:val="6C434C22"/>
    <w:rsid w:val="6CB31465"/>
    <w:rsid w:val="6CF941B4"/>
    <w:rsid w:val="6DE07909"/>
    <w:rsid w:val="6E58438A"/>
    <w:rsid w:val="6E7066F8"/>
    <w:rsid w:val="6E9D5508"/>
    <w:rsid w:val="6F871359"/>
    <w:rsid w:val="711B7F18"/>
    <w:rsid w:val="71EB22B3"/>
    <w:rsid w:val="72010FA6"/>
    <w:rsid w:val="72AE77EF"/>
    <w:rsid w:val="733F48EB"/>
    <w:rsid w:val="73F6658D"/>
    <w:rsid w:val="74212849"/>
    <w:rsid w:val="744C1D4E"/>
    <w:rsid w:val="748A4F72"/>
    <w:rsid w:val="74961819"/>
    <w:rsid w:val="750202C6"/>
    <w:rsid w:val="75664078"/>
    <w:rsid w:val="761E4132"/>
    <w:rsid w:val="78061A79"/>
    <w:rsid w:val="79181486"/>
    <w:rsid w:val="7AFE508C"/>
    <w:rsid w:val="7B0E45F1"/>
    <w:rsid w:val="7B2561EC"/>
    <w:rsid w:val="7BC003CA"/>
    <w:rsid w:val="7CBF4BB4"/>
    <w:rsid w:val="7E53749D"/>
    <w:rsid w:val="7E5D346D"/>
    <w:rsid w:val="7FAD66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4279</Words>
  <Characters>4627</Characters>
  <Lines>7</Lines>
  <Paragraphs>2</Paragraphs>
  <TotalTime>3</TotalTime>
  <ScaleCrop>false</ScaleCrop>
  <LinksUpToDate>false</LinksUpToDate>
  <CharactersWithSpaces>4631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2024-08-10T08:31:19Z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