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和静县巴润哈尔莫敦镇中心卫生院</w:t>
      </w: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rPr>
          <w:rFonts w:hint="eastAsia"/>
          <w:color w:val="auto"/>
          <w:szCs w:val="28"/>
          <w:highlight w:val="none"/>
        </w:rPr>
      </w:pPr>
      <w:r>
        <w:rPr>
          <w:rFonts w:hint="eastAsia"/>
          <w:color w:val="auto"/>
          <w:szCs w:val="28"/>
          <w:highlight w:val="none"/>
          <w:lang w:val="en-US" w:eastAsia="zh-CN"/>
        </w:rPr>
        <w:t>和静县</w:t>
      </w:r>
      <w:r>
        <w:rPr>
          <w:rFonts w:hint="eastAsia" w:ascii="仿宋_GB2312" w:hAnsi="仿宋" w:eastAsia="仿宋_GB2312" w:cs="仿宋"/>
          <w:color w:val="auto"/>
          <w:kern w:val="0"/>
          <w:sz w:val="28"/>
          <w:szCs w:val="28"/>
          <w:highlight w:val="none"/>
          <w:lang w:val="en-US" w:eastAsia="zh-CN"/>
        </w:rPr>
        <w:t>巴润哈尔莫敦镇中心卫生院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II型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color w:val="auto"/>
          <w:szCs w:val="28"/>
          <w:highlight w:val="none"/>
          <w:lang w:val="en-US" w:eastAsia="zh-CN"/>
        </w:rPr>
        <w:t>和静县</w:t>
      </w:r>
      <w:r>
        <w:rPr>
          <w:rFonts w:hint="eastAsia" w:ascii="仿宋_GB2312" w:hAnsi="仿宋" w:eastAsia="仿宋_GB2312" w:cs="仿宋"/>
          <w:color w:val="auto"/>
          <w:kern w:val="0"/>
          <w:sz w:val="28"/>
          <w:szCs w:val="28"/>
          <w:highlight w:val="none"/>
          <w:lang w:val="en-US" w:eastAsia="zh-CN"/>
        </w:rPr>
        <w:t>巴润哈尔莫敦镇中心卫生院是全额拨款事业单位，无下属预算单位，下设18个科室，分别是：医院办公室、财务室、公共卫生科、防疫科、妇幼保健科等职能科室，设有内科、儿科、妇产科、外科、急诊科、检验科、放射科、口腔科、妇科、中医科、口腔科、心电B超室等临床科室，8个村卫生室。</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巴润哈尔莫敦镇中心卫生院编制数共27人，其中：核定编制29人，事业岗5人，公益性岗位1人，劳务派遣7人，聘用人员37人。现有高级职称2人（副主任医师、副主任护师），中级职称1人（主管护师），执业医师6人，执业助理医师3人。现有执业护师2人，执业护士15人。我院下辖8个村卫生室，目前有乡村医生10人，其中执业助理医师1人，其余全部持有乡村医师证。</w:t>
      </w:r>
    </w:p>
    <w:p>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pPr>
        <w:widowControl/>
        <w:spacing w:line="520" w:lineRule="exact"/>
        <w:ind w:firstLine="640" w:firstLineChars="200"/>
        <w:jc w:val="left"/>
        <w:rPr>
          <w:rFonts w:hint="eastAsia"/>
          <w:color w:val="auto"/>
          <w:highlight w:val="none"/>
          <w:lang w:val="en-US" w:eastAsia="zh-CN"/>
        </w:rPr>
      </w:pP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基本公共卫生方面</w:t>
      </w:r>
    </w:p>
    <w:p>
      <w:pPr>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确保居民健康档案工作的顺利进行，我院专门成立了由廖志大院长任组长的居民健康档案工作领导小组，加强全镇居民健康档案工作组织领导，制定了操作性强、切实可行的实施方案。成立专门建档工作小组和居民健康体检小组相互积极配合采取</w:t>
      </w:r>
      <w:r>
        <w:rPr>
          <w:rFonts w:hint="eastAsia" w:eastAsia="仿宋_GB2312" w:cs="仿宋_GB2312"/>
          <w:color w:val="auto"/>
          <w:sz w:val="32"/>
          <w:szCs w:val="32"/>
          <w:highlight w:val="none"/>
          <w:lang w:val="en-US" w:eastAsia="zh-CN"/>
        </w:rPr>
        <w:t>入</w:t>
      </w:r>
      <w:r>
        <w:rPr>
          <w:rFonts w:hint="eastAsia" w:ascii="仿宋_GB2312" w:hAnsi="仿宋_GB2312" w:eastAsia="仿宋_GB2312" w:cs="仿宋_GB2312"/>
          <w:color w:val="auto"/>
          <w:sz w:val="32"/>
          <w:szCs w:val="32"/>
          <w:highlight w:val="none"/>
          <w:lang w:val="en-US" w:eastAsia="zh-CN"/>
        </w:rPr>
        <w:t>户调查统一体检服务的方式为居民建立健康档案建档工作。</w:t>
      </w:r>
    </w:p>
    <w:p>
      <w:pPr>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2023年卫生院共制作健康教育宣传栏 4期，全年发放了24种以上健康教育宣传资料共14362份进行发放宣传，开展了52次公众健康咨询活动，举办了38期健康教育讲座活动。全年内常住居民建立健康档案总数17237人、其中 0-6岁儿童建档728人、孕产妇建档53人、65岁以上老年人建档2070人、高血压患者建档1903人、二型糖尿病建档600人、严重精神障碍患者建档83人、系统内结核管理人数21人</w:t>
      </w:r>
    </w:p>
    <w:p>
      <w:pPr>
        <w:ind w:firstLine="320" w:firstLineChars="1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 xml:space="preserve">（1）65岁以上老年人方面  </w:t>
      </w:r>
      <w:r>
        <w:rPr>
          <w:rFonts w:hint="eastAsia" w:ascii="仿宋_GB2312" w:hAnsi="仿宋_GB2312" w:eastAsia="仿宋_GB2312" w:cs="仿宋_GB2312"/>
          <w:color w:val="auto"/>
          <w:sz w:val="32"/>
          <w:szCs w:val="32"/>
          <w:highlight w:val="none"/>
          <w:lang w:val="en-US" w:eastAsia="zh-CN"/>
        </w:rPr>
        <w:t>为2070人次65 岁以上老年人登记并建立健康档案，并开展1 次老年人健康管理，包括健康体检、健康咨询指导和干预，生活方式和健康状况评估包括体育锻炼、饮食、吸烟、饮酒、慢性疾病常见症状和既往所患疾病、治疗及目前用药等情况，告知健康体检结果并进行相应干预，对老年人进行慢性病危险因素预防及防跌倒措施、意外伤害和自救等健康指导。</w:t>
      </w:r>
    </w:p>
    <w:p>
      <w:pPr>
        <w:numPr>
          <w:ilvl w:val="0"/>
          <w:numId w:val="0"/>
        </w:numPr>
        <w:ind w:leftChars="0" w:firstLine="640" w:firstLineChars="200"/>
        <w:rPr>
          <w:rFonts w:hint="eastAsia" w:ascii="方正仿宋_GBK" w:hAnsi="方正仿宋_GBK" w:eastAsia="方正仿宋_GBK" w:cs="方正仿宋_GBK"/>
          <w:color w:val="auto"/>
          <w:sz w:val="31"/>
          <w:szCs w:val="31"/>
          <w:highlight w:val="none"/>
        </w:rPr>
      </w:pPr>
      <w:r>
        <w:rPr>
          <w:rFonts w:hint="eastAsia" w:ascii="仿宋_GB2312" w:hAnsi="仿宋_GB2312" w:eastAsia="仿宋_GB2312" w:cs="仿宋_GB2312"/>
          <w:color w:val="auto"/>
          <w:kern w:val="0"/>
          <w:sz w:val="32"/>
          <w:szCs w:val="32"/>
          <w:highlight w:val="none"/>
          <w:lang w:val="en-US" w:eastAsia="zh-CN" w:bidi="ar-SA"/>
        </w:rPr>
        <w:t>（2）</w:t>
      </w:r>
      <w:r>
        <w:rPr>
          <w:rFonts w:hint="eastAsia" w:ascii="仿宋_GB2312" w:hAnsi="仿宋_GB2312" w:eastAsia="仿宋_GB2312" w:cs="仿宋_GB2312"/>
          <w:color w:val="auto"/>
          <w:sz w:val="32"/>
          <w:szCs w:val="32"/>
          <w:highlight w:val="none"/>
          <w:lang w:val="en-US" w:eastAsia="zh-CN"/>
        </w:rPr>
        <w:t>慢性病患者健康管理方面    主要是针对高血压、糖尿病等慢性病人群进行健康指导。对35岁以上人群实行门诊首诊测血压。对确诊高血压和糖尿病的患者进行登记管理，定期进行随访。发现高血压2620人，管理高血压1903人，管理率82.03 %，规范管理1562人，规范管理率81.19%，血压控制1903人，控制率100%。糖尿病发现600人，管理糖尿病583人，管理率90%，规范管理477人，规范管理率65%，血糖控制601人，控制率100%。对1903人次高血压患者和600人次2 型糖尿病人年内进行了4次的面对面随访并进行1 次较全面的健康检查。对患者进行病情询问、进行体格检查、饮食、运动、心理等健康指导。</w:t>
      </w:r>
    </w:p>
    <w:p>
      <w:pPr>
        <w:ind w:firstLine="480" w:firstLineChars="15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（3）</w:t>
      </w:r>
      <w:r>
        <w:rPr>
          <w:rFonts w:hint="eastAsia" w:ascii="仿宋_GB2312" w:hAnsi="仿宋_GB2312" w:eastAsia="仿宋_GB2312" w:cs="仿宋_GB2312"/>
          <w:color w:val="auto"/>
          <w:sz w:val="32"/>
          <w:szCs w:val="32"/>
          <w:highlight w:val="none"/>
          <w:lang w:val="en-US" w:eastAsia="zh-CN"/>
        </w:rPr>
        <w:t>重症精神病管理  我镇</w:t>
      </w:r>
      <w:r>
        <w:rPr>
          <w:rFonts w:hint="eastAsia" w:eastAsia="仿宋_GB2312" w:cs="仿宋_GB2312"/>
          <w:color w:val="auto"/>
          <w:sz w:val="32"/>
          <w:szCs w:val="32"/>
          <w:highlight w:val="none"/>
          <w:lang w:val="en-US" w:eastAsia="zh-CN"/>
        </w:rPr>
        <w:t>截至2023年</w:t>
      </w:r>
      <w:r>
        <w:rPr>
          <w:rFonts w:hint="eastAsia" w:ascii="仿宋_GB2312" w:hAnsi="仿宋_GB2312" w:eastAsia="仿宋_GB2312" w:cs="仿宋_GB2312"/>
          <w:color w:val="auto"/>
          <w:sz w:val="32"/>
          <w:szCs w:val="32"/>
          <w:highlight w:val="none"/>
          <w:lang w:val="en-US" w:eastAsia="zh-CN"/>
        </w:rPr>
        <w:t>12月31日在管精神障碍患者83人，全部进行了建档，并将基本信息录入国网，对每个患者每月进行一次随访，并及时录入随访信息，随访时对患者家属进行了精神障碍健康教育及生活上的护理指导，辅导用药情况和心理辅导。大大增强了他们的健康意识。</w:t>
      </w:r>
    </w:p>
    <w:p>
      <w:pPr>
        <w:ind w:firstLine="480" w:firstLineChars="15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（4）</w:t>
      </w:r>
      <w:r>
        <w:rPr>
          <w:rFonts w:hint="eastAsia" w:ascii="仿宋_GB2312" w:hAnsi="仿宋_GB2312" w:eastAsia="仿宋_GB2312" w:cs="仿宋_GB2312"/>
          <w:color w:val="auto"/>
          <w:sz w:val="32"/>
          <w:szCs w:val="32"/>
          <w:highlight w:val="none"/>
          <w:lang w:val="en-US" w:eastAsia="zh-CN"/>
        </w:rPr>
        <w:t xml:space="preserve">传染病报告和处理服务工作   及时发现、登记并报告辖区内发现的传染病目前为止上报及系统录入11个，开展肺结核患者的随访及传染病防治知识宣传和咨询服务，积极配合结防中心，对非住院结核病人进行治疗管理目前为止我院管理结核病21人。 </w:t>
      </w:r>
    </w:p>
    <w:p>
      <w:pPr>
        <w:ind w:firstLine="480" w:firstLineChars="15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（5）疫苗接种工作  为全镇0-6 岁适龄儿童接种11种国家一类疫苗服务，包括乙肝疫苗、卡介苗、脊灰疫苗、百白破疫苗、白破疫苗、麻疹疫苗、甲肝疫苗、流脑疫苗、乙脑疫苗、麻风、麻腮疫苗等，目前为止2023年以来</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门诊儿童建证963 人次，乙肝疫苗219剂次，脊灰疫苗448剂次，无细胞百白破465剂次，麻腮风减毒疫苗264剂次，白破260剂次，A+C流脑疫苗362 剂次，A群流脑疫苗222 剂次，甲肝減毒疫苗119剂次。单苗接种率均达到95%以上。取得了这样的成效主要是我们强化了服务意识、通过我们真诚地服务态度融洽了与广大群众的关系、加强了门诊管理、提高了门诊接种工作效率；加强了门诊接种宣传，使接种对象加深了预防接种重要性的认知。</w:t>
      </w:r>
    </w:p>
    <w:p>
      <w:pPr>
        <w:widowControl/>
        <w:spacing w:line="520" w:lineRule="exact"/>
        <w:ind w:firstLine="640" w:firstLineChars="200"/>
        <w:jc w:val="left"/>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lang w:eastAsia="zh-CN"/>
        </w:rPr>
        <w:t>、</w:t>
      </w:r>
      <w:r>
        <w:rPr>
          <w:rFonts w:hint="eastAsia" w:ascii="黑体" w:hAnsi="黑体" w:eastAsia="黑体" w:cs="黑体"/>
          <w:color w:val="auto"/>
          <w:kern w:val="0"/>
          <w:sz w:val="32"/>
          <w:szCs w:val="32"/>
          <w:highlight w:val="none"/>
        </w:rPr>
        <w:t>孕产妇及儿童保健服务</w:t>
      </w:r>
    </w:p>
    <w:p>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（1）全镇育龄妇女3629人，规范儿童系统管理，提高儿童保健服务质量；儿童保健严格按照0-6岁儿童健康管理服务要求建卡、建册并进行系统健康检查</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全镇共有7岁以下儿童数729人 保健管理691人，保健管理率 95%，3岁以下儿童系统管理 239人，系统管理224人，系统管理率93.72%，2023年出生</w:t>
      </w:r>
      <w:r>
        <w:rPr>
          <w:rFonts w:hint="eastAsia" w:eastAsia="仿宋_GB2312" w:cs="仿宋_GB2312"/>
          <w:color w:val="auto"/>
          <w:kern w:val="0"/>
          <w:sz w:val="32"/>
          <w:szCs w:val="32"/>
          <w:highlight w:val="none"/>
          <w:lang w:val="en-US" w:eastAsia="zh-CN" w:bidi="ar-SA"/>
        </w:rPr>
        <w:t>低体重儿</w:t>
      </w:r>
      <w:r>
        <w:rPr>
          <w:rFonts w:hint="eastAsia" w:ascii="仿宋_GB2312" w:hAnsi="仿宋_GB2312" w:eastAsia="仿宋_GB2312" w:cs="仿宋_GB2312"/>
          <w:color w:val="auto"/>
          <w:kern w:val="0"/>
          <w:sz w:val="32"/>
          <w:szCs w:val="32"/>
          <w:highlight w:val="none"/>
          <w:lang w:val="en-US" w:eastAsia="zh-CN" w:bidi="ar-SA"/>
        </w:rPr>
        <w:t>9人，早产儿13人，巨大儿14人。所有低体重儿，早产儿均列入高危儿进行专案管理，并有评分及指导治疗。无新生</w:t>
      </w:r>
      <w:r>
        <w:rPr>
          <w:rFonts w:hint="eastAsia" w:eastAsia="仿宋_GB2312" w:cs="仿宋_GB2312"/>
          <w:color w:val="auto"/>
          <w:kern w:val="0"/>
          <w:sz w:val="32"/>
          <w:szCs w:val="32"/>
          <w:highlight w:val="none"/>
          <w:lang w:val="en-US" w:eastAsia="zh-CN" w:bidi="ar-SA"/>
        </w:rPr>
        <w:t>儿死</w:t>
      </w:r>
      <w:r>
        <w:rPr>
          <w:rFonts w:hint="eastAsia" w:ascii="仿宋_GB2312" w:hAnsi="仿宋_GB2312" w:eastAsia="仿宋_GB2312" w:cs="仿宋_GB2312"/>
          <w:color w:val="auto"/>
          <w:kern w:val="0"/>
          <w:sz w:val="32"/>
          <w:szCs w:val="32"/>
          <w:highlight w:val="none"/>
          <w:lang w:val="en-US" w:eastAsia="zh-CN" w:bidi="ar-SA"/>
        </w:rPr>
        <w:t>亡为0人，5岁以下儿童死亡1人。 2023年1-12月活产数84人，产妇住院分娩80人，家中分娩0人，住院分娩率为100%；产妇总数80人，建卡80人，系统管理率69.05%。筛查出高危孕妇50人，住院分娩率100%</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对筛出的高危孕妇均进行专案管理，并有评分及指导治疗。</w:t>
      </w:r>
    </w:p>
    <w:p>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color w:val="auto"/>
          <w:kern w:val="0"/>
          <w:sz w:val="32"/>
          <w:szCs w:val="32"/>
          <w:highlight w:val="none"/>
          <w:lang w:val="en-US" w:eastAsia="zh-CN" w:bidi="ar-SA"/>
        </w:rPr>
        <w:t>（2）2023年举办健康教育宣传专栏4期，主要内容为：妇幼保健宣传知识、0-6岁儿童保健知识，出生缺陷干预知识、母乳喂养知识、艾滋病防治知识，新生方式知识，护理等。发放健康宣传资料260份。并做好保健服务，将健康教育贯穿整个孕产期，及时解决孕妇思想顾虑，使每个孕妇安全度过孕产期。三、叶酸项目：为加强出生缺陷干预工作，降低我县神经管缺陷发生率，提高出生人口素质，今年，在县卫健委、妇幼保健院的领导下我镇农村实施增补叶酸预防神经管缺陷项目。我院对各村准备怀孕和怀孕早期的农村妇女进行摸底调查并发放宣传单，入户通知其领取叶酸片，全年共有67人增补叶酸，发放叶酸共337瓶，并对其进行健康教育，签订知情同意书，使服药对象正确了解相关知识，提高叶酸使用率和依从率。通过这种近距离地和老百姓接触，也让我们医务人员进一步感受到了作为妇幼保健人员肩上的责任和重担</w:t>
      </w:r>
      <w:r>
        <w:rPr>
          <w:rFonts w:hint="eastAsia" w:ascii="仿宋_GB2312" w:hAnsi="仿宋_GB2312" w:eastAsia="仿宋_GB2312" w:cs="仿宋_GB2312"/>
          <w:color w:val="auto"/>
          <w:kern w:val="0"/>
          <w:sz w:val="32"/>
          <w:szCs w:val="32"/>
          <w:highlight w:val="none"/>
          <w:lang w:val="en-US" w:eastAsia="zh-CN" w:bidi="ar-SA"/>
        </w:rPr>
        <w:t>。</w:t>
      </w:r>
    </w:p>
    <w:p>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我单位年初预算数为768.41万元，实际预算执行数768.41万元，预算执行率为100%。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全年预算数为1473.06万元，全年实际支出资金1473.06万元，预算执行率为100%。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768.41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704.65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1473.06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91.7</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1473.06</w:t>
      </w:r>
      <w:r>
        <w:rPr>
          <w:rFonts w:hint="default"/>
          <w:color w:val="auto"/>
          <w:highlight w:val="none"/>
          <w:lang w:val="en-US" w:eastAsia="zh-CN"/>
        </w:rPr>
        <w:t>万元，其中：</w:t>
      </w:r>
    </w:p>
    <w:p>
      <w:pPr>
        <w:bidi w:val="0"/>
        <w:ind w:left="0" w:leftChars="0" w:firstLine="0" w:firstLineChars="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1203.72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165.04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104.3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269.33</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1203.72万元，全年实际支出1203.72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465.24万元，主要包括：基本工资、津贴补贴、奖金、绩效工资、机关事业单位基本养老保险缴费、职业年金缴费、职工基本医疗保险缴费、其他社会保障缴费、住房公积金、其他工资福利支出、生活补助。</w:t>
      </w:r>
    </w:p>
    <w:p>
      <w:pPr>
        <w:bidi w:val="0"/>
        <w:rPr>
          <w:rFonts w:hint="eastAsia"/>
          <w:color w:val="auto"/>
          <w:highlight w:val="none"/>
          <w:lang w:val="en-US" w:eastAsia="zh-CN"/>
        </w:rPr>
      </w:pPr>
      <w:r>
        <w:rPr>
          <w:rFonts w:hint="eastAsia"/>
          <w:color w:val="auto"/>
          <w:highlight w:val="none"/>
          <w:lang w:val="en-US" w:eastAsia="zh-CN"/>
        </w:rPr>
        <w:t>公用经费支出738.48万元，主要包括：办公费、印刷费、咨询费、电费、邮电费、取暖费、维修（护）费、专用材料费、其他交通费等。</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项目支出预算269.33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其中：上级专项资金225.48万元，本级财政资金43.85万元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269.33万元，其中基本药物制度补助资金32.7万元、基本公共卫生服务配套资金232.83万元、重大传染病防治补助资金3.8万元。项目资金全部通过财政国库集中支付方式直接拨给项目实施单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度安排项目支出资金269.33万元，</w:t>
      </w:r>
      <w:r>
        <w:rPr>
          <w:rFonts w:hint="eastAsia"/>
          <w:color w:val="auto"/>
          <w:highlight w:val="none"/>
          <w:lang w:eastAsia="zh-CN"/>
        </w:rPr>
        <w:t>实际</w:t>
      </w:r>
      <w:r>
        <w:rPr>
          <w:rFonts w:hint="eastAsia"/>
          <w:color w:val="auto"/>
          <w:highlight w:val="none"/>
          <w:lang w:val="en-US" w:eastAsia="zh-CN"/>
        </w:rPr>
        <w:t>支出269.33</w:t>
      </w:r>
      <w:r>
        <w:rPr>
          <w:rFonts w:hint="eastAsia"/>
          <w:color w:val="auto"/>
          <w:highlight w:val="none"/>
          <w:lang w:eastAsia="zh-CN"/>
        </w:rPr>
        <w:t>万元，</w:t>
      </w:r>
      <w:r>
        <w:rPr>
          <w:rFonts w:hint="eastAsia"/>
          <w:color w:val="auto"/>
          <w:highlight w:val="none"/>
          <w:lang w:val="en-US" w:eastAsia="zh-CN"/>
        </w:rPr>
        <w:t>其中：上级专项资金支出225.48万元，本级财政安排项目资金支出43.85万元，项目预算资金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bookmarkStart w:id="6" w:name="_GoBack"/>
      <w:bookmarkEnd w:id="6"/>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32.7</w:t>
      </w:r>
      <w:r>
        <w:rPr>
          <w:rFonts w:hint="default"/>
          <w:color w:val="auto"/>
          <w:highlight w:val="none"/>
          <w:lang w:val="en-US" w:eastAsia="zh-CN"/>
        </w:rPr>
        <w:t>万元，公共卫生支出</w:t>
      </w:r>
      <w:r>
        <w:rPr>
          <w:rFonts w:hint="eastAsia"/>
          <w:color w:val="auto"/>
          <w:highlight w:val="none"/>
          <w:lang w:val="en-US" w:eastAsia="zh-CN"/>
        </w:rPr>
        <w:t>236.63</w:t>
      </w:r>
      <w:r>
        <w:rPr>
          <w:rFonts w:hint="default"/>
          <w:color w:val="auto"/>
          <w:highlight w:val="none"/>
          <w:lang w:val="en-US" w:eastAsia="zh-CN"/>
        </w:rPr>
        <w:t>万元</w:t>
      </w:r>
      <w:r>
        <w:rPr>
          <w:rFonts w:hint="eastAsia"/>
          <w:color w:val="auto"/>
          <w:highlight w:val="none"/>
          <w:lang w:val="en-US" w:eastAsia="zh-CN"/>
        </w:rPr>
        <w:t>。</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numPr>
          <w:ilvl w:val="0"/>
          <w:numId w:val="0"/>
        </w:numPr>
        <w:bidi w:val="0"/>
        <w:ind w:firstLine="643" w:firstLineChars="200"/>
        <w:rPr>
          <w:rFonts w:hint="default"/>
          <w:color w:val="auto"/>
          <w:highlight w:val="none"/>
          <w:lang w:val="en-US"/>
        </w:rPr>
      </w:pPr>
      <w:r>
        <w:rPr>
          <w:rFonts w:hint="eastAsia"/>
          <w:color w:val="auto"/>
          <w:highlight w:val="none"/>
          <w:lang w:val="en-US" w:eastAsia="zh-CN"/>
        </w:rPr>
        <w:t>（一）基本支出预算执行率</w:t>
      </w:r>
    </w:p>
    <w:p>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“基本支出预算执行率”控制率指标年初设定目标是=100%，年中绩效运行监控时完成值48%，年终实际完成值是100%，指标完成率是100%，达到了“三公经费”合理控制的预期目标。偏差原因：无偏差。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pPr>
        <w:pStyle w:val="3"/>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在职人员经费保障人数指标年初设定目标是&gt;=26人，年中绩效运行监控时完成值</w:t>
      </w:r>
      <w:r>
        <w:rPr>
          <w:rFonts w:hint="eastAsia" w:cs="仿宋_GB2312"/>
          <w:b w:val="0"/>
          <w:bCs w:val="0"/>
          <w:color w:val="auto"/>
          <w:kern w:val="2"/>
          <w:sz w:val="28"/>
          <w:szCs w:val="24"/>
          <w:highlight w:val="none"/>
          <w:lang w:val="en-US" w:eastAsia="zh-CN" w:bidi="ar-SA"/>
        </w:rPr>
        <w:t>26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26人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35000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15178</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56237</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160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pPr>
        <w:pStyle w:val="3"/>
        <w:numPr>
          <w:ilvl w:val="0"/>
          <w:numId w:val="2"/>
        </w:numPr>
        <w:bidi w:val="0"/>
        <w:ind w:leftChars="200"/>
        <w:rPr>
          <w:rFonts w:hint="eastAsia"/>
          <w:color w:val="auto"/>
          <w:highlight w:val="none"/>
          <w:lang w:val="en-US" w:eastAsia="zh-CN"/>
        </w:rPr>
      </w:pPr>
      <w:r>
        <w:rPr>
          <w:rFonts w:hint="eastAsia"/>
          <w:color w:val="auto"/>
          <w:highlight w:val="none"/>
          <w:lang w:val="en-US" w:eastAsia="zh-CN"/>
        </w:rPr>
        <w:t>住院就诊患者人数指标完成情况分析</w:t>
      </w:r>
    </w:p>
    <w:p>
      <w:pPr>
        <w:ind w:left="0" w:leftChars="0" w:firstLine="560" w:firstLineChars="200"/>
        <w:rPr>
          <w:rFonts w:hint="default"/>
          <w:color w:val="auto"/>
          <w:highlight w:val="none"/>
          <w:lang w:val="en-US" w:eastAsia="zh-CN"/>
        </w:rPr>
      </w:pPr>
      <w:r>
        <w:rPr>
          <w:rFonts w:hint="eastAsia" w:cs="仿宋_GB2312"/>
          <w:b w:val="0"/>
          <w:bCs w:val="0"/>
          <w:color w:val="auto"/>
          <w:kern w:val="2"/>
          <w:sz w:val="28"/>
          <w:szCs w:val="24"/>
          <w:highlight w:val="none"/>
          <w:lang w:val="en-US" w:eastAsia="zh-CN" w:bidi="ar-SA"/>
        </w:rPr>
        <w:t>住院就诊患者</w:t>
      </w:r>
      <w:r>
        <w:rPr>
          <w:rFonts w:hint="eastAsia" w:ascii="仿宋_GB2312" w:hAnsi="仿宋_GB2312" w:eastAsia="仿宋" w:cs="仿宋_GB2312"/>
          <w:b w:val="0"/>
          <w:bCs w:val="0"/>
          <w:color w:val="auto"/>
          <w:kern w:val="2"/>
          <w:sz w:val="28"/>
          <w:szCs w:val="24"/>
          <w:highlight w:val="none"/>
          <w:lang w:val="en-US" w:eastAsia="zh-CN" w:bidi="ar-SA"/>
        </w:rPr>
        <w:t>人次指标年初设定目标是&gt;=</w:t>
      </w:r>
      <w:r>
        <w:rPr>
          <w:rFonts w:hint="eastAsia" w:cs="仿宋_GB2312"/>
          <w:b w:val="0"/>
          <w:bCs w:val="0"/>
          <w:color w:val="auto"/>
          <w:kern w:val="2"/>
          <w:sz w:val="28"/>
          <w:szCs w:val="24"/>
          <w:highlight w:val="none"/>
          <w:lang w:val="en-US" w:eastAsia="zh-CN" w:bidi="ar-SA"/>
        </w:rPr>
        <w:t>720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1004</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2801</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389</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住院患者量增加，医疗收入提高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因2023年流感病毒反复，导致住院患者大幅增加。</w:t>
      </w:r>
      <w:r>
        <w:rPr>
          <w:rFonts w:hint="eastAsia"/>
          <w:color w:val="auto"/>
          <w:highlight w:val="none"/>
          <w:lang w:val="en-US" w:eastAsia="zh-CN"/>
        </w:rPr>
        <w:t>改进措施：年初预算时充分考虑多方面因素，使预算更加精确。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pPr>
        <w:pStyle w:val="4"/>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3"/>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pPr>
        <w:rPr>
          <w:rFonts w:hint="eastAsia"/>
          <w:color w:val="auto"/>
          <w:highlight w:val="none"/>
          <w:lang w:val="en-US" w:eastAsia="zh-CN"/>
        </w:rPr>
      </w:pPr>
    </w:p>
    <w:p>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pPr>
        <w:pStyle w:val="4"/>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医保政策知晓率指标年初设定目标是&gt;=90%，年中绩效运行监控时完成值100%，年终实际完成值是100%，指标完成率是100%，提高了居民对医保政策的理解和信任的预期目标。偏差原因：无偏差。</w:t>
      </w:r>
    </w:p>
    <w:p>
      <w:pPr>
        <w:pStyle w:val="4"/>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提升本辖区居民健康水平指标年初设定目标是&gt;=85%，年中绩效运行监控时完成值未达监控节点，年终实际完成值是90%，指标完成率是100%，提高了本辖区居民健康水平的预期目标。偏差原因：无偏差。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居民满意度指标年初设定目标是&gt;=85%，年中绩效运行监控时完成值未达监控节点，年终实际完成值是100%，指标完成率是100%，提升了患者满意度和就诊体验的预期目标。偏差原因：无偏差。</w:t>
      </w:r>
    </w:p>
    <w:p>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（十三）单位年度计划指标完成情况分析</w:t>
      </w:r>
    </w:p>
    <w:p>
      <w:pPr>
        <w:bidi w:val="0"/>
        <w:ind w:left="0" w:leftChars="0" w:firstLine="560" w:firstLineChars="200"/>
        <w:rPr>
          <w:rFonts w:hint="eastAsia"/>
          <w:color w:val="auto"/>
          <w:highlight w:val="none"/>
          <w:lang w:val="en-US" w:eastAsia="zh-CN"/>
        </w:rPr>
      </w:pPr>
      <w:r>
        <w:rPr>
          <w:rFonts w:hint="eastAsia"/>
          <w:color w:val="auto"/>
          <w:highlight w:val="none"/>
          <w:lang w:val="en-US" w:eastAsia="zh-CN"/>
        </w:rPr>
        <w:t>单位年度计划年初设定目标是&gt;=90%，年中绩效运行监控时完成值未达监控节点，年终实际完成值是100%，指标完成率是100%，增强了员工的积极性，提高了工作效率，减少人员流失的预期目标。偏差原因：无偏差。</w:t>
      </w:r>
    </w:p>
    <w:p>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w:t>
      </w:r>
      <w:r>
        <w:rPr>
          <w:rFonts w:hint="eastAsia" w:ascii="Times New Roman" w:hAnsi="Times New Roman" w:cs="Times New Roman"/>
          <w:color w:val="auto"/>
          <w:highlight w:val="none"/>
          <w:lang w:val="en-US" w:eastAsia="zh-CN"/>
        </w:rPr>
        <w:t>合得分100分</w:t>
      </w:r>
      <w:r>
        <w:rPr>
          <w:rFonts w:hint="eastAsia"/>
          <w:color w:val="auto"/>
          <w:highlight w:val="none"/>
          <w:lang w:eastAsia="zh-CN"/>
        </w:rPr>
        <w:t>，评价结果为“优”。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额勒再特乌鲁乡卫生院</w:t>
      </w:r>
      <w:r>
        <w:rPr>
          <w:rFonts w:hint="default"/>
          <w:color w:val="auto"/>
          <w:highlight w:val="none"/>
          <w:lang w:eastAsia="zh-CN"/>
        </w:rPr>
        <w:t>坚持以习近平新时代中国特色社会主义重要思想为指导，深入贯彻党的</w:t>
      </w:r>
      <w:r>
        <w:rPr>
          <w:rFonts w:hint="default"/>
          <w:color w:val="auto"/>
          <w:highlight w:val="none"/>
          <w:lang w:val="en-US" w:eastAsia="zh-CN"/>
        </w:rPr>
        <w:t>二十</w:t>
      </w:r>
      <w:r>
        <w:rPr>
          <w:rFonts w:hint="default"/>
          <w:color w:val="auto"/>
          <w:highlight w:val="none"/>
          <w:lang w:eastAsia="zh-CN"/>
        </w:rPr>
        <w:t>大精神</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pPr>
        <w:pStyle w:val="2"/>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2"/>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F0E525B1"/>
    <w:multiLevelType w:val="singleLevel"/>
    <w:tmpl w:val="F0E525B1"/>
    <w:lvl w:ilvl="0" w:tentative="0">
      <w:start w:val="2"/>
      <w:numFmt w:val="chineseCounting"/>
      <w:suff w:val="nothing"/>
      <w:lvlText w:val="（%1）"/>
      <w:lvlJc w:val="left"/>
      <w:rPr>
        <w:rFonts w:hint="eastAsia"/>
      </w:rPr>
    </w:lvl>
  </w:abstractNum>
  <w:abstractNum w:abstractNumId="2">
    <w:nsid w:val="510EB09C"/>
    <w:multiLevelType w:val="singleLevel"/>
    <w:tmpl w:val="510EB09C"/>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377801"/>
    <w:rsid w:val="02C40969"/>
    <w:rsid w:val="040A684F"/>
    <w:rsid w:val="04892162"/>
    <w:rsid w:val="04DB4953"/>
    <w:rsid w:val="04FF0482"/>
    <w:rsid w:val="05062887"/>
    <w:rsid w:val="05464D81"/>
    <w:rsid w:val="0575419C"/>
    <w:rsid w:val="05F70F85"/>
    <w:rsid w:val="0607573C"/>
    <w:rsid w:val="06547701"/>
    <w:rsid w:val="06EA61B0"/>
    <w:rsid w:val="06EC048E"/>
    <w:rsid w:val="072B19D6"/>
    <w:rsid w:val="07672E8A"/>
    <w:rsid w:val="07F75BB0"/>
    <w:rsid w:val="084208C4"/>
    <w:rsid w:val="090118C6"/>
    <w:rsid w:val="095A3DD5"/>
    <w:rsid w:val="098A3C0A"/>
    <w:rsid w:val="09A24E4E"/>
    <w:rsid w:val="0A9A7091"/>
    <w:rsid w:val="0ABB584A"/>
    <w:rsid w:val="0BDF6813"/>
    <w:rsid w:val="0C48260B"/>
    <w:rsid w:val="0C6738B8"/>
    <w:rsid w:val="0CD10852"/>
    <w:rsid w:val="0CE47028"/>
    <w:rsid w:val="0D075AA7"/>
    <w:rsid w:val="0D350215"/>
    <w:rsid w:val="0D5F7C0C"/>
    <w:rsid w:val="0DBF06AB"/>
    <w:rsid w:val="0DCF43E9"/>
    <w:rsid w:val="0E7D784C"/>
    <w:rsid w:val="0FBC1346"/>
    <w:rsid w:val="10300946"/>
    <w:rsid w:val="10A122E9"/>
    <w:rsid w:val="10FE60D7"/>
    <w:rsid w:val="11032FA4"/>
    <w:rsid w:val="133B6A25"/>
    <w:rsid w:val="13477178"/>
    <w:rsid w:val="134F7771"/>
    <w:rsid w:val="13D85846"/>
    <w:rsid w:val="13E513B9"/>
    <w:rsid w:val="14FB46BE"/>
    <w:rsid w:val="158C5316"/>
    <w:rsid w:val="15AC7766"/>
    <w:rsid w:val="15B904C0"/>
    <w:rsid w:val="165C118C"/>
    <w:rsid w:val="17125CEF"/>
    <w:rsid w:val="172D035F"/>
    <w:rsid w:val="175D58E3"/>
    <w:rsid w:val="17E51656"/>
    <w:rsid w:val="18061B60"/>
    <w:rsid w:val="18906761"/>
    <w:rsid w:val="190C3DF8"/>
    <w:rsid w:val="19AA4D08"/>
    <w:rsid w:val="19B9393C"/>
    <w:rsid w:val="19F83E30"/>
    <w:rsid w:val="1A6C1BBA"/>
    <w:rsid w:val="1B403139"/>
    <w:rsid w:val="1C663033"/>
    <w:rsid w:val="1C6D319F"/>
    <w:rsid w:val="1D13631D"/>
    <w:rsid w:val="1D384A93"/>
    <w:rsid w:val="1D4D74D6"/>
    <w:rsid w:val="1DE32CFD"/>
    <w:rsid w:val="1E8C282B"/>
    <w:rsid w:val="1F1A602A"/>
    <w:rsid w:val="1F2854B6"/>
    <w:rsid w:val="1FA55C42"/>
    <w:rsid w:val="20450EE3"/>
    <w:rsid w:val="209329A5"/>
    <w:rsid w:val="217D20CE"/>
    <w:rsid w:val="21C67E02"/>
    <w:rsid w:val="21C768CD"/>
    <w:rsid w:val="22E14253"/>
    <w:rsid w:val="22E91FFA"/>
    <w:rsid w:val="23775858"/>
    <w:rsid w:val="23931BB2"/>
    <w:rsid w:val="23F209A3"/>
    <w:rsid w:val="2403516E"/>
    <w:rsid w:val="24E71FCC"/>
    <w:rsid w:val="256A2A9E"/>
    <w:rsid w:val="25B65683"/>
    <w:rsid w:val="26BF16F1"/>
    <w:rsid w:val="271B474C"/>
    <w:rsid w:val="27F7226E"/>
    <w:rsid w:val="2805537E"/>
    <w:rsid w:val="289437EE"/>
    <w:rsid w:val="297873DB"/>
    <w:rsid w:val="29F35E61"/>
    <w:rsid w:val="2A285817"/>
    <w:rsid w:val="2A691C72"/>
    <w:rsid w:val="2B0E2C74"/>
    <w:rsid w:val="2B6F150A"/>
    <w:rsid w:val="2BB557CB"/>
    <w:rsid w:val="2BC51751"/>
    <w:rsid w:val="2BFD2672"/>
    <w:rsid w:val="2C3B13EC"/>
    <w:rsid w:val="2D166684"/>
    <w:rsid w:val="2EBF757D"/>
    <w:rsid w:val="2F193C67"/>
    <w:rsid w:val="30161F54"/>
    <w:rsid w:val="313A1C72"/>
    <w:rsid w:val="31864EB8"/>
    <w:rsid w:val="31927D00"/>
    <w:rsid w:val="31AE39CE"/>
    <w:rsid w:val="31B83F5F"/>
    <w:rsid w:val="320D7387"/>
    <w:rsid w:val="328E2AB6"/>
    <w:rsid w:val="329655CE"/>
    <w:rsid w:val="329B12EA"/>
    <w:rsid w:val="32B61131"/>
    <w:rsid w:val="32FB1A54"/>
    <w:rsid w:val="331A3077"/>
    <w:rsid w:val="33291F9F"/>
    <w:rsid w:val="332E3A59"/>
    <w:rsid w:val="338E69A7"/>
    <w:rsid w:val="33A83F87"/>
    <w:rsid w:val="340D2D0F"/>
    <w:rsid w:val="348F1A9E"/>
    <w:rsid w:val="355C2B3F"/>
    <w:rsid w:val="356B4AF0"/>
    <w:rsid w:val="35F12468"/>
    <w:rsid w:val="361C63E1"/>
    <w:rsid w:val="36851B5C"/>
    <w:rsid w:val="36E667CE"/>
    <w:rsid w:val="36FE0561"/>
    <w:rsid w:val="3714684D"/>
    <w:rsid w:val="37296A11"/>
    <w:rsid w:val="373C4996"/>
    <w:rsid w:val="37661A13"/>
    <w:rsid w:val="377203B8"/>
    <w:rsid w:val="377A54BF"/>
    <w:rsid w:val="379871D0"/>
    <w:rsid w:val="37BA58BB"/>
    <w:rsid w:val="37D360CA"/>
    <w:rsid w:val="3882287D"/>
    <w:rsid w:val="38CB5066"/>
    <w:rsid w:val="38CD161E"/>
    <w:rsid w:val="38E054C9"/>
    <w:rsid w:val="3A565DE9"/>
    <w:rsid w:val="3A944AE9"/>
    <w:rsid w:val="3AB111F7"/>
    <w:rsid w:val="3AC36A27"/>
    <w:rsid w:val="3B4A33FA"/>
    <w:rsid w:val="3B4A3407"/>
    <w:rsid w:val="3BA26036"/>
    <w:rsid w:val="3C127AB0"/>
    <w:rsid w:val="3CCA58BE"/>
    <w:rsid w:val="3F301058"/>
    <w:rsid w:val="3F6333C2"/>
    <w:rsid w:val="3FFD6C8D"/>
    <w:rsid w:val="4021297B"/>
    <w:rsid w:val="414D154E"/>
    <w:rsid w:val="417A34F9"/>
    <w:rsid w:val="418810F4"/>
    <w:rsid w:val="41A37673"/>
    <w:rsid w:val="42503F5E"/>
    <w:rsid w:val="425D1C65"/>
    <w:rsid w:val="42C30950"/>
    <w:rsid w:val="437C0C80"/>
    <w:rsid w:val="43C7383A"/>
    <w:rsid w:val="43F63628"/>
    <w:rsid w:val="448654A3"/>
    <w:rsid w:val="44EB17AA"/>
    <w:rsid w:val="45091C30"/>
    <w:rsid w:val="459B4F7E"/>
    <w:rsid w:val="45A65C7F"/>
    <w:rsid w:val="45F13359"/>
    <w:rsid w:val="45F4643C"/>
    <w:rsid w:val="468C2A4A"/>
    <w:rsid w:val="46AD2493"/>
    <w:rsid w:val="46EC7F14"/>
    <w:rsid w:val="471276CB"/>
    <w:rsid w:val="47CA7D9C"/>
    <w:rsid w:val="47DB3D58"/>
    <w:rsid w:val="47DB6569"/>
    <w:rsid w:val="480D0379"/>
    <w:rsid w:val="48194880"/>
    <w:rsid w:val="485A1120"/>
    <w:rsid w:val="48AF4C7F"/>
    <w:rsid w:val="48CF1F4A"/>
    <w:rsid w:val="491A08B0"/>
    <w:rsid w:val="4A487993"/>
    <w:rsid w:val="4A5B46DD"/>
    <w:rsid w:val="4A633B90"/>
    <w:rsid w:val="4A6F6A56"/>
    <w:rsid w:val="4A7162AD"/>
    <w:rsid w:val="4A81677A"/>
    <w:rsid w:val="4AD43BE1"/>
    <w:rsid w:val="4B3B5348"/>
    <w:rsid w:val="4B4032D9"/>
    <w:rsid w:val="4B72052F"/>
    <w:rsid w:val="4C5440D8"/>
    <w:rsid w:val="4D2143D5"/>
    <w:rsid w:val="4DA177B2"/>
    <w:rsid w:val="4DA370C6"/>
    <w:rsid w:val="4DF36D4F"/>
    <w:rsid w:val="4E105DDD"/>
    <w:rsid w:val="4E50267E"/>
    <w:rsid w:val="4E6879C7"/>
    <w:rsid w:val="4EDB63EB"/>
    <w:rsid w:val="4F2E6E63"/>
    <w:rsid w:val="4F5B577E"/>
    <w:rsid w:val="4F6B5159"/>
    <w:rsid w:val="501B7C76"/>
    <w:rsid w:val="501F0559"/>
    <w:rsid w:val="504D5CCF"/>
    <w:rsid w:val="50744D49"/>
    <w:rsid w:val="511A2CA6"/>
    <w:rsid w:val="52BE405A"/>
    <w:rsid w:val="533A7469"/>
    <w:rsid w:val="53526129"/>
    <w:rsid w:val="538B4CD8"/>
    <w:rsid w:val="53A21BCD"/>
    <w:rsid w:val="541D74A6"/>
    <w:rsid w:val="54394F3D"/>
    <w:rsid w:val="54A84FC1"/>
    <w:rsid w:val="54DC110F"/>
    <w:rsid w:val="54E12281"/>
    <w:rsid w:val="551667DC"/>
    <w:rsid w:val="55570796"/>
    <w:rsid w:val="55C834CC"/>
    <w:rsid w:val="565F61A9"/>
    <w:rsid w:val="56AD4B11"/>
    <w:rsid w:val="57232FC4"/>
    <w:rsid w:val="572D2326"/>
    <w:rsid w:val="57365691"/>
    <w:rsid w:val="59C53F20"/>
    <w:rsid w:val="59CA59DA"/>
    <w:rsid w:val="59EE1E48"/>
    <w:rsid w:val="5A490F5C"/>
    <w:rsid w:val="5A9164F8"/>
    <w:rsid w:val="5A9E4667"/>
    <w:rsid w:val="5B805E16"/>
    <w:rsid w:val="5BBC75A4"/>
    <w:rsid w:val="5BD21464"/>
    <w:rsid w:val="5BDE2B83"/>
    <w:rsid w:val="5C777282"/>
    <w:rsid w:val="5CFC234E"/>
    <w:rsid w:val="5D577585"/>
    <w:rsid w:val="5D5E4DB7"/>
    <w:rsid w:val="5FB07420"/>
    <w:rsid w:val="61635F72"/>
    <w:rsid w:val="617526CF"/>
    <w:rsid w:val="618606C5"/>
    <w:rsid w:val="6192502F"/>
    <w:rsid w:val="6224402D"/>
    <w:rsid w:val="62516C98"/>
    <w:rsid w:val="630F26B0"/>
    <w:rsid w:val="636649C5"/>
    <w:rsid w:val="6384067A"/>
    <w:rsid w:val="638D125E"/>
    <w:rsid w:val="6396333E"/>
    <w:rsid w:val="63E114D3"/>
    <w:rsid w:val="64033FC2"/>
    <w:rsid w:val="656C5B97"/>
    <w:rsid w:val="65B174D2"/>
    <w:rsid w:val="66951451"/>
    <w:rsid w:val="66C8504F"/>
    <w:rsid w:val="676E7A34"/>
    <w:rsid w:val="680E0276"/>
    <w:rsid w:val="68A85138"/>
    <w:rsid w:val="690031C6"/>
    <w:rsid w:val="69160DDB"/>
    <w:rsid w:val="69540E1C"/>
    <w:rsid w:val="697B284D"/>
    <w:rsid w:val="69FA7C16"/>
    <w:rsid w:val="6A2B751B"/>
    <w:rsid w:val="6AD46D46"/>
    <w:rsid w:val="6B07083C"/>
    <w:rsid w:val="6B623CC4"/>
    <w:rsid w:val="6B6C65E0"/>
    <w:rsid w:val="6C2B67AC"/>
    <w:rsid w:val="6CB31465"/>
    <w:rsid w:val="6CDC1854"/>
    <w:rsid w:val="6D8D0DA1"/>
    <w:rsid w:val="6D8F2D6B"/>
    <w:rsid w:val="6DB91B96"/>
    <w:rsid w:val="6DE07909"/>
    <w:rsid w:val="6E0C3182"/>
    <w:rsid w:val="6E58438A"/>
    <w:rsid w:val="6E7066F8"/>
    <w:rsid w:val="6E9D5508"/>
    <w:rsid w:val="6F235519"/>
    <w:rsid w:val="6F871359"/>
    <w:rsid w:val="7012558D"/>
    <w:rsid w:val="702A64CF"/>
    <w:rsid w:val="711B7F18"/>
    <w:rsid w:val="71665B90"/>
    <w:rsid w:val="71EB22B3"/>
    <w:rsid w:val="72010FA6"/>
    <w:rsid w:val="72873462"/>
    <w:rsid w:val="730542C9"/>
    <w:rsid w:val="733F48EB"/>
    <w:rsid w:val="73CF5C6F"/>
    <w:rsid w:val="73F13E37"/>
    <w:rsid w:val="74122000"/>
    <w:rsid w:val="74212849"/>
    <w:rsid w:val="744C1D4E"/>
    <w:rsid w:val="74602D6B"/>
    <w:rsid w:val="7487654A"/>
    <w:rsid w:val="748A4F72"/>
    <w:rsid w:val="74934EEE"/>
    <w:rsid w:val="74961819"/>
    <w:rsid w:val="74D46F06"/>
    <w:rsid w:val="750202C6"/>
    <w:rsid w:val="75664078"/>
    <w:rsid w:val="761E4132"/>
    <w:rsid w:val="77707769"/>
    <w:rsid w:val="78061A79"/>
    <w:rsid w:val="78713799"/>
    <w:rsid w:val="78866B18"/>
    <w:rsid w:val="79181486"/>
    <w:rsid w:val="7A015F2D"/>
    <w:rsid w:val="7AE66273"/>
    <w:rsid w:val="7AFE508C"/>
    <w:rsid w:val="7B2561EC"/>
    <w:rsid w:val="7B587F11"/>
    <w:rsid w:val="7BC003CA"/>
    <w:rsid w:val="7C095548"/>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2590</Words>
  <Characters>2809</Characters>
  <Lines>7</Lines>
  <Paragraphs>2</Paragraphs>
  <TotalTime>6</TotalTime>
  <ScaleCrop>false</ScaleCrop>
  <LinksUpToDate>false</LinksUpToDate>
  <CharactersWithSpaces>2809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2024-08-11T07:11:48Z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6D9ECEA468A64F39B5618DBE57EC31CB_13</vt:lpwstr>
  </property>
</Properties>
</file>