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和静县巴伦台镇中心卫生院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和静县巴伦台镇中心卫生院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32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31</w:t>
      </w:r>
      <w:r>
        <w:rPr>
          <w:rFonts w:hint="eastAsia"/>
          <w:color w:val="auto"/>
          <w:szCs w:val="28"/>
          <w:highlight w:val="none"/>
        </w:rPr>
        <w:t>人，退休人员</w:t>
      </w:r>
      <w:r>
        <w:rPr>
          <w:rFonts w:hint="eastAsia"/>
          <w:color w:val="auto"/>
          <w:szCs w:val="28"/>
          <w:highlight w:val="none"/>
          <w:lang w:val="en-US" w:eastAsia="zh-CN"/>
        </w:rPr>
        <w:t>30</w:t>
      </w:r>
      <w:r>
        <w:rPr>
          <w:rFonts w:hint="eastAsia"/>
          <w:color w:val="auto"/>
          <w:szCs w:val="28"/>
          <w:highlight w:val="none"/>
        </w:rPr>
        <w:t>人。年末实有在职人数</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30</w:t>
      </w:r>
      <w:r>
        <w:rPr>
          <w:rFonts w:hint="eastAsia"/>
          <w:color w:val="auto"/>
          <w:szCs w:val="28"/>
          <w:highlight w:val="none"/>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w:t>
      </w:r>
      <w:r>
        <w:rPr>
          <w:rFonts w:hint="default" w:ascii="Times New Roman" w:hAnsi="Times New Roman" w:cs="Times New Roman"/>
          <w:bCs/>
          <w:color w:val="auto"/>
          <w:highlight w:val="none"/>
          <w:lang w:val="en-US" w:eastAsia="zh-CN"/>
        </w:rPr>
        <w:t>585.7</w:t>
      </w:r>
      <w:r>
        <w:rPr>
          <w:rFonts w:hint="eastAsia" w:ascii="Times New Roman" w:hAnsi="Times New Roman" w:cs="Times New Roman"/>
          <w:bCs/>
          <w:color w:val="auto"/>
          <w:highlight w:val="none"/>
          <w:lang w:val="en-US" w:eastAsia="zh-CN"/>
        </w:rPr>
        <w:t>6万元，实际预算执行数585.76万元，预算执行率为100%。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val="en-US" w:eastAsia="zh-CN"/>
        </w:rPr>
        <w:t>万元，全年实际支出资金</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val="en-US" w:eastAsia="zh-CN"/>
        </w:rPr>
        <w:t>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585.76</w:t>
      </w:r>
      <w:r>
        <w:rPr>
          <w:rFonts w:hint="eastAsia" w:ascii="Times New Roman" w:hAnsi="Times New Roman" w:cs="Times New Roman"/>
          <w:bCs/>
          <w:color w:val="auto"/>
          <w:highlight w:val="none"/>
          <w:lang w:eastAsia="zh-CN"/>
        </w:rPr>
        <w:t>万元，年中调整数</w:t>
      </w:r>
      <w:r>
        <w:rPr>
          <w:rFonts w:hint="default" w:ascii="Times New Roman" w:hAnsi="Times New Roman" w:cs="Times New Roman"/>
          <w:bCs/>
          <w:color w:val="auto"/>
          <w:highlight w:val="none"/>
          <w:lang w:val="en-US" w:eastAsia="zh-CN"/>
        </w:rPr>
        <w:t>170.7</w:t>
      </w:r>
      <w:r>
        <w:rPr>
          <w:rFonts w:hint="eastAsia" w:ascii="Times New Roman" w:hAnsi="Times New Roman" w:cs="Times New Roman"/>
          <w:bCs/>
          <w:color w:val="auto"/>
          <w:highlight w:val="none"/>
          <w:lang w:eastAsia="zh-CN"/>
        </w:rPr>
        <w:t>万元，调整后全年预算数</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eastAsia="zh-CN"/>
        </w:rPr>
        <w:t>万元，预算调整率</w:t>
      </w:r>
      <w:r>
        <w:rPr>
          <w:rFonts w:hint="default" w:ascii="Times New Roman" w:hAnsi="Times New Roman" w:cs="Times New Roman"/>
          <w:bCs/>
          <w:color w:val="auto"/>
          <w:highlight w:val="none"/>
          <w:lang w:val="en-US" w:eastAsia="zh-CN"/>
        </w:rPr>
        <w:t>29.14</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我单位2023年度部门整体支出为756.45万元，其中：</w:t>
      </w:r>
    </w:p>
    <w:p>
      <w:pPr>
        <w:bidi w:val="0"/>
        <w:rPr>
          <w:rFonts w:hint="default"/>
          <w:color w:val="auto"/>
          <w:highlight w:val="none"/>
          <w:lang w:val="en-US" w:eastAsia="zh-CN"/>
        </w:rPr>
      </w:pPr>
      <w:r>
        <w:rPr>
          <w:rFonts w:hint="default"/>
          <w:color w:val="auto"/>
          <w:highlight w:val="none"/>
          <w:lang w:val="en-US" w:eastAsia="zh-CN"/>
        </w:rPr>
        <w:t>基本支出715.86万元，资金的使用方向为我单位机关人员经费支出581.09万元</w:t>
      </w:r>
      <w:r>
        <w:rPr>
          <w:rFonts w:hint="eastAsia"/>
          <w:color w:val="auto"/>
          <w:highlight w:val="none"/>
          <w:lang w:val="en-US" w:eastAsia="zh-CN"/>
        </w:rPr>
        <w:t>，</w:t>
      </w:r>
      <w:r>
        <w:rPr>
          <w:rFonts w:hint="default"/>
          <w:color w:val="auto"/>
          <w:highlight w:val="none"/>
          <w:lang w:val="en-US" w:eastAsia="zh-CN"/>
        </w:rPr>
        <w:t>日常公用经费支出134.77万元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项目支出共计40.59万元，主要用于基本药物制度补助项目、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default"/>
          <w:color w:val="auto"/>
          <w:highlight w:val="none"/>
          <w:lang w:val="en-US" w:eastAsia="zh-CN"/>
        </w:rPr>
        <w:t>756.45</w:t>
      </w:r>
      <w:r>
        <w:rPr>
          <w:rFonts w:hint="eastAsia"/>
          <w:color w:val="auto"/>
          <w:highlight w:val="none"/>
          <w:lang w:val="en-US" w:eastAsia="zh-CN"/>
        </w:rPr>
        <w:t>万元，全年实际支出</w:t>
      </w:r>
      <w:r>
        <w:rPr>
          <w:rFonts w:hint="default"/>
          <w:color w:val="auto"/>
          <w:highlight w:val="none"/>
          <w:lang w:val="en-US" w:eastAsia="zh-CN"/>
        </w:rPr>
        <w:t>756.45</w:t>
      </w:r>
      <w:r>
        <w:rPr>
          <w:rFonts w:hint="eastAsia"/>
          <w:color w:val="auto"/>
          <w:highlight w:val="none"/>
          <w:lang w:val="en-US" w:eastAsia="zh-CN"/>
        </w:rPr>
        <w:t>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581.09</w:t>
      </w:r>
      <w:r>
        <w:rPr>
          <w:rFonts w:hint="eastAsia"/>
          <w:color w:val="auto"/>
          <w:highlight w:val="none"/>
          <w:lang w:val="en-US" w:eastAsia="zh-CN"/>
        </w:rPr>
        <w:t>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134.77</w:t>
      </w:r>
      <w:r>
        <w:rPr>
          <w:rFonts w:hint="eastAsia"/>
          <w:color w:val="auto"/>
          <w:highlight w:val="none"/>
          <w:lang w:val="en-US" w:eastAsia="zh-CN"/>
        </w:rPr>
        <w:t>万元，主要包括：办公费、印刷费、咨询费、电费、邮电费、取暖费、维修（护）费、专用材料费、其他交通费等。</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40.59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其中：上级专项资金29.14万元，本级财政资金16.51万元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default"/>
          <w:color w:val="auto"/>
          <w:highlight w:val="none"/>
          <w:lang w:val="en-US" w:eastAsia="zh-CN"/>
        </w:rPr>
        <w:t>40.59</w:t>
      </w:r>
      <w:r>
        <w:rPr>
          <w:rFonts w:hint="eastAsia"/>
          <w:color w:val="auto"/>
          <w:highlight w:val="none"/>
          <w:lang w:val="en-US" w:eastAsia="zh-CN"/>
        </w:rPr>
        <w:t>万元，其中基本药物制度补助资金</w:t>
      </w:r>
      <w:r>
        <w:rPr>
          <w:rFonts w:hint="default"/>
          <w:color w:val="auto"/>
          <w:highlight w:val="none"/>
          <w:lang w:val="en-US" w:eastAsia="zh-CN"/>
        </w:rPr>
        <w:t>2.99</w:t>
      </w:r>
      <w:r>
        <w:rPr>
          <w:rFonts w:hint="eastAsia"/>
          <w:color w:val="auto"/>
          <w:highlight w:val="none"/>
          <w:lang w:val="en-US" w:eastAsia="zh-CN"/>
        </w:rPr>
        <w:t>万元、基本公共卫生服务配套资金</w:t>
      </w:r>
      <w:r>
        <w:rPr>
          <w:rFonts w:hint="default"/>
          <w:color w:val="auto"/>
          <w:highlight w:val="none"/>
          <w:lang w:val="en-US" w:eastAsia="zh-CN"/>
        </w:rPr>
        <w:t>30.58</w:t>
      </w:r>
      <w:r>
        <w:rPr>
          <w:rFonts w:hint="eastAsia"/>
          <w:color w:val="auto"/>
          <w:highlight w:val="none"/>
          <w:lang w:val="en-US" w:eastAsia="zh-CN"/>
        </w:rPr>
        <w:t>万元、重大传染病防治补助资金</w:t>
      </w:r>
      <w:r>
        <w:rPr>
          <w:rFonts w:hint="default"/>
          <w:color w:val="auto"/>
          <w:highlight w:val="none"/>
          <w:lang w:val="en-US" w:eastAsia="zh-CN"/>
        </w:rPr>
        <w:t>0.90</w:t>
      </w:r>
      <w:r>
        <w:rPr>
          <w:rFonts w:hint="eastAsia"/>
          <w:color w:val="auto"/>
          <w:highlight w:val="none"/>
          <w:lang w:val="en-US" w:eastAsia="zh-CN"/>
        </w:rPr>
        <w:t>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ind w:firstLine="560" w:firstLineChars="200"/>
        <w:rPr>
          <w:rFonts w:hint="eastAsia"/>
          <w:color w:val="auto"/>
          <w:highlight w:val="none"/>
          <w:lang w:val="en-US" w:eastAsia="zh-CN"/>
        </w:rPr>
      </w:pP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default"/>
          <w:color w:val="auto"/>
          <w:highlight w:val="none"/>
          <w:lang w:val="en-US" w:eastAsia="zh-CN"/>
        </w:rPr>
        <w:t>40.59</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40.59</w:t>
      </w:r>
      <w:r>
        <w:rPr>
          <w:rFonts w:hint="eastAsia"/>
          <w:color w:val="auto"/>
          <w:highlight w:val="none"/>
          <w:lang w:eastAsia="zh-CN"/>
        </w:rPr>
        <w:t>万元，</w:t>
      </w:r>
      <w:r>
        <w:rPr>
          <w:rFonts w:hint="eastAsia"/>
          <w:color w:val="auto"/>
          <w:highlight w:val="none"/>
          <w:lang w:val="en-US" w:eastAsia="zh-CN"/>
        </w:rPr>
        <w:t>其中：上级专项资金支出29.14万元，本级财政安排项目资金支出16.51万元，项目预算资金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包括基层医疗卫生机构支出2.99万元，公共卫生支出36.70万元，残疾人事业支出0.9万元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1"/>
        </w:numPr>
        <w:bidi w:val="0"/>
        <w:ind w:left="-80" w:leftChars="0" w:firstLineChars="0"/>
        <w:rPr>
          <w:color w:val="auto"/>
          <w:highlight w:val="none"/>
        </w:rPr>
      </w:pPr>
      <w:r>
        <w:rPr>
          <w:rFonts w:hint="eastAsia"/>
          <w:color w:val="auto"/>
          <w:highlight w:val="none"/>
          <w:lang w:val="en-US" w:eastAsia="zh-CN"/>
        </w:rPr>
        <w:t>基本支出预算执行率指标完成情况分析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基本支出预算执行率指标年初设定目标是&gt;=</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49.82</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提高了基本支出预算执行率</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在职人员经费保障人数指标年初设定目标是&gt;=32人，年中绩效运行监控时完成值</w:t>
      </w:r>
      <w:r>
        <w:rPr>
          <w:rFonts w:hint="eastAsia" w:cs="仿宋_GB2312"/>
          <w:b w:val="0"/>
          <w:bCs w:val="0"/>
          <w:color w:val="auto"/>
          <w:kern w:val="2"/>
          <w:sz w:val="28"/>
          <w:szCs w:val="24"/>
          <w:highlight w:val="none"/>
          <w:lang w:val="en-US" w:eastAsia="zh-CN" w:bidi="ar-SA"/>
        </w:rPr>
        <w:t>32</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32人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4300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4023</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8295</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192.91</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w:t>
      </w:r>
      <w:r>
        <w:rPr>
          <w:rFonts w:hint="eastAsia" w:cs="仿宋_GB2312"/>
          <w:b/>
          <w:color w:val="auto"/>
          <w:kern w:val="2"/>
          <w:sz w:val="32"/>
          <w:szCs w:val="24"/>
          <w:highlight w:val="none"/>
          <w:lang w:val="en-US" w:eastAsia="zh-CN" w:bidi="ar-SA"/>
        </w:rPr>
        <w:t>四</w:t>
      </w:r>
      <w:r>
        <w:rPr>
          <w:rFonts w:hint="eastAsia" w:ascii="Arial" w:hAnsi="Arial" w:eastAsia="楷体_GB2312" w:cs="仿宋_GB2312"/>
          <w:b/>
          <w:color w:val="auto"/>
          <w:kern w:val="2"/>
          <w:sz w:val="32"/>
          <w:szCs w:val="24"/>
          <w:highlight w:val="none"/>
          <w:lang w:val="en-US" w:eastAsia="zh-CN" w:bidi="ar-SA"/>
        </w:rPr>
        <w:t>）</w:t>
      </w:r>
      <w:r>
        <w:rPr>
          <w:rFonts w:hint="eastAsia"/>
          <w:color w:val="auto"/>
          <w:highlight w:val="none"/>
          <w:lang w:val="en-US" w:eastAsia="zh-CN"/>
        </w:rPr>
        <w:t>住院就诊患者人数指标完成情况分析</w:t>
      </w:r>
    </w:p>
    <w:p>
      <w:pPr>
        <w:ind w:left="0" w:leftChars="0" w:firstLine="560" w:firstLineChars="200"/>
        <w:rPr>
          <w:rFonts w:hint="default"/>
          <w:color w:val="auto"/>
          <w:highlight w:val="none"/>
          <w:lang w:val="en-US" w:eastAsia="zh-CN"/>
        </w:rPr>
      </w:pPr>
      <w:r>
        <w:rPr>
          <w:rFonts w:hint="eastAsia" w:cs="仿宋_GB2312"/>
          <w:b w:val="0"/>
          <w:bCs w:val="0"/>
          <w:color w:val="auto"/>
          <w:kern w:val="2"/>
          <w:sz w:val="28"/>
          <w:szCs w:val="24"/>
          <w:highlight w:val="none"/>
          <w:lang w:val="en-US" w:eastAsia="zh-CN" w:bidi="ar-SA"/>
        </w:rPr>
        <w:t>住院</w:t>
      </w:r>
      <w:r>
        <w:rPr>
          <w:rFonts w:hint="eastAsia" w:ascii="仿宋_GB2312" w:hAnsi="仿宋_GB2312" w:eastAsia="仿宋" w:cs="仿宋_GB2312"/>
          <w:b w:val="0"/>
          <w:bCs w:val="0"/>
          <w:color w:val="auto"/>
          <w:kern w:val="2"/>
          <w:sz w:val="28"/>
          <w:szCs w:val="24"/>
          <w:highlight w:val="none"/>
          <w:lang w:val="en-US" w:eastAsia="zh-CN" w:bidi="ar-SA"/>
        </w:rPr>
        <w:t>就诊人次指标年初设定目标是&gt;=</w:t>
      </w:r>
      <w:r>
        <w:rPr>
          <w:rFonts w:hint="eastAsia" w:cs="仿宋_GB2312"/>
          <w:b w:val="0"/>
          <w:bCs w:val="0"/>
          <w:color w:val="auto"/>
          <w:kern w:val="2"/>
          <w:sz w:val="28"/>
          <w:szCs w:val="24"/>
          <w:highlight w:val="none"/>
          <w:lang w:val="en-US" w:eastAsia="zh-CN" w:bidi="ar-SA"/>
        </w:rPr>
        <w:t>55</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250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320</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581.82</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4</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pPr>
        <w:rPr>
          <w:rFonts w:hint="eastAsia"/>
          <w:color w:val="auto"/>
          <w:highlight w:val="none"/>
          <w:lang w:val="en-US" w:eastAsia="zh-CN"/>
        </w:rPr>
      </w:pP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医保政策知晓率指标年初设定目标是&gt;=90%，年中绩效运行监控时完成值100%，年终实际完成值是90%，指标完成率是100%，提高了居民对医保政策的理解和信任的预期目标。偏差原因：无偏差。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提升本辖区居民健康水平指标年初设定目标是&gt;=95%，年中绩效运行监控时完成值未达监控节点，年终实际完成值是95%，指标完成率是100%，提高了本辖区居民健康水平的预期目标。偏差原因：无偏差。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居民满意度指标年初设定目标是&gt;=92%，年中绩效运行监控时完成值未达监控节点，年终实际完成值是92%，指标完成率是100%，提升了患者满意度和就诊体验的预期目标。偏差原因：无偏差。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巴伦台镇中心卫生院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w:t>
      </w:r>
      <w:bookmarkStart w:id="6" w:name="_GoBack"/>
      <w:bookmarkEnd w:id="6"/>
      <w:r>
        <w:rPr>
          <w:rFonts w:hint="eastAsia" w:ascii="仿宋_GB2312" w:hAnsi="仿宋_GB2312" w:eastAsia="仿宋_GB2312" w:cs="Times New Roman"/>
          <w:b w:val="0"/>
          <w:color w:val="auto"/>
          <w:kern w:val="2"/>
          <w:sz w:val="28"/>
          <w:szCs w:val="24"/>
          <w:highlight w:val="none"/>
          <w:lang w:val="en-US" w:eastAsia="zh-CN" w:bidi="ar-SA"/>
        </w:rPr>
        <w:t>，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890B2"/>
    <w:multiLevelType w:val="singleLevel"/>
    <w:tmpl w:val="E6D890B2"/>
    <w:lvl w:ilvl="0" w:tentative="0">
      <w:start w:val="1"/>
      <w:numFmt w:val="chineseCounting"/>
      <w:suff w:val="nothing"/>
      <w:lvlText w:val="（%1）"/>
      <w:lvlJc w:val="left"/>
      <w:pPr>
        <w:ind w:left="-80"/>
      </w:pPr>
      <w:rPr>
        <w:rFonts w:hint="eastAsia"/>
      </w:rPr>
    </w:lvl>
  </w:abstractNum>
  <w:abstractNum w:abstractNumId="1">
    <w:nsid w:val="00000000"/>
    <w:multiLevelType w:val="singleLevel"/>
    <w:tmpl w:val="0000000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s>
  <w:rsids>
    <w:rsidRoot w:val="00000000"/>
    <w:rsid w:val="04EE6841"/>
    <w:rsid w:val="07B94D57"/>
    <w:rsid w:val="169C1CBD"/>
    <w:rsid w:val="170429E6"/>
    <w:rsid w:val="210D34E1"/>
    <w:rsid w:val="21F931DB"/>
    <w:rsid w:val="22356855"/>
    <w:rsid w:val="22B27786"/>
    <w:rsid w:val="2FFB3035"/>
    <w:rsid w:val="30F229C1"/>
    <w:rsid w:val="34725813"/>
    <w:rsid w:val="47DF1681"/>
    <w:rsid w:val="495F2B61"/>
    <w:rsid w:val="55C93F7F"/>
    <w:rsid w:val="5A4F5EDF"/>
    <w:rsid w:val="65197815"/>
    <w:rsid w:val="6CE138B6"/>
    <w:rsid w:val="6D995997"/>
    <w:rsid w:val="73A7566F"/>
    <w:rsid w:val="79BD47BC"/>
    <w:rsid w:val="7C0B2C6B"/>
    <w:rsid w:val="7D3F34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qFormat/>
    <w:uiPriority w:val="0"/>
    <w:pPr>
      <w:keepNext/>
      <w:keepLines/>
      <w:spacing w:before="50" w:beforeLines="50" w:beforeAutospacing="0" w:afterAutospacing="0" w:line="360" w:lineRule="auto"/>
      <w:outlineLvl w:val="1"/>
    </w:pPr>
    <w:rPr>
      <w:rFonts w:ascii="Arial" w:hAnsi="Arial" w:eastAsia="楷体_GB2312"/>
      <w:b/>
      <w:sz w:val="32"/>
    </w:rPr>
  </w:style>
  <w:style w:type="paragraph" w:styleId="2">
    <w:name w:val="heading 3"/>
    <w:basedOn w:val="1"/>
    <w:next w:val="1"/>
    <w:qFormat/>
    <w:uiPriority w:val="9"/>
    <w:pPr>
      <w:keepNext/>
      <w:keepLines/>
      <w:spacing w:before="140" w:line="360" w:lineRule="auto"/>
      <w:outlineLvl w:val="2"/>
    </w:pPr>
    <w:rPr>
      <w:b/>
      <w:bCs/>
      <w:sz w:val="30"/>
      <w:szCs w:val="32"/>
    </w:rPr>
  </w:style>
  <w:style w:type="character" w:default="1" w:styleId="18">
    <w:name w:val="Default Paragraph Font"/>
    <w:qFormat/>
    <w:uiPriority w:val="1"/>
  </w:style>
  <w:style w:type="table" w:default="1" w:styleId="16">
    <w:name w:val="Normal Table"/>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qFormat/>
    <w:uiPriority w:val="99"/>
    <w:pPr>
      <w:tabs>
        <w:tab w:val="center" w:pos="4153"/>
        <w:tab w:val="right" w:pos="8306"/>
      </w:tabs>
      <w:snapToGrid w:val="0"/>
      <w:jc w:val="left"/>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_9af5ac6e-8f7e-482e-8209-6a458a9c0f40"/>
    <w:basedOn w:val="1"/>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Calibri" w:hAnsi="Calibri" w:eastAsia="宋体" w:cs="宋体"/>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024&#24180;&#25972;&#20307;&#30446;&#26631;\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5238</Words>
  <Characters>5580</Characters>
  <Paragraphs>93</Paragraphs>
  <TotalTime>14</TotalTime>
  <ScaleCrop>false</ScaleCrop>
  <LinksUpToDate>false</LinksUpToDate>
  <CharactersWithSpaces>5587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2024-08-11T07:10:05Z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9eb5b3df4a3b499eb08cbc16331e5567_23</vt:lpwstr>
  </property>
</Properties>
</file>