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 xml:space="preserve">和静县本级和静县工商业联合会为和静县工商业联合会直属正科级行政单位，主要职责是：（1）工商业联合会是中国共产党领导的面向工商界、以非公有制企业和非公有制经济人士为主体的人民团体和商会组织，是党和政府联系非公有制经济人士的桥梁纽带，是政府管理和服务非公有制经济的助手。具有统战性、经济性、民间性有机统一的基本特性，以非公有制经济健康发展和非公有制经济人士健康成长为工作主题。充分发挥在非公有制经济人士思想政治工作中的引导作用，在非公有制经济人士参与国家政治生活和社会事务中的重要作用，在政府管理和服务非公有制经济中的助手作用，在行业协会商会改革发展中的促进作用，在构建和谐劳动关系、加强和创新社会管理中的协同作用。（2）对学员进行马克思列宁主义、毛泽东思想、邓小平理论、"“三个代表”"重要思想、科学发展观、习近平新时代中国特色社会主义思想教育和党性教育，引导学员增强"四个意识"坚定"四个自信"，坚决维护以习近平同志为核心的党中央权威和集中统一领导，自觉在思想上政治上行动上同党中央保持高度一致。 </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和静县工商业联合会单位无下属预算单位，下设1个处室，分别是：工商联办公室。</w:t>
      </w:r>
    </w:p>
    <w:p>
      <w:pPr>
        <w:bidi w:val="0"/>
        <w:rPr>
          <w:rFonts w:hint="eastAsia"/>
          <w:color w:val="auto"/>
          <w:highlight w:val="none"/>
          <w:lang w:val="en-US" w:eastAsia="zh-CN"/>
        </w:rPr>
      </w:pPr>
      <w:r>
        <w:rPr>
          <w:rFonts w:hint="eastAsia"/>
          <w:color w:val="auto"/>
          <w:highlight w:val="none"/>
          <w:lang w:val="en-US" w:eastAsia="zh-CN"/>
        </w:rPr>
        <w:t>和静县工商业联合会单位编制数2，实有人数8人，其中：在职2人，退休6人。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1、注重加强政治引领，广泛凝聚民营经济人士思想共识，深化民营经济人士理想信念教育</w:t>
      </w:r>
    </w:p>
    <w:p>
      <w:pPr>
        <w:bidi w:val="0"/>
        <w:rPr>
          <w:rFonts w:hint="eastAsia"/>
          <w:color w:val="auto"/>
          <w:highlight w:val="none"/>
          <w:lang w:val="en-US" w:eastAsia="zh-CN"/>
        </w:rPr>
      </w:pPr>
      <w:r>
        <w:rPr>
          <w:rFonts w:hint="eastAsia"/>
          <w:color w:val="auto"/>
          <w:highlight w:val="none"/>
          <w:lang w:val="en-US" w:eastAsia="zh-CN"/>
        </w:rPr>
        <w:t>依托在和静县北山生态文明建设综合试验区成立的“非公有制经济人士理想教育基地”，我们深入开展“守法诚信、坚定信心”为重点的理想信念教育。坚持把学习贯彻习近平新时代中国特色社会主义思想作为统揽工商联工作的总纲，和静县工商联认真履行意识形态领域工作主体责任，切实将意识形态领域工作摆上重要日程。今年上半年，州工商联组织两批干部及民营企业家分别赴厦门和深圳两地，进行学习培训交流及项目推介，培训期间，分别由厦门大学和中山大学的知名教授进行授课，课题为《企业文化与团队建设》《企业转型升级与盈利模式创新》等丰富多彩的内容，使大家受益匪浅，开阔了眼界开动了大脑，提高了思想认识。建立民营经济人士思想状况常态化机制、落实了畅通与民营企业家联系沟通渠道，随时掌握干部职工、会员企业家的思想文化动态。同时，认真落实网络意识形态工作责任制，通过强化局网信队伍建设、完善计算机网络安全管理等，筑牢统计网络安全壁垒，1名网评员能够积极参加网上舆论引导工作，完成每日信息任务转发。落实应装尽装的要求，安装防护软件。组织非公经济人士进行参观、考察、培训，开展保障运转工作20余件，切实提高非公企业党务工作，提升非公企业党务达95%以上，及实施工商联专项经费项目，项目实施及时率达95%以上。</w:t>
      </w:r>
    </w:p>
    <w:p>
      <w:pPr>
        <w:bidi w:val="0"/>
        <w:rPr>
          <w:rFonts w:hint="eastAsia"/>
          <w:color w:val="auto"/>
          <w:highlight w:val="none"/>
          <w:lang w:val="en-US" w:eastAsia="zh-CN"/>
        </w:rPr>
      </w:pPr>
      <w:r>
        <w:rPr>
          <w:rFonts w:hint="eastAsia"/>
          <w:color w:val="auto"/>
          <w:highlight w:val="none"/>
          <w:lang w:val="en-US" w:eastAsia="zh-CN"/>
        </w:rPr>
        <w:t>2、扎实推进非公有制经济法律维权服务工作</w:t>
      </w:r>
    </w:p>
    <w:p>
      <w:pPr>
        <w:bidi w:val="0"/>
        <w:rPr>
          <w:rFonts w:hint="eastAsia"/>
          <w:color w:val="auto"/>
          <w:highlight w:val="none"/>
          <w:lang w:val="en-US" w:eastAsia="zh-CN"/>
        </w:rPr>
      </w:pPr>
      <w:r>
        <w:rPr>
          <w:rFonts w:hint="eastAsia"/>
          <w:color w:val="auto"/>
          <w:highlight w:val="none"/>
          <w:lang w:val="en-US" w:eastAsia="zh-CN"/>
        </w:rPr>
        <w:t>贯彻落实全国工商联《法治民企行动方案2021--2025》，发挥工商联组织职能优势，完善与公检法司等部门协作机制，加强沟通协调，制定《和静县非公有制经济法律维权服务工作实施意见》、在和静县群众中心挂和静县非公有制经济法律维权服务中心牌子。成立了和静县涉案企业合规第三方监督评估机制管理委员会办公室为依法推进和静县涉案企业合规改革试点工作，建立健全涉案企业合规第三方监督评估机制，关于和静县人民检察院等15部门会签的《关于建立涉案企业合规第三方监督评估机制的指导意见实施细则》等相关规定，召开了第一次联席会议，并举行“成立了和静县涉案企业合规第三方监督评估机制管理委员会办公室”揭牌仪式。办公室成立，主要是依法准确把握企业规范和案件类型，增强工作紧迫感和责任感，以扎实的学习和丰富的工作实践全面推开涉案企业改革试点工作，切实提高非公企业党务工作。主动作为，切实发挥好桥梁纽带作用，把握好角色定位，做好统筹协调工作和基础保障服务。与司法局持续推进“万所联万会”等法律维权服务工作、会同和静县人民检察院开展建立服务保障民营经济联络室、会同和静县公安局经侦大队开展建立为企服务警企联络室。深入学习《优化营商环境条例》，积极贯彻落实上级下发的《关于加强新时代民营经济统战工作的意见》，坚持把优化营商环境作为推动民营经济发展的突破口和切入点，改进工作作风，提升服务水平，推动经济高质量发展。持续推进“万所联万会”“法官联络室”“检察联络室”“人民调解工作室”等法律维权服务有效运行。创新“服务兴会”举措，提升商会服务能力。服务促进“两个健康”，为民营经济领域营造良好的法治化营商环境，助力维护经济社会和谐稳定。挖掘一批涉及民营企业的维权案件，进行典型宣传，从法律角度维护民营企业的合法权益，弘扬企业家精神，为企业家撑腰打气。县人民检察院、法院、司法局就多方协调法律维权服务保障民营经济开展培训，畅通服务民营企业维权的绿色渠道。</w:t>
      </w:r>
    </w:p>
    <w:p>
      <w:pPr>
        <w:bidi w:val="0"/>
        <w:rPr>
          <w:rFonts w:hint="eastAsia"/>
          <w:color w:val="auto"/>
          <w:highlight w:val="none"/>
          <w:lang w:val="en-US" w:eastAsia="zh-CN"/>
        </w:rPr>
      </w:pPr>
      <w:r>
        <w:rPr>
          <w:rFonts w:hint="eastAsia"/>
          <w:color w:val="auto"/>
          <w:highlight w:val="none"/>
          <w:lang w:val="en-US" w:eastAsia="zh-CN"/>
        </w:rPr>
        <w:t>3、积极广泛动员民营企业履行社会责任，助力乡村振兴。</w:t>
      </w:r>
    </w:p>
    <w:p>
      <w:pPr>
        <w:bidi w:val="0"/>
        <w:rPr>
          <w:rFonts w:hint="eastAsia"/>
          <w:color w:val="auto"/>
          <w:highlight w:val="none"/>
          <w:lang w:val="en-US" w:eastAsia="zh-CN"/>
        </w:rPr>
      </w:pPr>
      <w:r>
        <w:rPr>
          <w:rFonts w:hint="eastAsia"/>
          <w:color w:val="auto"/>
          <w:highlight w:val="none"/>
          <w:lang w:val="en-US" w:eastAsia="zh-CN"/>
        </w:rPr>
        <w:t>贯彻落实习近平总书记关于乡村振兴重要指示精神及党中央关于乡村振兴的决策部署和自治区、自治州、和静县党委工作安排，巩固拓展脱贫攻坚成果、接续推动乡村全面振兴。制定《和静县“万企兴万村”行动实施方案》，全面推进乡村产业、人才、文化、生态、组织振兴，促进农业高质高效、乡村宜居宜业、农民富裕富足。要围绕和静县示范引领县、3个示范点和48个示范村，组织民营企业全面参与、主动融入、同心同向，带动各界人士主动参与。鼓励引导民营企业全面参与，建立结对关系，助力示范建设。要鼓励合作经营的企业扩大规模，引导规模经营的企业帮助更多村向一、二、三产业融合发展，配合相关部门协调民营企业定期开展就业服务和招聘活动，精准服务企业用工需求。探索促进乡村发展的长效机制，带动群众稳定增收，持续增收，推动乡村振兴，促进农业农村现代化。</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我单位年初预算数为42.11万元，实际预算执行数41.07万元，预算执行率为97.53%。</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全年预算数为43.85万元，全年实际支出资金43.85万元，预算执行率为100%。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42.11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1.74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43.85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1.74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42.11</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4.1</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43.85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42.81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42.25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0.56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1.04</w:t>
      </w:r>
      <w:r>
        <w:rPr>
          <w:rFonts w:hint="default"/>
          <w:color w:val="auto"/>
          <w:highlight w:val="none"/>
          <w:lang w:val="en-US" w:eastAsia="zh-CN"/>
        </w:rPr>
        <w:t>万元，主要用于保障工商业专项经费项目支出。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42.81万元，全年实际支出42.81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42.25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0.56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项目支出预算1.04</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其中：上级专项资金0万元，本级财政资金1.04万元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1.04万元，其中</w:t>
      </w:r>
      <w:r>
        <w:rPr>
          <w:rFonts w:hint="default"/>
          <w:color w:val="auto"/>
          <w:highlight w:val="none"/>
          <w:lang w:val="en-US" w:eastAsia="zh-CN"/>
        </w:rPr>
        <w:t>工商业专项经费</w:t>
      </w:r>
      <w:r>
        <w:rPr>
          <w:rFonts w:hint="eastAsia"/>
          <w:color w:val="auto"/>
          <w:highlight w:val="none"/>
          <w:lang w:val="en-US" w:eastAsia="zh-CN"/>
        </w:rPr>
        <w:t>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组织非公经济人士进行参观、考察、培训；培训和考察次数各2次，培训出勤率达到90%及以上，合格率达到95%及以上，培训按期完成率达到100%，不断提高非公经济人士思想觉悟。</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度安排项目支出资金1.04万元，</w:t>
      </w:r>
      <w:r>
        <w:rPr>
          <w:rFonts w:hint="eastAsia"/>
          <w:color w:val="auto"/>
          <w:highlight w:val="none"/>
          <w:lang w:eastAsia="zh-CN"/>
        </w:rPr>
        <w:t>实际</w:t>
      </w:r>
      <w:r>
        <w:rPr>
          <w:rFonts w:hint="eastAsia"/>
          <w:color w:val="auto"/>
          <w:highlight w:val="none"/>
          <w:lang w:val="en-US" w:eastAsia="zh-CN"/>
        </w:rPr>
        <w:t>支出1.04</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其中：上级专项资金支出0万元，本级财政安排项目资金支出1.04万元，项目预算资金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  其他民主党派及工商联事务支出</w:t>
      </w:r>
      <w:r>
        <w:rPr>
          <w:rFonts w:hint="eastAsia"/>
          <w:color w:val="auto"/>
          <w:highlight w:val="none"/>
          <w:lang w:val="en-US" w:eastAsia="zh-CN"/>
        </w:rPr>
        <w:t>1.04</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项目支出预算执行率指标年初设定目标是100%，年中绩效运行监控时完成值15%，年终实际完成值是100%，指标完成率是100%，达到项目资金支出专人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认真落实中央八项规定，严格控制“三公经费”支出，节约办公经费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pPr>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项目实施及时率指标年初设定目标是&gt;=95%，年中绩效运行监控时完成值95%，年终实际完成值是95%，指标完成率是100%，达到项目及时实施，能按期完成的预期目标。偏差原因：无偏差。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pPr>
        <w:rPr>
          <w:rFonts w:hint="eastAsia"/>
          <w:color w:val="auto"/>
          <w:highlight w:val="none"/>
          <w:lang w:val="en-US" w:eastAsia="zh-CN"/>
        </w:rPr>
      </w:pPr>
      <w:r>
        <w:rPr>
          <w:rFonts w:hint="eastAsia"/>
          <w:color w:val="auto"/>
          <w:highlight w:val="none"/>
          <w:lang w:val="en-US" w:eastAsia="zh-CN"/>
        </w:rPr>
        <w:t>保障职工数量指标年初设定目标是&lt;=2人，年中绩效运行监控时完成值2人，年终实际完成值是2人，指标完成率是100%，达到了单位在职职工工资的按时足额发放，单位的正常运转，广大干部职工工作积极性提高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保障运转工作开展指标完成情况分析</w:t>
      </w:r>
    </w:p>
    <w:p>
      <w:pPr>
        <w:rPr>
          <w:rFonts w:hint="eastAsia"/>
          <w:color w:val="auto"/>
          <w:highlight w:val="none"/>
          <w:lang w:val="en-US" w:eastAsia="zh-CN"/>
        </w:rPr>
      </w:pPr>
      <w:r>
        <w:rPr>
          <w:rFonts w:hint="eastAsia"/>
          <w:color w:val="auto"/>
          <w:highlight w:val="none"/>
          <w:lang w:val="en-US" w:eastAsia="zh-CN"/>
        </w:rPr>
        <w:t>保障运转工作开展指标年初设定目标是&gt;=20件，年中绩效运行监控时完成值10件，年终实际完成值是20件，指标完成率是100%，达到了组织非公经济人士进行参观、考察、培训，提高非公经济人士思想觉悟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提高非公企业党务指标完成情况分析</w:t>
      </w:r>
    </w:p>
    <w:p>
      <w:pPr>
        <w:rPr>
          <w:rFonts w:hint="eastAsia"/>
          <w:color w:val="auto"/>
          <w:highlight w:val="none"/>
          <w:lang w:val="en-US" w:eastAsia="zh-CN"/>
        </w:rPr>
      </w:pPr>
      <w:r>
        <w:rPr>
          <w:rFonts w:hint="eastAsia"/>
          <w:color w:val="auto"/>
          <w:highlight w:val="none"/>
          <w:lang w:val="en-US" w:eastAsia="zh-CN"/>
        </w:rPr>
        <w:t>提高非公企业党务指标年初设定目标是&gt;=95%，年中绩效运行监控时完成值95%，年终实际完成值是95%，指标完成率是100%，达到了组织非公经济人士进行参观、考察、培训，培训按期完成率达到100%提高非公经济人士思想觉悟的预期目标。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rPr>
          <w:rFonts w:hint="eastAsia"/>
          <w:color w:val="auto"/>
          <w:highlight w:val="none"/>
          <w:lang w:eastAsia="zh-CN"/>
        </w:rPr>
      </w:pPr>
      <w:r>
        <w:rPr>
          <w:rFonts w:hint="eastAsia"/>
          <w:color w:val="auto"/>
          <w:highlight w:val="none"/>
          <w:lang w:val="en-US" w:eastAsia="zh-CN"/>
        </w:rPr>
        <w:t>干部职工满意度指标年初设定目标是&gt;=95%，年中绩效运行监控时完成值未达到监控节点，年终实际完成值是100%，指标完成率是100%，达到提高干部职工的满意度预期目标。偏差原因：无偏差。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color w:val="auto"/>
          <w:highlight w:val="none"/>
          <w:lang w:val="en-US" w:eastAsia="zh-CN"/>
        </w:rPr>
      </w:pPr>
      <w:r>
        <w:rPr>
          <w:rFonts w:hint="eastAsia"/>
          <w:color w:val="auto"/>
          <w:highlight w:val="none"/>
          <w:lang w:val="en-US" w:eastAsia="zh-CN"/>
        </w:rPr>
        <w:t>我单位保障了2名办公人员工资发放和日常办公运转经费，确保单位各项工作有序开展。保障1辆工作用车正常运行，提升全县宣传工作。组织非公经济人士进行参观、考察、培训；培训和考察次数各2次，培训出勤率达到90%及以上，合格率达到95%及以上，培训按期完成率达到100%，不断提高非公经济人士思想觉悟。</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1、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pPr>
        <w:bidi w:val="0"/>
        <w:rPr>
          <w:rFonts w:hint="eastAsia"/>
          <w:color w:val="auto"/>
          <w:highlight w:val="none"/>
          <w:lang w:val="en-US" w:eastAsia="zh-CN"/>
        </w:rPr>
      </w:pPr>
      <w:r>
        <w:rPr>
          <w:rFonts w:hint="eastAsia"/>
          <w:color w:val="auto"/>
          <w:highlight w:val="none"/>
          <w:lang w:val="en-US" w:eastAsia="zh-CN"/>
        </w:rPr>
        <w:t>2、预算绩效管理的组织实施统筹不够。预算绩效管理工作附着在预算管理的各个环节，是一项系统性强、耗时较多的工作，倘若没有足够的人力、物力支撑，难以有效完成，目前组织实施存在普遍性问题：一是缺乏统筹协调，主体责任难落实。财务部门和业务部门扮演的角色不清晰，未形成管理合力。常常因为业务归口，财务部门一家负责绩效管理工作，情境十分窘迫，既要防止被扣减预算，还要尽量避免被提出审计问题。专业人员有限，工作开展不深入。没有专门设立预算绩效管理机构、无相应编制，而且内部挖潜不足、再分工力度不够，导致绩效管理人手非常吃紧。财务人员身兼预算、决算、资产、政府采购等数职，疲于应付各类监督，根本没有足够精力开展绩效自评。不统筹解决好组织实施问题，绩效评价工作难以真正下沉到资金使用终端。</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1、要加大理论研究力度。加大预算管理理论及实际操作培训力度，加强人才储备，对预算绩效管理进行系统性研究，形成好的意见和建议，为预算绩效管理提供理论上的支持。</w:t>
      </w:r>
    </w:p>
    <w:p>
      <w:pPr>
        <w:bidi w:val="0"/>
        <w:rPr>
          <w:rFonts w:hint="eastAsia"/>
          <w:color w:val="auto"/>
          <w:highlight w:val="none"/>
          <w:lang w:val="en-US" w:eastAsia="zh-CN"/>
        </w:rPr>
      </w:pPr>
      <w:r>
        <w:rPr>
          <w:rFonts w:hint="eastAsia"/>
          <w:color w:val="auto"/>
          <w:highlight w:val="none"/>
          <w:lang w:val="en-US" w:eastAsia="zh-CN"/>
        </w:rPr>
        <w:t>2、要加强预算绩效管理理论和实际操作培训，加大预算绩效管理宣传培训力度。分批次对从事预算绩效管理人员进行知识和技能的普及工作，培养一批专业从事预算绩效管理的队伍，绩效主管部门应进一步结合国家治理体系和治理能力现代化的建设要求，突出宣传预算绩效管理在促进政府公共部门提高公共服务供给效率方面的重要作用，形成强化绩效管理的氛围。中央部门要树立绩效管理意识，调整管理机制，把预算绩效管理作为基础性工作认真对待；加强系统内各层级人员绩效管理培训，营造绩效管理的良好氛围，注重总结推广先进典型做法，形成系统内案例库，逐步丰富工作成果。为预算绩效管理提供人才保障和储备。</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C07CC"/>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880EEF"/>
    <w:rsid w:val="0A9A7091"/>
    <w:rsid w:val="0C6738B8"/>
    <w:rsid w:val="0E7D784C"/>
    <w:rsid w:val="0EF30E9E"/>
    <w:rsid w:val="10300946"/>
    <w:rsid w:val="10FE60D7"/>
    <w:rsid w:val="134F7771"/>
    <w:rsid w:val="13E513B9"/>
    <w:rsid w:val="158C5316"/>
    <w:rsid w:val="15B904C0"/>
    <w:rsid w:val="165C118C"/>
    <w:rsid w:val="172D035F"/>
    <w:rsid w:val="175D58E3"/>
    <w:rsid w:val="18061B60"/>
    <w:rsid w:val="190C3DF8"/>
    <w:rsid w:val="19AA4D08"/>
    <w:rsid w:val="19F83E30"/>
    <w:rsid w:val="1B403139"/>
    <w:rsid w:val="1BF9328D"/>
    <w:rsid w:val="1C6D319F"/>
    <w:rsid w:val="1D384A93"/>
    <w:rsid w:val="1D4D74D6"/>
    <w:rsid w:val="1DE32CFD"/>
    <w:rsid w:val="1F1A602A"/>
    <w:rsid w:val="1F2854B6"/>
    <w:rsid w:val="217D20CE"/>
    <w:rsid w:val="21C67E02"/>
    <w:rsid w:val="21C768CD"/>
    <w:rsid w:val="22E14253"/>
    <w:rsid w:val="23250553"/>
    <w:rsid w:val="23931BB2"/>
    <w:rsid w:val="23F209A3"/>
    <w:rsid w:val="2403516E"/>
    <w:rsid w:val="25172445"/>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3E305C0"/>
    <w:rsid w:val="340D2D0F"/>
    <w:rsid w:val="348F1A9E"/>
    <w:rsid w:val="355C2B3F"/>
    <w:rsid w:val="356B4AF0"/>
    <w:rsid w:val="35F12468"/>
    <w:rsid w:val="366F15C3"/>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3554AFA"/>
    <w:rsid w:val="45815BD4"/>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066F33"/>
    <w:rsid w:val="6224402D"/>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18</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