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4"/>
        <w:bidi w:val="0"/>
        <w:rPr>
          <w:rFonts w:hint="eastAsia"/>
          <w:color w:val="auto"/>
          <w:highlight w:val="none"/>
          <w:lang w:val="en-US" w:eastAsia="zh-CN"/>
        </w:rPr>
      </w:pPr>
      <w:r>
        <w:rPr>
          <w:rFonts w:hint="eastAsia"/>
          <w:color w:val="auto"/>
          <w:highlight w:val="none"/>
          <w:lang w:val="en-US" w:eastAsia="zh-CN"/>
        </w:rPr>
        <w:t>1.部门主要职能</w:t>
      </w:r>
    </w:p>
    <w:p>
      <w:pPr>
        <w:ind w:firstLine="560"/>
        <w:rPr>
          <w:rFonts w:hint="eastAsia"/>
          <w:color w:val="auto"/>
          <w:szCs w:val="28"/>
          <w:highlight w:val="none"/>
        </w:rPr>
      </w:pPr>
      <w:r>
        <w:rPr>
          <w:rFonts w:hint="eastAsia"/>
          <w:color w:val="auto"/>
          <w:szCs w:val="28"/>
          <w:highlight w:val="none"/>
          <w:lang w:val="en-US" w:eastAsia="zh-CN"/>
        </w:rPr>
        <w:t>和静县本级和静县妇幼保健计划生育服务中心，</w:t>
      </w:r>
      <w:r>
        <w:rPr>
          <w:rFonts w:hint="eastAsia"/>
          <w:color w:val="auto"/>
          <w:szCs w:val="28"/>
          <w:highlight w:val="none"/>
        </w:rPr>
        <w:t>主要职责是：</w:t>
      </w:r>
    </w:p>
    <w:p>
      <w:pPr>
        <w:numPr>
          <w:ilvl w:val="0"/>
          <w:numId w:val="1"/>
        </w:numPr>
        <w:ind w:firstLine="560"/>
        <w:rPr>
          <w:rFonts w:hint="eastAsia"/>
          <w:color w:val="auto"/>
          <w:highlight w:val="none"/>
        </w:rPr>
      </w:pPr>
      <w:r>
        <w:rPr>
          <w:rFonts w:hint="eastAsia"/>
          <w:color w:val="auto"/>
          <w:highlight w:val="none"/>
        </w:rPr>
        <w:t>贯彻执行国家坚持以保健为中心，以保障生殖健康为目的，保健与临床相结合，面向群体，面向基层和预防为主的妇幼卫生工作方针。</w:t>
      </w:r>
    </w:p>
    <w:p>
      <w:pPr>
        <w:numPr>
          <w:ilvl w:val="0"/>
          <w:numId w:val="0"/>
        </w:numPr>
        <w:ind w:leftChars="200"/>
        <w:rPr>
          <w:rFonts w:hint="eastAsia"/>
          <w:color w:val="auto"/>
          <w:highlight w:val="none"/>
        </w:rPr>
      </w:pPr>
      <w:r>
        <w:rPr>
          <w:rFonts w:hint="eastAsia"/>
          <w:color w:val="auto"/>
          <w:highlight w:val="none"/>
        </w:rPr>
        <w:t>（2）坚持以群众保健工作为基础，面向基层、预防为主，为妇女儿童提供健康教育、预防保健等公共卫生服务。在履行公共卫生职责的同时，开展与妇女儿童健康密切相关的基本医疗服务。</w:t>
      </w:r>
    </w:p>
    <w:p>
      <w:pPr>
        <w:numPr>
          <w:ilvl w:val="0"/>
          <w:numId w:val="0"/>
        </w:numPr>
        <w:ind w:firstLine="560" w:firstLineChars="200"/>
        <w:rPr>
          <w:rFonts w:hint="eastAsia"/>
          <w:color w:val="auto"/>
          <w:highlight w:val="none"/>
        </w:rPr>
      </w:pPr>
      <w:r>
        <w:rPr>
          <w:rFonts w:hint="eastAsia"/>
          <w:color w:val="auto"/>
          <w:highlight w:val="none"/>
        </w:rPr>
        <w:t>（3）完成各级政府和卫生行政部门下达的指令性任务。</w:t>
      </w:r>
    </w:p>
    <w:p>
      <w:pPr>
        <w:numPr>
          <w:ilvl w:val="0"/>
          <w:numId w:val="0"/>
        </w:numPr>
        <w:ind w:firstLine="560" w:firstLineChars="200"/>
        <w:rPr>
          <w:rFonts w:hint="eastAsia"/>
          <w:color w:val="auto"/>
          <w:highlight w:val="none"/>
        </w:rPr>
      </w:pPr>
      <w:r>
        <w:rPr>
          <w:rFonts w:hint="eastAsia"/>
          <w:color w:val="auto"/>
          <w:highlight w:val="none"/>
          <w:lang w:val="en-US" w:eastAsia="zh-CN"/>
        </w:rPr>
        <w:t>（4）</w:t>
      </w:r>
      <w:r>
        <w:rPr>
          <w:rFonts w:hint="eastAsia"/>
          <w:color w:val="auto"/>
          <w:highlight w:val="none"/>
        </w:rPr>
        <w:t>掌握全县妇女儿童健康状况及影响因素，协助卫生行政部门制定本县妇幼卫生工作的相关政策、技术规范及各项规章制度。</w:t>
      </w:r>
    </w:p>
    <w:p>
      <w:pPr>
        <w:numPr>
          <w:ilvl w:val="0"/>
          <w:numId w:val="0"/>
        </w:numPr>
        <w:ind w:left="560" w:leftChars="0"/>
        <w:rPr>
          <w:rFonts w:hint="eastAsia"/>
          <w:color w:val="auto"/>
          <w:highlight w:val="none"/>
        </w:rPr>
      </w:pPr>
      <w:r>
        <w:rPr>
          <w:rFonts w:hint="eastAsia"/>
          <w:color w:val="auto"/>
          <w:highlight w:val="none"/>
          <w:lang w:eastAsia="zh-CN"/>
        </w:rPr>
        <w:t>（</w:t>
      </w:r>
      <w:r>
        <w:rPr>
          <w:rFonts w:hint="eastAsia"/>
          <w:color w:val="auto"/>
          <w:highlight w:val="none"/>
          <w:lang w:val="en-US" w:eastAsia="zh-CN"/>
        </w:rPr>
        <w:t>5</w:t>
      </w:r>
      <w:r>
        <w:rPr>
          <w:rFonts w:hint="eastAsia"/>
          <w:color w:val="auto"/>
          <w:highlight w:val="none"/>
          <w:lang w:eastAsia="zh-CN"/>
        </w:rPr>
        <w:t>）</w:t>
      </w:r>
      <w:r>
        <w:rPr>
          <w:rFonts w:hint="eastAsia"/>
          <w:color w:val="auto"/>
          <w:highlight w:val="none"/>
        </w:rPr>
        <w:t>受卫生行政部门委托对本县各乡镇卫生院开展的妇幼卫生服务进行检查、考核与评价。</w:t>
      </w:r>
    </w:p>
    <w:p>
      <w:pPr>
        <w:numPr>
          <w:ilvl w:val="0"/>
          <w:numId w:val="0"/>
        </w:numPr>
        <w:ind w:left="560" w:leftChars="0"/>
        <w:rPr>
          <w:rFonts w:hint="eastAsia"/>
          <w:color w:val="auto"/>
          <w:highlight w:val="none"/>
        </w:rPr>
      </w:pPr>
      <w:r>
        <w:rPr>
          <w:rFonts w:hint="eastAsia"/>
          <w:color w:val="auto"/>
          <w:highlight w:val="none"/>
          <w:lang w:eastAsia="zh-CN"/>
        </w:rPr>
        <w:t>（</w:t>
      </w:r>
      <w:r>
        <w:rPr>
          <w:rFonts w:hint="eastAsia"/>
          <w:color w:val="auto"/>
          <w:highlight w:val="none"/>
          <w:lang w:val="en-US" w:eastAsia="zh-CN"/>
        </w:rPr>
        <w:t>6</w:t>
      </w:r>
      <w:r>
        <w:rPr>
          <w:rFonts w:hint="eastAsia"/>
          <w:color w:val="auto"/>
          <w:highlight w:val="none"/>
          <w:lang w:eastAsia="zh-CN"/>
        </w:rPr>
        <w:t>）</w:t>
      </w:r>
      <w:r>
        <w:rPr>
          <w:rFonts w:hint="eastAsia"/>
          <w:color w:val="auto"/>
          <w:highlight w:val="none"/>
        </w:rPr>
        <w:t>负责指导和开展全县的妇幼保健健康教育与健康促进工作，组织实施全县母婴保健技术培训，对各乡镇卫生院开展业务指导，并提供技术支持。</w:t>
      </w:r>
    </w:p>
    <w:p>
      <w:pPr>
        <w:numPr>
          <w:ilvl w:val="0"/>
          <w:numId w:val="0"/>
        </w:numPr>
        <w:ind w:left="560" w:leftChars="0"/>
        <w:rPr>
          <w:rFonts w:hint="eastAsia"/>
          <w:color w:val="auto"/>
          <w:highlight w:val="none"/>
        </w:rPr>
      </w:pPr>
      <w:r>
        <w:rPr>
          <w:rFonts w:hint="eastAsia"/>
          <w:color w:val="auto"/>
          <w:highlight w:val="none"/>
          <w:lang w:eastAsia="zh-CN"/>
        </w:rPr>
        <w:t>（</w:t>
      </w:r>
      <w:r>
        <w:rPr>
          <w:rFonts w:hint="eastAsia"/>
          <w:color w:val="auto"/>
          <w:highlight w:val="none"/>
          <w:lang w:val="en-US" w:eastAsia="zh-CN"/>
        </w:rPr>
        <w:t>7</w:t>
      </w:r>
      <w:r>
        <w:rPr>
          <w:rFonts w:hint="eastAsia"/>
          <w:color w:val="auto"/>
          <w:highlight w:val="none"/>
          <w:lang w:eastAsia="zh-CN"/>
        </w:rPr>
        <w:t>）</w:t>
      </w:r>
      <w:r>
        <w:rPr>
          <w:rFonts w:hint="eastAsia"/>
          <w:color w:val="auto"/>
          <w:highlight w:val="none"/>
        </w:rPr>
        <w:t>负责全县孕产妇死亡、婴儿及5岁以下儿童死亡、出生缺陷监测、妇幼卫生服务及技术管理等信息的收集、统计、分析、质量控制和汇总上报。</w:t>
      </w:r>
    </w:p>
    <w:p>
      <w:pPr>
        <w:rPr>
          <w:rFonts w:hint="default"/>
          <w:color w:val="auto"/>
          <w:highlight w:val="none"/>
          <w:lang w:val="en-US" w:eastAsia="zh-CN"/>
        </w:rPr>
      </w:pPr>
      <w:r>
        <w:rPr>
          <w:rFonts w:hint="eastAsia"/>
          <w:color w:val="auto"/>
          <w:highlight w:val="none"/>
          <w:lang w:eastAsia="zh-CN"/>
        </w:rPr>
        <w:t>（</w:t>
      </w:r>
      <w:r>
        <w:rPr>
          <w:rFonts w:hint="eastAsia"/>
          <w:color w:val="auto"/>
          <w:highlight w:val="none"/>
          <w:lang w:val="en-US" w:eastAsia="zh-CN"/>
        </w:rPr>
        <w:t>8</w:t>
      </w:r>
      <w:r>
        <w:rPr>
          <w:rFonts w:hint="eastAsia"/>
          <w:color w:val="auto"/>
          <w:highlight w:val="none"/>
          <w:lang w:eastAsia="zh-CN"/>
        </w:rPr>
        <w:t>）</w:t>
      </w:r>
      <w:r>
        <w:rPr>
          <w:rFonts w:hint="eastAsia"/>
          <w:color w:val="auto"/>
          <w:highlight w:val="none"/>
        </w:rPr>
        <w:t>开展妇女保健服务，包括青春期保健、婚前和孕前保健、孕产期保健、更年期保健、老年期保健、老年期保健。重点加强心理卫生咨询、营养指导、计划生育技术服务、生殖道感染、性传播疾病等妇女常见病防治。</w:t>
      </w:r>
    </w:p>
    <w:p>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pPr>
        <w:ind w:firstLine="560"/>
        <w:rPr>
          <w:rFonts w:hint="eastAsia"/>
          <w:color w:val="auto"/>
          <w:highlight w:val="none"/>
        </w:rPr>
      </w:pPr>
      <w:r>
        <w:rPr>
          <w:rFonts w:hint="eastAsia"/>
          <w:color w:val="auto"/>
          <w:szCs w:val="28"/>
          <w:highlight w:val="none"/>
        </w:rPr>
        <w:t>根据上述职责，</w:t>
      </w:r>
      <w:r>
        <w:rPr>
          <w:rFonts w:hint="eastAsia"/>
          <w:color w:val="auto"/>
          <w:szCs w:val="28"/>
          <w:highlight w:val="none"/>
          <w:lang w:val="en-US" w:eastAsia="zh-CN"/>
        </w:rPr>
        <w:t>和静县妇幼保健计划生育服务中心</w:t>
      </w:r>
      <w:r>
        <w:rPr>
          <w:rFonts w:hint="eastAsia"/>
          <w:color w:val="auto"/>
          <w:szCs w:val="28"/>
          <w:highlight w:val="none"/>
        </w:rPr>
        <w:t>设有</w:t>
      </w:r>
      <w:r>
        <w:rPr>
          <w:rFonts w:hint="eastAsia"/>
          <w:color w:val="auto"/>
          <w:szCs w:val="28"/>
          <w:highlight w:val="none"/>
          <w:lang w:val="en-US" w:eastAsia="zh-CN"/>
        </w:rPr>
        <w:t>20</w:t>
      </w:r>
      <w:r>
        <w:rPr>
          <w:rFonts w:hint="eastAsia"/>
          <w:color w:val="auto"/>
          <w:szCs w:val="28"/>
          <w:highlight w:val="none"/>
        </w:rPr>
        <w:t>个内设机构：</w:t>
      </w:r>
      <w:r>
        <w:rPr>
          <w:rFonts w:hint="eastAsia"/>
          <w:color w:val="auto"/>
          <w:highlight w:val="none"/>
          <w:lang w:val="en-US" w:eastAsia="zh-CN"/>
        </w:rPr>
        <w:t>药剂科、收费室、内儿科门诊、妇科门诊、产科门诊、儿保科、检验科、功能科、儿科住院部、内科住院部、妇产科住院部、保健科、院办、护理部、病案室、设备科、财务科、放射科、</w:t>
      </w:r>
      <w:r>
        <w:rPr>
          <w:rFonts w:hint="eastAsia"/>
          <w:color w:val="auto"/>
          <w:szCs w:val="28"/>
          <w:highlight w:val="none"/>
        </w:rPr>
        <w:t>产后康复科、门诊治疗室</w:t>
      </w:r>
      <w:r>
        <w:rPr>
          <w:rFonts w:hint="eastAsia"/>
          <w:color w:val="auto"/>
          <w:highlight w:val="none"/>
        </w:rPr>
        <w:t>。</w:t>
      </w:r>
    </w:p>
    <w:p>
      <w:pPr>
        <w:ind w:firstLine="560"/>
        <w:rPr>
          <w:rFonts w:hint="eastAsia"/>
          <w:color w:val="auto"/>
          <w:highlight w:val="none"/>
        </w:rPr>
      </w:pPr>
      <w:r>
        <w:rPr>
          <w:rFonts w:hint="eastAsia"/>
          <w:color w:val="auto"/>
          <w:szCs w:val="28"/>
          <w:highlight w:val="none"/>
          <w:lang w:val="en-US" w:eastAsia="zh-CN"/>
        </w:rPr>
        <w:t>和静县妇幼保健计划生育服务中心</w:t>
      </w:r>
      <w:r>
        <w:rPr>
          <w:rFonts w:hint="eastAsia"/>
          <w:color w:val="auto"/>
          <w:szCs w:val="28"/>
          <w:highlight w:val="none"/>
        </w:rPr>
        <w:t>人员编制数共</w:t>
      </w:r>
      <w:r>
        <w:rPr>
          <w:rFonts w:hint="eastAsia"/>
          <w:color w:val="auto"/>
          <w:szCs w:val="28"/>
          <w:highlight w:val="none"/>
          <w:lang w:val="en-US" w:eastAsia="zh-CN"/>
        </w:rPr>
        <w:t>51</w:t>
      </w:r>
      <w:r>
        <w:rPr>
          <w:rFonts w:hint="eastAsia"/>
          <w:color w:val="auto"/>
          <w:szCs w:val="28"/>
          <w:highlight w:val="none"/>
        </w:rPr>
        <w:t>人，</w:t>
      </w:r>
      <w:r>
        <w:rPr>
          <w:rFonts w:hint="eastAsia"/>
          <w:color w:val="auto"/>
          <w:szCs w:val="28"/>
          <w:highlight w:val="none"/>
          <w:lang w:val="en-US" w:eastAsia="zh-CN"/>
        </w:rPr>
        <w:t>聘用人员数62人，志愿者3人，</w:t>
      </w:r>
      <w:r>
        <w:rPr>
          <w:rFonts w:hint="eastAsia"/>
          <w:color w:val="auto"/>
          <w:szCs w:val="28"/>
          <w:highlight w:val="none"/>
        </w:rPr>
        <w:t>退休人员</w:t>
      </w:r>
      <w:r>
        <w:rPr>
          <w:rFonts w:hint="eastAsia"/>
          <w:color w:val="auto"/>
          <w:szCs w:val="28"/>
          <w:highlight w:val="none"/>
          <w:lang w:val="en-US" w:eastAsia="zh-CN"/>
        </w:rPr>
        <w:t>24</w:t>
      </w:r>
      <w:r>
        <w:rPr>
          <w:rFonts w:hint="eastAsia"/>
          <w:color w:val="auto"/>
          <w:szCs w:val="28"/>
          <w:highlight w:val="none"/>
        </w:rPr>
        <w:t>人。</w:t>
      </w:r>
    </w:p>
    <w:p>
      <w:pPr>
        <w:pStyle w:val="3"/>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numPr>
          <w:ilvl w:val="0"/>
          <w:numId w:val="2"/>
        </w:numPr>
        <w:ind w:firstLine="560"/>
        <w:rPr>
          <w:rFonts w:hint="eastAsia"/>
          <w:color w:val="auto"/>
          <w:highlight w:val="none"/>
        </w:rPr>
      </w:pPr>
      <w:r>
        <w:rPr>
          <w:rFonts w:hint="eastAsia"/>
          <w:color w:val="auto"/>
          <w:highlight w:val="none"/>
        </w:rPr>
        <w:t xml:space="preserve">提升医疗质量，明确工作目标，制定有效方案 </w:t>
      </w:r>
    </w:p>
    <w:p>
      <w:pPr>
        <w:ind w:firstLine="560"/>
        <w:rPr>
          <w:rFonts w:hint="eastAsia"/>
          <w:color w:val="auto"/>
          <w:highlight w:val="none"/>
        </w:rPr>
      </w:pPr>
      <w:r>
        <w:rPr>
          <w:rFonts w:hint="eastAsia"/>
          <w:color w:val="auto"/>
          <w:highlight w:val="none"/>
        </w:rPr>
        <w:t>一是以提高医疗质量，加强优质服务，实施绩效考核，创新开展技术、强化安全措施、依托项目工作，实施民心工程，创建百姓满意、放心的医院，不断发展壮大医院为目标。</w:t>
      </w:r>
    </w:p>
    <w:p>
      <w:pPr>
        <w:ind w:firstLine="560"/>
        <w:rPr>
          <w:rFonts w:hint="eastAsia"/>
          <w:color w:val="auto"/>
          <w:highlight w:val="none"/>
        </w:rPr>
      </w:pPr>
      <w:r>
        <w:rPr>
          <w:rFonts w:hint="eastAsia"/>
          <w:color w:val="auto"/>
          <w:highlight w:val="none"/>
        </w:rPr>
        <w:t>二是以病人为中心、以质量为核心、以安全为主题 ，进一步完善各项规章制度、岗位职责，严格执行各项诊疗技术常规，把各项制度落实到各个环节中，确保服务质量得到提高，业务得到上升和医疗安全得到保障。</w:t>
      </w:r>
    </w:p>
    <w:p>
      <w:pPr>
        <w:ind w:firstLine="560"/>
        <w:rPr>
          <w:rFonts w:hint="eastAsia"/>
          <w:color w:val="auto"/>
          <w:highlight w:val="none"/>
        </w:rPr>
      </w:pPr>
      <w:r>
        <w:rPr>
          <w:rFonts w:hint="eastAsia"/>
          <w:color w:val="auto"/>
          <w:highlight w:val="none"/>
        </w:rPr>
        <w:t>三是让患者满意、放心。依托项目，做好妇幼卫生计生项目民生工程，确保妇幼卫生计生各项惠民政策落到实处。</w:t>
      </w:r>
    </w:p>
    <w:p>
      <w:pPr>
        <w:pStyle w:val="5"/>
        <w:numPr>
          <w:ilvl w:val="0"/>
          <w:numId w:val="0"/>
        </w:numPr>
        <w:ind w:firstLine="560" w:firstLineChars="200"/>
        <w:rPr>
          <w:rFonts w:hint="eastAsia"/>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明确职责，落实各项工作</w:t>
      </w:r>
    </w:p>
    <w:p>
      <w:pPr>
        <w:ind w:left="0" w:leftChars="0" w:firstLine="560" w:firstLineChars="200"/>
        <w:rPr>
          <w:rFonts w:hint="eastAsia"/>
          <w:color w:val="auto"/>
          <w:highlight w:val="none"/>
        </w:rPr>
      </w:pPr>
      <w:r>
        <w:rPr>
          <w:rFonts w:hint="eastAsia"/>
          <w:color w:val="auto"/>
          <w:highlight w:val="none"/>
        </w:rPr>
        <w:t>制定各级人员的职责任务、工作规范和要求，层层落实分管领导、科室负责人、项目责任人，确保工作落到实处。抽调专业人员定期对妇幼保健工作进行指导督查和考核，形成了安排、培训、指导、督查、考核、奖惩的管理运行体系。</w:t>
      </w:r>
    </w:p>
    <w:p>
      <w:pPr>
        <w:pStyle w:val="5"/>
        <w:numPr>
          <w:ilvl w:val="0"/>
          <w:numId w:val="0"/>
        </w:numPr>
        <w:ind w:leftChars="200"/>
        <w:rPr>
          <w:rFonts w:hint="eastAsia"/>
          <w:color w:val="auto"/>
          <w:highlight w:val="none"/>
        </w:rPr>
      </w:pPr>
      <w:r>
        <w:rPr>
          <w:rFonts w:hint="eastAsia"/>
          <w:color w:val="auto"/>
          <w:highlight w:val="none"/>
          <w:lang w:eastAsia="zh-CN"/>
        </w:rPr>
        <w:t>（</w:t>
      </w:r>
      <w:r>
        <w:rPr>
          <w:rFonts w:hint="eastAsia"/>
          <w:color w:val="auto"/>
          <w:highlight w:val="none"/>
          <w:lang w:val="en-US" w:eastAsia="zh-CN"/>
        </w:rPr>
        <w:t>3</w:t>
      </w:r>
      <w:r>
        <w:rPr>
          <w:rFonts w:hint="eastAsia"/>
          <w:color w:val="auto"/>
          <w:highlight w:val="none"/>
          <w:lang w:eastAsia="zh-CN"/>
        </w:rPr>
        <w:t>）</w:t>
      </w:r>
      <w:r>
        <w:rPr>
          <w:rFonts w:hint="eastAsia"/>
          <w:color w:val="auto"/>
          <w:highlight w:val="none"/>
        </w:rPr>
        <w:t>突出保健特色工作</w:t>
      </w:r>
    </w:p>
    <w:p>
      <w:pPr>
        <w:ind w:firstLine="560"/>
        <w:rPr>
          <w:rFonts w:hint="eastAsia"/>
          <w:color w:val="auto"/>
          <w:highlight w:val="none"/>
        </w:rPr>
      </w:pPr>
      <w:r>
        <w:rPr>
          <w:rFonts w:hint="eastAsia"/>
          <w:color w:val="auto"/>
          <w:highlight w:val="none"/>
        </w:rPr>
        <w:t>以保健为中心，以临床为保障，开拓自身业务，突出保健特色，发挥临床优势，针对妇女、儿童生命周期中不同生理阶段的健康问题，提供全面、系统、连续的保健服务。完善妇女保健和儿童保健的业务职能，为妇女儿童提供从出生新生儿保健直至更年期的保健服务。</w:t>
      </w:r>
    </w:p>
    <w:p>
      <w:pPr>
        <w:numPr>
          <w:ilvl w:val="0"/>
          <w:numId w:val="3"/>
        </w:numPr>
        <w:ind w:firstLine="560"/>
        <w:rPr>
          <w:rFonts w:hint="eastAsia"/>
          <w:color w:val="auto"/>
          <w:highlight w:val="none"/>
        </w:rPr>
      </w:pPr>
      <w:r>
        <w:rPr>
          <w:rFonts w:hint="eastAsia"/>
          <w:color w:val="auto"/>
          <w:highlight w:val="none"/>
        </w:rPr>
        <w:t>推进学科建设工作。</w:t>
      </w:r>
    </w:p>
    <w:p>
      <w:pPr>
        <w:ind w:firstLine="560"/>
        <w:rPr>
          <w:color w:val="auto"/>
          <w:highlight w:val="none"/>
        </w:rPr>
      </w:pPr>
      <w:r>
        <w:rPr>
          <w:rFonts w:hint="eastAsia"/>
          <w:color w:val="auto"/>
          <w:highlight w:val="none"/>
        </w:rPr>
        <w:t>学科的建设直接反映出医院的整体办院水平，适应形势发展需要，集中建设新生儿科、妇产科（宫腔镜）等一批高质量、有特色的优势学科，增强医院的实力和后劲，为医院的全面发展奠定坚实的基础。</w:t>
      </w:r>
    </w:p>
    <w:p>
      <w:pPr>
        <w:pStyle w:val="3"/>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我单位年初预算数为1309.75万元，实际预算执行数1309.75万元，预算执行率为100%。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全年预算数为1703.41万元，全年实际支出资金1703.41万元，预算执行率为100%。</w:t>
      </w:r>
    </w:p>
    <w:p>
      <w:pPr>
        <w:pStyle w:val="4"/>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1309.75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393.66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1703.41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30.06</w:t>
      </w:r>
      <w:r>
        <w:rPr>
          <w:rFonts w:hint="eastAsia" w:ascii="Times New Roman" w:hAnsi="Times New Roman" w:cs="Times New Roman"/>
          <w:bCs/>
          <w:color w:val="auto"/>
          <w:highlight w:val="none"/>
          <w:lang w:eastAsia="zh-CN"/>
        </w:rPr>
        <w:t>%。</w:t>
      </w:r>
    </w:p>
    <w:p>
      <w:pPr>
        <w:pStyle w:val="4"/>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1703.41</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1632.55</w:t>
      </w:r>
      <w:r>
        <w:rPr>
          <w:rFonts w:hint="default"/>
          <w:color w:val="auto"/>
          <w:highlight w:val="none"/>
          <w:lang w:val="en-US" w:eastAsia="zh-CN"/>
        </w:rPr>
        <w:t>万元，资金的使用方向为我单位机关人员经费支出</w:t>
      </w:r>
      <w:r>
        <w:rPr>
          <w:rFonts w:hint="eastAsia"/>
          <w:color w:val="auto"/>
          <w:highlight w:val="none"/>
          <w:lang w:val="en-US" w:eastAsia="zh-CN"/>
        </w:rPr>
        <w:t>1369</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263.55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70.86</w:t>
      </w:r>
      <w:r>
        <w:rPr>
          <w:rFonts w:hint="default"/>
          <w:color w:val="auto"/>
          <w:highlight w:val="none"/>
          <w:lang w:val="en-US" w:eastAsia="zh-CN"/>
        </w:rPr>
        <w:t>万元，主要用于保障</w:t>
      </w:r>
      <w:r>
        <w:rPr>
          <w:rFonts w:hint="eastAsia"/>
          <w:color w:val="auto"/>
          <w:highlight w:val="none"/>
          <w:lang w:val="en-US" w:eastAsia="zh-CN"/>
        </w:rPr>
        <w:t>医疗服务与能力提升项目、基本公共卫生</w:t>
      </w:r>
      <w:r>
        <w:rPr>
          <w:rFonts w:hint="default"/>
          <w:color w:val="auto"/>
          <w:highlight w:val="none"/>
          <w:lang w:val="en-US" w:eastAsia="zh-CN"/>
        </w:rPr>
        <w:t>项目、</w:t>
      </w:r>
      <w:r>
        <w:rPr>
          <w:rFonts w:hint="eastAsia"/>
          <w:color w:val="auto"/>
          <w:highlight w:val="none"/>
          <w:lang w:val="en-US" w:eastAsia="zh-CN"/>
        </w:rPr>
        <w:t>重大公共卫生</w:t>
      </w:r>
      <w:r>
        <w:rPr>
          <w:rFonts w:hint="default"/>
          <w:color w:val="auto"/>
          <w:highlight w:val="none"/>
          <w:lang w:val="en-US" w:eastAsia="zh-CN"/>
        </w:rPr>
        <w:t>项目、</w:t>
      </w:r>
      <w:r>
        <w:rPr>
          <w:rFonts w:hint="eastAsia"/>
          <w:color w:val="auto"/>
          <w:highlight w:val="none"/>
          <w:lang w:val="en-US" w:eastAsia="zh-CN"/>
        </w:rPr>
        <w:t>突发公共卫生事件应急处理</w:t>
      </w:r>
      <w:r>
        <w:rPr>
          <w:rFonts w:hint="default"/>
          <w:color w:val="auto"/>
          <w:highlight w:val="none"/>
          <w:lang w:val="en-US" w:eastAsia="zh-CN"/>
        </w:rPr>
        <w:t>项目</w:t>
      </w:r>
      <w:r>
        <w:rPr>
          <w:rFonts w:hint="eastAsia"/>
          <w:color w:val="auto"/>
          <w:highlight w:val="none"/>
          <w:lang w:val="en-US" w:eastAsia="zh-CN"/>
        </w:rPr>
        <w:t>、计划生育项目、中央疫情防控财力补助资金项目的</w:t>
      </w:r>
      <w:r>
        <w:rPr>
          <w:rFonts w:hint="default"/>
          <w:color w:val="auto"/>
          <w:highlight w:val="none"/>
          <w:lang w:val="en-US" w:eastAsia="zh-CN"/>
        </w:rPr>
        <w:t>支出。</w:t>
      </w:r>
    </w:p>
    <w:p>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3"/>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1632.55万元，全年实际支出1632.55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1369万元，主要包括：基本工资、津贴补贴、奖金、伙食补助费、绩效工资、机关事业单位基本养老保险缴费、职业年金缴费、职工基本医疗保险缴费、公务员医疗补助缴费、其他社会保障缴费、住房公积金、其他工资福利支出、退休费、生活补助、奖励金。</w:t>
      </w:r>
    </w:p>
    <w:p>
      <w:pPr>
        <w:bidi w:val="0"/>
        <w:rPr>
          <w:rFonts w:hint="eastAsia"/>
          <w:color w:val="auto"/>
          <w:highlight w:val="none"/>
          <w:lang w:val="en-US" w:eastAsia="zh-CN"/>
        </w:rPr>
      </w:pPr>
      <w:r>
        <w:rPr>
          <w:rFonts w:hint="eastAsia"/>
          <w:color w:val="auto"/>
          <w:highlight w:val="none"/>
          <w:lang w:val="en-US" w:eastAsia="zh-CN"/>
        </w:rPr>
        <w:t>公用经费支出263.55万元，主要包括：办公费、水费、电费、邮电费、物业管理费、差旅费、公务用车运行维护费、其他交通费用、专用材料费。</w:t>
      </w:r>
    </w:p>
    <w:p>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项目支出预算70.86</w:t>
      </w:r>
      <w:r>
        <w:rPr>
          <w:rFonts w:hint="eastAsia"/>
          <w:color w:val="auto"/>
          <w:highlight w:val="none"/>
          <w:lang w:eastAsia="zh-CN"/>
        </w:rPr>
        <w:t>万元，</w:t>
      </w:r>
      <w:r>
        <w:rPr>
          <w:rFonts w:hint="eastAsia"/>
          <w:color w:val="auto"/>
          <w:highlight w:val="none"/>
          <w:lang w:val="en-US" w:eastAsia="zh-CN"/>
        </w:rPr>
        <w:t>其中：上级专项资金70.86万元</w:t>
      </w:r>
      <w:r>
        <w:rPr>
          <w:rFonts w:hint="eastAsia"/>
          <w:color w:val="auto"/>
          <w:highlight w:val="none"/>
          <w:lang w:eastAsia="zh-CN"/>
        </w:rPr>
        <w:t>。</w:t>
      </w:r>
    </w:p>
    <w:p>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default"/>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70.86万元，其中医疗服务与能力提升项目11.46万元，通过财政国库集中支付方式直接拨给项目实施单位；基本公共卫生</w:t>
      </w:r>
      <w:r>
        <w:rPr>
          <w:rFonts w:hint="default"/>
          <w:color w:val="auto"/>
          <w:highlight w:val="none"/>
          <w:lang w:val="en-US" w:eastAsia="zh-CN"/>
        </w:rPr>
        <w:t>项目</w:t>
      </w:r>
      <w:r>
        <w:rPr>
          <w:rFonts w:hint="eastAsia"/>
          <w:color w:val="auto"/>
          <w:highlight w:val="none"/>
          <w:lang w:val="en-US" w:eastAsia="zh-CN"/>
        </w:rPr>
        <w:t>27.88万元，通过财政国库集中支付方式直接拨给项目实施单位；重大公共卫生</w:t>
      </w:r>
      <w:r>
        <w:rPr>
          <w:rFonts w:hint="default"/>
          <w:color w:val="auto"/>
          <w:highlight w:val="none"/>
          <w:lang w:val="en-US" w:eastAsia="zh-CN"/>
        </w:rPr>
        <w:t>项目</w:t>
      </w:r>
      <w:r>
        <w:rPr>
          <w:rFonts w:hint="eastAsia"/>
          <w:color w:val="auto"/>
          <w:highlight w:val="none"/>
          <w:lang w:val="en-US" w:eastAsia="zh-CN"/>
        </w:rPr>
        <w:t>5.41万元，通过财政国库集中支付方式直接拨给项目实施单位；突发公共卫生事件应急处理项目22.39万元，通过财政国库集中支付方式直接拨给项目实施单位；中央疫情防控财力补助资金项目15.77万元，通过财政国库集中支付方式直接拨给项目实施单位；计划生育项目3.72万元，通过财政国库集中支付方式直接拨给项目实施单位。</w:t>
      </w:r>
    </w:p>
    <w:p>
      <w:pPr>
        <w:bidi w:val="0"/>
        <w:rPr>
          <w:rFonts w:hint="default" w:eastAsia="仿宋"/>
          <w:color w:val="auto"/>
          <w:highlight w:val="none"/>
          <w:lang w:val="en-US" w:eastAsia="zh-CN"/>
        </w:rPr>
      </w:pPr>
      <w:r>
        <w:rPr>
          <w:rFonts w:hint="eastAsia"/>
          <w:color w:val="auto"/>
          <w:highlight w:val="none"/>
          <w:lang w:val="en-US" w:eastAsia="zh-CN"/>
        </w:rPr>
        <w:t>（2）项目实施组织管理情况。我单位项目实施和资金使用分配坚持集体决策。对各类项目制订工作方案，明确时间节点，开展项目规划设计、部署工作，认真落实项目任务。工作中突出重点，高标准规划、精细设计，项目计划通过政府采购，确定供货单位，明确由相关科室负责监督，并在规定时间完成项目资金的支付。通过财政国库集中支付方式直接拨给项目实施单位。对</w:t>
      </w:r>
      <w:r>
        <w:rPr>
          <w:rFonts w:hint="eastAsia"/>
          <w:color w:val="auto"/>
          <w:highlight w:val="none"/>
        </w:rPr>
        <w:t>提高医疗质量，加强优质服务，实施绩效考核，创新开展技术、强化安全措施、依托项目工作，实施民心工程，创建百姓满意、放心的医院，不断发展壮大医院为目标</w:t>
      </w:r>
      <w:r>
        <w:rPr>
          <w:rFonts w:hint="eastAsia"/>
          <w:color w:val="auto"/>
          <w:highlight w:val="none"/>
          <w:lang w:val="en-US" w:eastAsia="zh-CN"/>
        </w:rPr>
        <w:t>的有效工作开展。</w:t>
      </w:r>
    </w:p>
    <w:p>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度安排项目支出资金70.86万元，</w:t>
      </w:r>
      <w:r>
        <w:rPr>
          <w:rFonts w:hint="eastAsia"/>
          <w:color w:val="auto"/>
          <w:highlight w:val="none"/>
          <w:lang w:eastAsia="zh-CN"/>
        </w:rPr>
        <w:t>实际</w:t>
      </w:r>
      <w:r>
        <w:rPr>
          <w:rFonts w:hint="eastAsia"/>
          <w:color w:val="auto"/>
          <w:highlight w:val="none"/>
          <w:lang w:val="en-US" w:eastAsia="zh-CN"/>
        </w:rPr>
        <w:t>支出70.86</w:t>
      </w:r>
      <w:r>
        <w:rPr>
          <w:rFonts w:hint="eastAsia"/>
          <w:color w:val="auto"/>
          <w:highlight w:val="none"/>
          <w:lang w:eastAsia="zh-CN"/>
        </w:rPr>
        <w:t>万元，</w:t>
      </w:r>
      <w:r>
        <w:rPr>
          <w:rFonts w:hint="eastAsia"/>
          <w:color w:val="auto"/>
          <w:highlight w:val="none"/>
          <w:lang w:val="en-US" w:eastAsia="zh-CN"/>
        </w:rPr>
        <w:t>其中：上级专项资金支出70.86万元，项目预算资金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医疗服务与能力提升项目11.46万元；基本公共卫生</w:t>
      </w:r>
      <w:r>
        <w:rPr>
          <w:rFonts w:hint="default"/>
          <w:color w:val="auto"/>
          <w:highlight w:val="none"/>
          <w:lang w:val="en-US" w:eastAsia="zh-CN"/>
        </w:rPr>
        <w:t>项目</w:t>
      </w:r>
      <w:r>
        <w:rPr>
          <w:rFonts w:hint="eastAsia"/>
          <w:color w:val="auto"/>
          <w:highlight w:val="none"/>
          <w:lang w:val="en-US" w:eastAsia="zh-CN"/>
        </w:rPr>
        <w:t>27.88万元；重大公共卫生</w:t>
      </w:r>
      <w:r>
        <w:rPr>
          <w:rFonts w:hint="default"/>
          <w:color w:val="auto"/>
          <w:highlight w:val="none"/>
          <w:lang w:val="en-US" w:eastAsia="zh-CN"/>
        </w:rPr>
        <w:t>项目</w:t>
      </w:r>
      <w:r>
        <w:rPr>
          <w:rFonts w:hint="eastAsia"/>
          <w:color w:val="auto"/>
          <w:highlight w:val="none"/>
          <w:lang w:val="en-US" w:eastAsia="zh-CN"/>
        </w:rPr>
        <w:t>5.41万元；突发公共卫生事件应急处理项目22.39万元；中央疫情防控财力补助资金项目15.77万元；计划生育项目3.72万元。</w:t>
      </w:r>
    </w:p>
    <w:bookmarkEnd w:id="2"/>
    <w:p>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9</w:t>
      </w:r>
      <w:r>
        <w:rPr>
          <w:rFonts w:hint="eastAsia"/>
          <w:color w:val="auto"/>
          <w:highlight w:val="none"/>
        </w:rPr>
        <w:t>个，三级指标</w:t>
      </w:r>
      <w:r>
        <w:rPr>
          <w:rFonts w:hint="eastAsia"/>
          <w:color w:val="auto"/>
          <w:highlight w:val="none"/>
          <w:lang w:val="en-US" w:eastAsia="zh-CN"/>
        </w:rPr>
        <w:t>9</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9</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一）基本支出预算执行率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基本支出预算执行率指标年初设定目标是≥90%，年中绩效运行监控时完成值54.14%，年终实际完成值是100%，指标完成率是100%，达到保障办公人员工资发放和日常办公运转经费，确保单位各项工作有序开展的预期目标，偏差原因：无偏差。</w:t>
      </w:r>
    </w:p>
    <w:p>
      <w:pPr>
        <w:pStyle w:val="3"/>
        <w:bidi w:val="0"/>
        <w:rPr>
          <w:rFonts w:hint="eastAsia"/>
          <w:color w:val="auto"/>
          <w:highlight w:val="none"/>
          <w:lang w:val="en-US" w:eastAsia="zh-CN"/>
        </w:rPr>
      </w:pPr>
      <w:r>
        <w:rPr>
          <w:rFonts w:hint="eastAsia"/>
          <w:color w:val="auto"/>
          <w:highlight w:val="none"/>
          <w:lang w:val="en-US" w:eastAsia="zh-CN"/>
        </w:rPr>
        <w:t>（二）孕产妇系统管理率指标完成情况分析</w:t>
      </w:r>
    </w:p>
    <w:p>
      <w:pPr>
        <w:keepNext w:val="0"/>
        <w:keepLines w:val="0"/>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孕产妇系统管理率指标年初设定目标是≥90%，年中绩效运行监控时完成值85%，年终实际完成值是95%，指标完成率是100%，达到</w:t>
      </w:r>
      <w:r>
        <w:rPr>
          <w:rFonts w:hint="default"/>
          <w:color w:val="auto"/>
          <w:highlight w:val="none"/>
          <w:lang w:val="en-US" w:eastAsia="zh-CN"/>
        </w:rPr>
        <w:t>以妊娠风险评估管理和危重孕产妇、儿童转诊救治工作为核心，完善管理体系，调整管理模式，全方位、全覆盖保证母婴安全</w:t>
      </w:r>
      <w:r>
        <w:rPr>
          <w:rFonts w:hint="eastAsia"/>
          <w:color w:val="auto"/>
          <w:highlight w:val="none"/>
          <w:lang w:val="en-US" w:eastAsia="zh-CN"/>
        </w:rPr>
        <w:t>的预期目标。偏差原因：无偏差。</w:t>
      </w:r>
    </w:p>
    <w:p>
      <w:pPr>
        <w:pStyle w:val="3"/>
        <w:bidi w:val="0"/>
        <w:rPr>
          <w:rFonts w:hint="eastAsia"/>
          <w:color w:val="auto"/>
          <w:highlight w:val="none"/>
          <w:lang w:val="en-US" w:eastAsia="zh-CN"/>
        </w:rPr>
      </w:pPr>
      <w:r>
        <w:rPr>
          <w:rFonts w:hint="eastAsia"/>
          <w:color w:val="auto"/>
          <w:highlight w:val="none"/>
          <w:lang w:val="en-US" w:eastAsia="zh-CN"/>
        </w:rPr>
        <w:t>（三）儿童健康管理率指标完成情况分析</w:t>
      </w:r>
    </w:p>
    <w:p>
      <w:pPr>
        <w:keepNext w:val="0"/>
        <w:keepLines w:val="0"/>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儿童健康管理率指标年初设定目标是≥90%，年中绩效运行监控时完成值82%，年终实际完成值是95%，指标完成率是100%，达到</w:t>
      </w:r>
      <w:r>
        <w:rPr>
          <w:rFonts w:hint="default"/>
          <w:color w:val="auto"/>
          <w:highlight w:val="none"/>
          <w:lang w:val="en-US" w:eastAsia="zh-CN"/>
        </w:rPr>
        <w:t>开展产科急救和新生儿窒息复苏技术培训，强化产儿科医务人员责任意识，提升危急重症救治能力</w:t>
      </w:r>
      <w:r>
        <w:rPr>
          <w:rFonts w:hint="eastAsia"/>
          <w:color w:val="auto"/>
          <w:highlight w:val="none"/>
          <w:lang w:val="en-US" w:eastAsia="zh-CN"/>
        </w:rPr>
        <w:t>的预期目标。偏差原因：无偏差。</w:t>
      </w:r>
    </w:p>
    <w:p>
      <w:pPr>
        <w:pStyle w:val="3"/>
        <w:bidi w:val="0"/>
        <w:rPr>
          <w:rFonts w:hint="eastAsia"/>
          <w:color w:val="auto"/>
          <w:highlight w:val="none"/>
          <w:lang w:val="en-US" w:eastAsia="zh-CN"/>
        </w:rPr>
      </w:pPr>
      <w:r>
        <w:rPr>
          <w:rFonts w:hint="eastAsia"/>
          <w:color w:val="auto"/>
          <w:highlight w:val="none"/>
          <w:lang w:val="en-US" w:eastAsia="zh-CN"/>
        </w:rPr>
        <w:t>（四）宫颈癌筛查率指标完成情况分析</w:t>
      </w:r>
    </w:p>
    <w:p>
      <w:pPr>
        <w:bidi w:val="0"/>
        <w:rPr>
          <w:rFonts w:hint="eastAsia"/>
          <w:color w:val="auto"/>
          <w:highlight w:val="none"/>
          <w:lang w:val="en-US" w:eastAsia="zh-CN"/>
        </w:rPr>
      </w:pPr>
      <w:r>
        <w:rPr>
          <w:rFonts w:hint="eastAsia"/>
          <w:color w:val="auto"/>
          <w:highlight w:val="none"/>
          <w:lang w:val="en-US" w:eastAsia="zh-CN"/>
        </w:rPr>
        <w:t>宫颈癌筛查率指标年初设定目标是≥50%，年中绩效运行监控时完成值80%，年终实际完成值是90%，指标完成率是100%，达到</w:t>
      </w:r>
      <w:r>
        <w:rPr>
          <w:rFonts w:hint="default"/>
          <w:color w:val="auto"/>
          <w:highlight w:val="none"/>
          <w:lang w:val="en-US" w:eastAsia="zh-CN"/>
        </w:rPr>
        <w:t>加强农村妇女宫颈癌、乳腺癌检查项目质量控制，提高筛查水平，保障妇女健康</w:t>
      </w:r>
      <w:r>
        <w:rPr>
          <w:rFonts w:hint="eastAsia"/>
          <w:color w:val="auto"/>
          <w:highlight w:val="none"/>
          <w:lang w:val="en-US" w:eastAsia="zh-CN"/>
        </w:rPr>
        <w:t>的预期目标。偏差原因：无偏差。</w:t>
      </w:r>
    </w:p>
    <w:p>
      <w:pPr>
        <w:pStyle w:val="3"/>
        <w:bidi w:val="0"/>
        <w:rPr>
          <w:rFonts w:hint="eastAsia"/>
          <w:color w:val="auto"/>
          <w:highlight w:val="none"/>
          <w:lang w:val="en-US" w:eastAsia="zh-CN"/>
        </w:rPr>
      </w:pPr>
      <w:r>
        <w:rPr>
          <w:rFonts w:hint="eastAsia"/>
          <w:color w:val="auto"/>
          <w:highlight w:val="none"/>
          <w:lang w:val="en-US" w:eastAsia="zh-CN"/>
        </w:rPr>
        <w:t>（五）开展妇幼例会次数指标完成情况分析</w:t>
      </w:r>
    </w:p>
    <w:p>
      <w:pPr>
        <w:bidi w:val="0"/>
        <w:rPr>
          <w:rFonts w:hint="eastAsia"/>
          <w:color w:val="auto"/>
          <w:highlight w:val="none"/>
          <w:lang w:val="en-US" w:eastAsia="zh-CN"/>
        </w:rPr>
      </w:pPr>
      <w:r>
        <w:rPr>
          <w:rFonts w:hint="eastAsia"/>
          <w:color w:val="auto"/>
          <w:highlight w:val="none"/>
          <w:lang w:val="en-US" w:eastAsia="zh-CN"/>
        </w:rPr>
        <w:t>开展妇幼例会次数指标年初设定目标是≥12次，年中绩效运行监控时完成值6次，年终实际完成值是12次，指标完成率是100%，达到</w:t>
      </w:r>
      <w:r>
        <w:rPr>
          <w:rFonts w:hint="default"/>
          <w:color w:val="auto"/>
          <w:highlight w:val="none"/>
          <w:lang w:val="en-US" w:eastAsia="zh-CN"/>
        </w:rPr>
        <w:t>积极开展妇幼卫生工作各类培训，提高全县妇幼保健卫生机构业务能力</w:t>
      </w:r>
      <w:r>
        <w:rPr>
          <w:rFonts w:hint="eastAsia"/>
          <w:color w:val="auto"/>
          <w:highlight w:val="none"/>
          <w:lang w:val="en-US" w:eastAsia="zh-CN"/>
        </w:rPr>
        <w:t>的预期目标。偏差原因：无偏差。</w:t>
      </w:r>
    </w:p>
    <w:p>
      <w:pPr>
        <w:pStyle w:val="3"/>
        <w:bidi w:val="0"/>
        <w:rPr>
          <w:rFonts w:hint="eastAsia"/>
          <w:color w:val="auto"/>
          <w:highlight w:val="none"/>
          <w:lang w:val="en-US" w:eastAsia="zh-CN"/>
        </w:rPr>
      </w:pPr>
      <w:r>
        <w:rPr>
          <w:rFonts w:hint="eastAsia"/>
          <w:color w:val="auto"/>
          <w:highlight w:val="none"/>
          <w:lang w:val="en-US" w:eastAsia="zh-CN"/>
        </w:rPr>
        <w:t>（六）乡镇大型妇幼督导次数指标完成情况分析</w:t>
      </w:r>
    </w:p>
    <w:p>
      <w:pPr>
        <w:bidi w:val="0"/>
        <w:rPr>
          <w:rFonts w:hint="eastAsia"/>
          <w:color w:val="auto"/>
          <w:highlight w:val="none"/>
          <w:lang w:val="en-US" w:eastAsia="zh-CN"/>
        </w:rPr>
      </w:pPr>
      <w:r>
        <w:rPr>
          <w:rFonts w:hint="eastAsia"/>
          <w:color w:val="auto"/>
          <w:highlight w:val="none"/>
          <w:lang w:val="en-US" w:eastAsia="zh-CN"/>
        </w:rPr>
        <w:t>乡镇大型妇幼督导次数指标年初设定目标是≥4次，年中绩效运行监控时完成值2次，年终实际完成值是4次，指标完成率是100%，达到积极按时下乡进行妇幼督导培训，提高农牧民对妇幼卫生知识了解的预期目标。偏差原因：无偏差。</w:t>
      </w:r>
    </w:p>
    <w:p>
      <w:pPr>
        <w:pStyle w:val="3"/>
        <w:bidi w:val="0"/>
        <w:rPr>
          <w:rFonts w:hint="eastAsia"/>
          <w:color w:val="auto"/>
          <w:highlight w:val="none"/>
          <w:lang w:val="en-US" w:eastAsia="zh-CN"/>
        </w:rPr>
      </w:pPr>
      <w:r>
        <w:rPr>
          <w:rFonts w:hint="eastAsia"/>
          <w:color w:val="auto"/>
          <w:highlight w:val="none"/>
          <w:lang w:val="en-US" w:eastAsia="zh-CN"/>
        </w:rPr>
        <w:t>（七）孕优检查人数指标完成情况分析</w:t>
      </w:r>
    </w:p>
    <w:p>
      <w:pPr>
        <w:bidi w:val="0"/>
        <w:rPr>
          <w:rFonts w:hint="eastAsia"/>
          <w:color w:val="auto"/>
          <w:highlight w:val="none"/>
          <w:lang w:val="en-US" w:eastAsia="zh-CN"/>
        </w:rPr>
      </w:pPr>
      <w:r>
        <w:rPr>
          <w:rFonts w:hint="eastAsia"/>
          <w:color w:val="auto"/>
          <w:highlight w:val="none"/>
          <w:lang w:val="en-US" w:eastAsia="zh-CN"/>
        </w:rPr>
        <w:t>孕优检查人数指标年初设定目标是≥375人，年中绩效运行监控时完成值270人，年终实际完成值是375人，指标完成率是100%，达到对农牧民孕前优生检查的目的，有效减少预防基因发生概率的预期目标。偏差原因：无偏差。</w:t>
      </w:r>
    </w:p>
    <w:p>
      <w:pPr>
        <w:pStyle w:val="3"/>
        <w:bidi w:val="0"/>
        <w:rPr>
          <w:rFonts w:hint="eastAsia"/>
          <w:color w:val="auto"/>
          <w:highlight w:val="none"/>
          <w:lang w:val="en-US" w:eastAsia="zh-CN"/>
        </w:rPr>
      </w:pPr>
      <w:r>
        <w:rPr>
          <w:rFonts w:hint="eastAsia"/>
          <w:color w:val="auto"/>
          <w:highlight w:val="none"/>
          <w:lang w:val="en-US" w:eastAsia="zh-CN"/>
        </w:rPr>
        <w:t>（八）优生优育知识知晓率指标完成情况分析</w:t>
      </w:r>
    </w:p>
    <w:p>
      <w:pPr>
        <w:bidi w:val="0"/>
        <w:rPr>
          <w:rFonts w:hint="eastAsia"/>
          <w:color w:val="auto"/>
          <w:highlight w:val="none"/>
          <w:lang w:val="en-US" w:eastAsia="zh-CN"/>
        </w:rPr>
      </w:pPr>
      <w:r>
        <w:rPr>
          <w:rFonts w:hint="eastAsia"/>
          <w:color w:val="auto"/>
          <w:highlight w:val="none"/>
          <w:lang w:val="en-US" w:eastAsia="zh-CN"/>
        </w:rPr>
        <w:t>优生优育知识知晓率指标年初设定目标是≥80%，年中绩效运行监控时完成值70%，年终实际完成值是80%，指标完成率是100%，达到宣传优生优育的意识，促进农牧民积极进行婚前医学检查的预期目标。偏差原因：无偏差。</w:t>
      </w:r>
    </w:p>
    <w:p>
      <w:pPr>
        <w:pStyle w:val="3"/>
        <w:bidi w:val="0"/>
        <w:rPr>
          <w:rFonts w:hint="eastAsia"/>
          <w:color w:val="auto"/>
          <w:highlight w:val="none"/>
          <w:lang w:val="en-US" w:eastAsia="zh-CN"/>
        </w:rPr>
      </w:pPr>
      <w:r>
        <w:rPr>
          <w:rFonts w:hint="eastAsia"/>
          <w:color w:val="auto"/>
          <w:highlight w:val="none"/>
          <w:lang w:val="en-US" w:eastAsia="zh-CN"/>
        </w:rPr>
        <w:t>（九）门诊患者满意度指标完成情况分析</w:t>
      </w:r>
    </w:p>
    <w:p>
      <w:pPr>
        <w:keepNext w:val="0"/>
        <w:keepLines w:val="0"/>
        <w:pageBreakBefore w:val="0"/>
        <w:kinsoku/>
        <w:wordWrap/>
        <w:overflowPunct/>
        <w:topLinePunct w:val="0"/>
        <w:autoSpaceDE/>
        <w:autoSpaceDN/>
        <w:bidi w:val="0"/>
        <w:spacing w:line="560" w:lineRule="exact"/>
        <w:ind w:firstLine="560" w:firstLineChars="200"/>
        <w:rPr>
          <w:rFonts w:hint="eastAsia"/>
          <w:color w:val="auto"/>
          <w:highlight w:val="none"/>
          <w:lang w:val="en-US" w:eastAsia="zh-CN"/>
        </w:rPr>
      </w:pPr>
      <w:r>
        <w:rPr>
          <w:rFonts w:hint="eastAsia"/>
          <w:color w:val="auto"/>
          <w:highlight w:val="none"/>
          <w:lang w:val="en-US" w:eastAsia="zh-CN"/>
        </w:rPr>
        <w:t>门诊患者满意度指标年初设定目标是≥92%，年中绩效运行监控时未达监控节点，年终实际完成值是97.5%，指标完成率是100%，达到门诊患者满意，促进</w:t>
      </w:r>
      <w:r>
        <w:rPr>
          <w:rFonts w:hint="default"/>
          <w:color w:val="auto"/>
          <w:highlight w:val="none"/>
          <w:lang w:val="en-US" w:eastAsia="zh-CN"/>
        </w:rPr>
        <w:t>强化产儿科医务人员责任意识，提升危急重症救治能力</w:t>
      </w:r>
      <w:r>
        <w:rPr>
          <w:rFonts w:hint="eastAsia"/>
          <w:color w:val="auto"/>
          <w:highlight w:val="none"/>
          <w:lang w:val="en-US" w:eastAsia="zh-CN"/>
        </w:rPr>
        <w:t>的预期目标。偏差原因：无偏差。</w:t>
      </w:r>
    </w:p>
    <w:p>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keepNext w:val="0"/>
        <w:keepLines w:val="0"/>
        <w:pageBreakBefore w:val="0"/>
        <w:widowControl w:val="0"/>
        <w:kinsoku/>
        <w:wordWrap/>
        <w:overflowPunct/>
        <w:topLinePunct w:val="0"/>
        <w:autoSpaceDE/>
        <w:autoSpaceDN/>
        <w:bidi w:val="0"/>
        <w:adjustRightInd/>
        <w:snapToGrid/>
        <w:spacing w:afterAutospacing="0" w:line="560" w:lineRule="exact"/>
        <w:ind w:firstLine="560" w:firstLineChars="200"/>
        <w:jc w:val="both"/>
        <w:textAlignment w:val="auto"/>
        <w:outlineLvl w:val="9"/>
        <w:rPr>
          <w:rFonts w:ascii="仿宋_GB2312" w:hAnsi="仿宋_GB2312" w:eastAsia="仿宋_GB2312" w:cs="仿宋_GB2312"/>
          <w:color w:val="auto"/>
          <w:kern w:val="1"/>
          <w:sz w:val="28"/>
          <w:szCs w:val="28"/>
          <w:highlight w:val="none"/>
        </w:rPr>
      </w:pPr>
      <w:r>
        <w:rPr>
          <w:rFonts w:hint="eastAsia" w:ascii="仿宋_GB2312" w:hAnsi="仿宋_GB2312" w:eastAsia="仿宋_GB2312" w:cs="仿宋_GB2312"/>
          <w:color w:val="auto"/>
          <w:kern w:val="1"/>
          <w:sz w:val="28"/>
          <w:szCs w:val="28"/>
          <w:highlight w:val="none"/>
        </w:rPr>
        <w:t>我单位严格遵守《会计法</w:t>
      </w:r>
      <w:r>
        <w:rPr>
          <w:rFonts w:hint="eastAsia" w:eastAsia="仿宋_GB2312" w:cs="仿宋_GB2312"/>
          <w:color w:val="auto"/>
          <w:kern w:val="1"/>
          <w:sz w:val="28"/>
          <w:szCs w:val="28"/>
          <w:highlight w:val="none"/>
          <w:lang w:eastAsia="zh-CN"/>
        </w:rPr>
        <w:t>》《</w:t>
      </w:r>
      <w:r>
        <w:rPr>
          <w:rFonts w:hint="eastAsia" w:ascii="仿宋_GB2312" w:hAnsi="仿宋_GB2312" w:eastAsia="仿宋_GB2312" w:cs="仿宋_GB2312"/>
          <w:color w:val="auto"/>
          <w:kern w:val="1"/>
          <w:sz w:val="28"/>
          <w:szCs w:val="28"/>
          <w:highlight w:val="none"/>
        </w:rPr>
        <w:t>预算法</w:t>
      </w:r>
      <w:r>
        <w:rPr>
          <w:rFonts w:hint="eastAsia" w:eastAsia="仿宋_GB2312" w:cs="仿宋_GB2312"/>
          <w:color w:val="auto"/>
          <w:kern w:val="1"/>
          <w:sz w:val="28"/>
          <w:szCs w:val="28"/>
          <w:highlight w:val="none"/>
          <w:lang w:eastAsia="zh-CN"/>
        </w:rPr>
        <w:t>》《</w:t>
      </w:r>
      <w:r>
        <w:rPr>
          <w:rFonts w:hint="eastAsia" w:ascii="仿宋_GB2312" w:hAnsi="仿宋_GB2312" w:eastAsia="仿宋_GB2312" w:cs="仿宋_GB2312"/>
          <w:color w:val="auto"/>
          <w:kern w:val="1"/>
          <w:sz w:val="28"/>
          <w:szCs w:val="28"/>
          <w:highlight w:val="none"/>
        </w:rPr>
        <w:t xml:space="preserve">行政单位财务规则》等法律和有关财政财务规章，规范财政资金管理，量入为出，统筹兼顾，突出重点，讲究实效，防范风险，合理使用各项资金，确保了我单位预算管理的成效，全年预算支出整体受控。 </w:t>
      </w:r>
    </w:p>
    <w:p>
      <w:pPr>
        <w:keepNext w:val="0"/>
        <w:keepLines w:val="0"/>
        <w:pageBreakBefore w:val="0"/>
        <w:widowControl w:val="0"/>
        <w:kinsoku/>
        <w:wordWrap/>
        <w:overflowPunct/>
        <w:topLinePunct w:val="0"/>
        <w:autoSpaceDE/>
        <w:autoSpaceDN/>
        <w:bidi w:val="0"/>
        <w:adjustRightInd/>
        <w:snapToGrid/>
        <w:spacing w:afterAutospacing="0" w:line="560" w:lineRule="exact"/>
        <w:ind w:firstLine="560" w:firstLineChars="200"/>
        <w:jc w:val="left"/>
        <w:textAlignment w:val="auto"/>
        <w:outlineLvl w:val="9"/>
        <w:rPr>
          <w:rFonts w:ascii="仿宋_GB2312" w:hAnsi="仿宋_GB2312" w:eastAsia="仿宋_GB2312" w:cs="仿宋_GB2312"/>
          <w:color w:val="auto"/>
          <w:kern w:val="1"/>
          <w:sz w:val="28"/>
          <w:szCs w:val="28"/>
          <w:highlight w:val="none"/>
        </w:rPr>
      </w:pPr>
      <w:r>
        <w:rPr>
          <w:rFonts w:hint="eastAsia" w:ascii="仿宋_GB2312" w:hAnsi="仿宋_GB2312" w:eastAsia="仿宋_GB2312" w:cs="仿宋_GB2312"/>
          <w:color w:val="auto"/>
          <w:kern w:val="1"/>
          <w:sz w:val="28"/>
          <w:szCs w:val="28"/>
          <w:highlight w:val="none"/>
        </w:rPr>
        <w:t>1）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p>
    <w:p>
      <w:pPr>
        <w:keepNext w:val="0"/>
        <w:keepLines w:val="0"/>
        <w:pageBreakBefore w:val="0"/>
        <w:widowControl w:val="0"/>
        <w:kinsoku/>
        <w:wordWrap/>
        <w:overflowPunct/>
        <w:topLinePunct w:val="0"/>
        <w:autoSpaceDE/>
        <w:autoSpaceDN/>
        <w:bidi w:val="0"/>
        <w:adjustRightInd/>
        <w:snapToGrid/>
        <w:spacing w:afterAutospacing="0" w:line="560" w:lineRule="exact"/>
        <w:ind w:firstLine="560" w:firstLineChars="200"/>
        <w:jc w:val="left"/>
        <w:textAlignment w:val="auto"/>
        <w:outlineLvl w:val="9"/>
        <w:rPr>
          <w:rFonts w:ascii="仿宋_GB2312" w:hAnsi="仿宋_GB2312" w:eastAsia="仿宋_GB2312" w:cs="仿宋_GB2312"/>
          <w:color w:val="auto"/>
          <w:kern w:val="1"/>
          <w:sz w:val="28"/>
          <w:szCs w:val="28"/>
          <w:highlight w:val="none"/>
        </w:rPr>
      </w:pPr>
      <w:r>
        <w:rPr>
          <w:rFonts w:hint="eastAsia" w:ascii="仿宋_GB2312" w:hAnsi="仿宋_GB2312" w:eastAsia="仿宋_GB2312" w:cs="仿宋_GB2312"/>
          <w:color w:val="auto"/>
          <w:kern w:val="1"/>
          <w:sz w:val="28"/>
          <w:szCs w:val="28"/>
          <w:highlight w:val="none"/>
        </w:rPr>
        <w:t>2）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p>
    <w:p>
      <w:pPr>
        <w:keepNext w:val="0"/>
        <w:keepLines w:val="0"/>
        <w:pageBreakBefore w:val="0"/>
        <w:widowControl w:val="0"/>
        <w:kinsoku/>
        <w:wordWrap/>
        <w:overflowPunct/>
        <w:topLinePunct w:val="0"/>
        <w:autoSpaceDE/>
        <w:autoSpaceDN/>
        <w:bidi w:val="0"/>
        <w:adjustRightInd/>
        <w:snapToGrid/>
        <w:spacing w:afterAutospacing="0" w:line="560" w:lineRule="exact"/>
        <w:ind w:firstLine="560" w:firstLineChars="200"/>
        <w:jc w:val="left"/>
        <w:textAlignment w:val="auto"/>
        <w:outlineLvl w:val="9"/>
        <w:rPr>
          <w:rFonts w:ascii="仿宋_GB2312" w:hAnsi="仿宋_GB2312" w:eastAsia="仿宋_GB2312" w:cs="仿宋_GB2312"/>
          <w:color w:val="auto"/>
          <w:kern w:val="1"/>
          <w:sz w:val="28"/>
          <w:szCs w:val="28"/>
          <w:highlight w:val="none"/>
        </w:rPr>
      </w:pPr>
      <w:r>
        <w:rPr>
          <w:rFonts w:hint="eastAsia" w:ascii="仿宋_GB2312" w:hAnsi="仿宋_GB2312" w:eastAsia="仿宋_GB2312" w:cs="仿宋_GB2312"/>
          <w:color w:val="auto"/>
          <w:kern w:val="1"/>
          <w:sz w:val="28"/>
          <w:szCs w:val="28"/>
          <w:highlight w:val="none"/>
        </w:rPr>
        <w:t>3）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p>
    <w:p>
      <w:pPr>
        <w:bidi w:val="0"/>
        <w:rPr>
          <w:rFonts w:hint="eastAsia" w:eastAsia="仿宋"/>
          <w:color w:val="auto"/>
          <w:highlight w:val="none"/>
          <w:lang w:eastAsia="zh-CN"/>
        </w:rPr>
      </w:pPr>
      <w:r>
        <w:rPr>
          <w:rFonts w:hint="eastAsia" w:ascii="仿宋_GB2312" w:hAnsi="仿宋_GB2312" w:eastAsia="仿宋_GB2312" w:cs="仿宋_GB2312"/>
          <w:color w:val="auto"/>
          <w:kern w:val="1"/>
          <w:sz w:val="28"/>
          <w:szCs w:val="28"/>
          <w:highlight w:val="none"/>
        </w:rPr>
        <w:t>4）强化集中采购。树立全面节约意识，严控一般性经费支出。特别是在办公设备购置和办公用品使用方面，配合相关科室，按照厉行节约、统筹调剂、合理使用的原则加强审核，严控支出，并逐步取得了一定成效。</w:t>
      </w:r>
    </w:p>
    <w:p>
      <w:pPr>
        <w:pStyle w:val="2"/>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1、支出预算有待</w:t>
      </w:r>
      <w:r>
        <w:rPr>
          <w:rFonts w:hint="eastAsia" w:ascii="Times New Roman" w:hAnsi="Times New Roman" w:cs="Times New Roman"/>
          <w:color w:val="auto"/>
          <w:kern w:val="0"/>
          <w:szCs w:val="28"/>
          <w:highlight w:val="none"/>
          <w:lang w:val="en-US" w:eastAsia="zh-CN"/>
        </w:rPr>
        <w:t>细化</w:t>
      </w:r>
      <w:r>
        <w:rPr>
          <w:rFonts w:hint="eastAsia" w:ascii="Times New Roman" w:hAnsi="Times New Roman" w:cs="Times New Roman"/>
          <w:color w:val="auto"/>
          <w:kern w:val="0"/>
          <w:szCs w:val="28"/>
          <w:highlight w:val="none"/>
        </w:rPr>
        <w:t>调整，需要在合理的情况下更加精简节约，细化支出，目前我单位绩效评价和财政资金使用不够完善，有待改进。</w:t>
      </w:r>
    </w:p>
    <w:p>
      <w:p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2、政府采购部分管理不够规范，未能严格履行政府采购程序，造成采购工作的及时性和准确性有所降低，有待加强。</w:t>
      </w:r>
    </w:p>
    <w:p>
      <w:pPr>
        <w:pStyle w:val="5"/>
        <w:rPr>
          <w:rFonts w:hint="default" w:eastAsia="仿宋"/>
          <w:color w:val="auto"/>
          <w:highlight w:val="none"/>
          <w:lang w:val="en-US" w:eastAsia="zh-CN"/>
        </w:rPr>
      </w:pPr>
      <w:r>
        <w:rPr>
          <w:rFonts w:hint="eastAsia" w:ascii="Times New Roman" w:hAnsi="Times New Roman" w:cs="Times New Roman"/>
          <w:color w:val="auto"/>
          <w:kern w:val="0"/>
          <w:szCs w:val="28"/>
          <w:highlight w:val="none"/>
          <w:lang w:val="en-US" w:eastAsia="zh-CN"/>
        </w:rPr>
        <w:t>3、资金使用效益有待进一步提高，绩效目标有待进一步明确、细化和量化。</w:t>
      </w:r>
    </w:p>
    <w:p>
      <w:pPr>
        <w:pStyle w:val="2"/>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spacing w:line="360" w:lineRule="auto"/>
        <w:ind w:firstLine="560"/>
        <w:rPr>
          <w:rFonts w:ascii="仿宋_GB2312" w:hAnsi="仿宋_GB2312" w:cs="仿宋_GB2312"/>
          <w:color w:val="auto"/>
          <w:szCs w:val="28"/>
          <w:highlight w:val="none"/>
        </w:rPr>
      </w:pPr>
      <w:r>
        <w:rPr>
          <w:rFonts w:hint="eastAsia" w:ascii="仿宋_GB2312" w:hAnsi="仿宋_GB2312" w:cs="仿宋_GB2312"/>
          <w:color w:val="auto"/>
          <w:szCs w:val="28"/>
          <w:highlight w:val="none"/>
        </w:rPr>
        <w:t>1、</w:t>
      </w:r>
      <w:r>
        <w:rPr>
          <w:rFonts w:hint="eastAsia" w:cs="仿宋_GB2312"/>
          <w:color w:val="auto"/>
          <w:szCs w:val="28"/>
          <w:highlight w:val="none"/>
          <w:lang w:val="en-US" w:eastAsia="zh-CN"/>
        </w:rPr>
        <w:t>细化指标，落实责任，严格控制一般性费用支出，正确操作和精心维护办公设备，延长使用寿命，节省办公耗材</w:t>
      </w:r>
      <w:r>
        <w:rPr>
          <w:rFonts w:hint="eastAsia" w:ascii="仿宋_GB2312" w:hAnsi="仿宋_GB2312" w:cs="仿宋_GB2312"/>
          <w:color w:val="auto"/>
          <w:szCs w:val="28"/>
          <w:highlight w:val="none"/>
        </w:rPr>
        <w:t>。专项资金的使用，要事前做计划，事中进行控制，事后总结提高。合理安排资金使用</w:t>
      </w:r>
      <w:r>
        <w:rPr>
          <w:rFonts w:hint="eastAsia" w:cs="仿宋_GB2312"/>
          <w:color w:val="auto"/>
          <w:szCs w:val="28"/>
          <w:highlight w:val="none"/>
          <w:lang w:eastAsia="zh-CN"/>
        </w:rPr>
        <w:t>，</w:t>
      </w:r>
      <w:r>
        <w:rPr>
          <w:rFonts w:hint="eastAsia" w:ascii="仿宋_GB2312" w:hAnsi="仿宋_GB2312" w:cs="仿宋_GB2312"/>
          <w:color w:val="auto"/>
          <w:szCs w:val="28"/>
          <w:highlight w:val="none"/>
        </w:rPr>
        <w:t>充分体现资金投向的目标和效益。</w:t>
      </w:r>
    </w:p>
    <w:p>
      <w:pPr>
        <w:spacing w:line="360" w:lineRule="auto"/>
        <w:ind w:firstLine="560"/>
        <w:rPr>
          <w:rFonts w:hint="default" w:ascii="仿宋_GB2312" w:hAnsi="仿宋_GB2312" w:eastAsia="仿宋" w:cs="仿宋_GB2312"/>
          <w:color w:val="auto"/>
          <w:szCs w:val="28"/>
          <w:highlight w:val="none"/>
          <w:lang w:val="en-US" w:eastAsia="zh-CN"/>
        </w:rPr>
      </w:pPr>
      <w:r>
        <w:rPr>
          <w:rFonts w:hint="eastAsia" w:ascii="仿宋_GB2312" w:hAnsi="仿宋_GB2312" w:cs="仿宋_GB2312"/>
          <w:color w:val="auto"/>
          <w:szCs w:val="28"/>
          <w:highlight w:val="none"/>
        </w:rPr>
        <w:t>2、</w:t>
      </w:r>
      <w:r>
        <w:rPr>
          <w:rFonts w:hint="eastAsia" w:cs="仿宋_GB2312"/>
          <w:color w:val="auto"/>
          <w:szCs w:val="28"/>
          <w:highlight w:val="none"/>
          <w:lang w:val="en-US" w:eastAsia="zh-CN"/>
        </w:rPr>
        <w:t>建立健全内控制度，合理确定采购需求，依法选择采购方式，科学编制采购计划，严格履行政府采购流程，加强履约验收管理，切实降低制度性交易成本。</w:t>
      </w:r>
    </w:p>
    <w:p>
      <w:pPr>
        <w:pStyle w:val="4"/>
        <w:rPr>
          <w:rFonts w:hint="default" w:eastAsia="仿宋"/>
          <w:b w:val="0"/>
          <w:bCs w:val="0"/>
          <w:color w:val="auto"/>
          <w:highlight w:val="none"/>
          <w:lang w:val="en-US" w:eastAsia="zh-CN"/>
        </w:rPr>
      </w:pPr>
      <w:r>
        <w:rPr>
          <w:rFonts w:hint="eastAsia" w:ascii="仿宋_GB2312" w:hAnsi="仿宋_GB2312" w:eastAsia="仿宋" w:cs="仿宋_GB2312"/>
          <w:b w:val="0"/>
          <w:bCs w:val="0"/>
          <w:color w:val="auto"/>
          <w:kern w:val="2"/>
          <w:sz w:val="28"/>
          <w:szCs w:val="28"/>
          <w:highlight w:val="none"/>
          <w:lang w:val="en-US" w:eastAsia="zh-CN" w:bidi="ar-SA"/>
        </w:rPr>
        <w:t>3.制定明确的资金使用</w:t>
      </w:r>
      <w:r>
        <w:rPr>
          <w:rFonts w:hint="eastAsia" w:cs="仿宋_GB2312"/>
          <w:b w:val="0"/>
          <w:bCs w:val="0"/>
          <w:color w:val="auto"/>
          <w:kern w:val="2"/>
          <w:sz w:val="28"/>
          <w:szCs w:val="28"/>
          <w:highlight w:val="none"/>
          <w:lang w:val="en-US" w:eastAsia="zh-CN" w:bidi="ar-SA"/>
        </w:rPr>
        <w:t>计划</w:t>
      </w:r>
      <w:r>
        <w:rPr>
          <w:rFonts w:hint="eastAsia" w:ascii="仿宋_GB2312" w:hAnsi="仿宋_GB2312" w:eastAsia="仿宋" w:cs="仿宋_GB2312"/>
          <w:b w:val="0"/>
          <w:bCs w:val="0"/>
          <w:color w:val="auto"/>
          <w:kern w:val="2"/>
          <w:sz w:val="28"/>
          <w:szCs w:val="28"/>
          <w:highlight w:val="none"/>
          <w:lang w:val="en-US" w:eastAsia="zh-CN" w:bidi="ar-SA"/>
        </w:rPr>
        <w:t>，</w:t>
      </w:r>
      <w:r>
        <w:rPr>
          <w:rFonts w:hint="eastAsia" w:cs="仿宋_GB2312"/>
          <w:b w:val="0"/>
          <w:bCs w:val="0"/>
          <w:color w:val="auto"/>
          <w:kern w:val="2"/>
          <w:sz w:val="28"/>
          <w:szCs w:val="28"/>
          <w:highlight w:val="none"/>
          <w:lang w:val="en-US" w:eastAsia="zh-CN" w:bidi="ar-SA"/>
        </w:rPr>
        <w:t>建立预警机制，及时发现和解决风险，</w:t>
      </w:r>
      <w:r>
        <w:rPr>
          <w:rFonts w:hint="eastAsia" w:ascii="仿宋_GB2312" w:hAnsi="仿宋_GB2312" w:eastAsia="仿宋" w:cs="仿宋_GB2312"/>
          <w:b w:val="0"/>
          <w:bCs w:val="0"/>
          <w:color w:val="auto"/>
          <w:kern w:val="2"/>
          <w:sz w:val="28"/>
          <w:szCs w:val="28"/>
          <w:highlight w:val="none"/>
          <w:lang w:val="en-US" w:eastAsia="zh-CN" w:bidi="ar-SA"/>
        </w:rPr>
        <w:t>全面提升资金利用效率。</w:t>
      </w:r>
    </w:p>
    <w:p>
      <w:pPr>
        <w:pStyle w:val="2"/>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F9447F"/>
    <w:multiLevelType w:val="singleLevel"/>
    <w:tmpl w:val="DBF9447F"/>
    <w:lvl w:ilvl="0" w:tentative="0">
      <w:start w:val="4"/>
      <w:numFmt w:val="decimal"/>
      <w:suff w:val="nothing"/>
      <w:lvlText w:val="（%1）"/>
      <w:lvlJc w:val="left"/>
    </w:lvl>
  </w:abstractNum>
  <w:abstractNum w:abstractNumId="1">
    <w:nsid w:val="26A64B18"/>
    <w:multiLevelType w:val="singleLevel"/>
    <w:tmpl w:val="26A64B18"/>
    <w:lvl w:ilvl="0" w:tentative="0">
      <w:start w:val="1"/>
      <w:numFmt w:val="decimal"/>
      <w:suff w:val="nothing"/>
      <w:lvlText w:val="（%1）"/>
      <w:lvlJc w:val="left"/>
    </w:lvl>
  </w:abstractNum>
  <w:abstractNum w:abstractNumId="2">
    <w:nsid w:val="3BC0D729"/>
    <w:multiLevelType w:val="singleLevel"/>
    <w:tmpl w:val="3BC0D729"/>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437BEB"/>
    <w:rsid w:val="06547701"/>
    <w:rsid w:val="06C675E8"/>
    <w:rsid w:val="072B19D6"/>
    <w:rsid w:val="07717112"/>
    <w:rsid w:val="084208C4"/>
    <w:rsid w:val="098A3C0A"/>
    <w:rsid w:val="09A24E4E"/>
    <w:rsid w:val="0A5A16F1"/>
    <w:rsid w:val="0A9A7091"/>
    <w:rsid w:val="0B106E41"/>
    <w:rsid w:val="0C6738B8"/>
    <w:rsid w:val="0E7D784C"/>
    <w:rsid w:val="0F5A6277"/>
    <w:rsid w:val="0F661BEE"/>
    <w:rsid w:val="10300946"/>
    <w:rsid w:val="10FE60D7"/>
    <w:rsid w:val="12791537"/>
    <w:rsid w:val="129E11D6"/>
    <w:rsid w:val="134F7771"/>
    <w:rsid w:val="13834085"/>
    <w:rsid w:val="13C610B7"/>
    <w:rsid w:val="13E513B9"/>
    <w:rsid w:val="14D971C8"/>
    <w:rsid w:val="158C5316"/>
    <w:rsid w:val="15B904C0"/>
    <w:rsid w:val="165C118C"/>
    <w:rsid w:val="172D035F"/>
    <w:rsid w:val="175D58E3"/>
    <w:rsid w:val="18061B60"/>
    <w:rsid w:val="190C3DF8"/>
    <w:rsid w:val="19202945"/>
    <w:rsid w:val="19AA4D08"/>
    <w:rsid w:val="19F83E30"/>
    <w:rsid w:val="1A733CBA"/>
    <w:rsid w:val="1B403139"/>
    <w:rsid w:val="1C6D319F"/>
    <w:rsid w:val="1CC53D48"/>
    <w:rsid w:val="1D384A93"/>
    <w:rsid w:val="1D4D74D6"/>
    <w:rsid w:val="1DE32CFD"/>
    <w:rsid w:val="1EC975DB"/>
    <w:rsid w:val="1EC977F2"/>
    <w:rsid w:val="1F1A602A"/>
    <w:rsid w:val="1F240CB5"/>
    <w:rsid w:val="1F2854B6"/>
    <w:rsid w:val="20084133"/>
    <w:rsid w:val="20D8743A"/>
    <w:rsid w:val="217D20CE"/>
    <w:rsid w:val="21C67E02"/>
    <w:rsid w:val="21C768CD"/>
    <w:rsid w:val="22E14253"/>
    <w:rsid w:val="23931BB2"/>
    <w:rsid w:val="23F209A3"/>
    <w:rsid w:val="2403516E"/>
    <w:rsid w:val="2426102C"/>
    <w:rsid w:val="24E71FCC"/>
    <w:rsid w:val="251D5F8B"/>
    <w:rsid w:val="256A2A9E"/>
    <w:rsid w:val="260E19BC"/>
    <w:rsid w:val="261C6242"/>
    <w:rsid w:val="278E13C2"/>
    <w:rsid w:val="27F7226E"/>
    <w:rsid w:val="2805537E"/>
    <w:rsid w:val="280D4119"/>
    <w:rsid w:val="289437EE"/>
    <w:rsid w:val="297873DB"/>
    <w:rsid w:val="29F35E61"/>
    <w:rsid w:val="2A285817"/>
    <w:rsid w:val="2B6F150A"/>
    <w:rsid w:val="2BB557CB"/>
    <w:rsid w:val="2BC51751"/>
    <w:rsid w:val="2D166684"/>
    <w:rsid w:val="2DD1493D"/>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CB5066"/>
    <w:rsid w:val="38E054C9"/>
    <w:rsid w:val="3A483652"/>
    <w:rsid w:val="3A565DE9"/>
    <w:rsid w:val="3AC36A27"/>
    <w:rsid w:val="3B4A3407"/>
    <w:rsid w:val="3D9077EA"/>
    <w:rsid w:val="3DDD0555"/>
    <w:rsid w:val="3E38578C"/>
    <w:rsid w:val="3E4E3201"/>
    <w:rsid w:val="3EB70DA6"/>
    <w:rsid w:val="3F301058"/>
    <w:rsid w:val="3FF70FB4"/>
    <w:rsid w:val="417A34F9"/>
    <w:rsid w:val="418810F4"/>
    <w:rsid w:val="41A37673"/>
    <w:rsid w:val="42503F5E"/>
    <w:rsid w:val="42C30950"/>
    <w:rsid w:val="459B4F7E"/>
    <w:rsid w:val="45A65C7F"/>
    <w:rsid w:val="45F13359"/>
    <w:rsid w:val="468C2A4A"/>
    <w:rsid w:val="46AD2493"/>
    <w:rsid w:val="46D00C57"/>
    <w:rsid w:val="46EC7F14"/>
    <w:rsid w:val="473F5DDD"/>
    <w:rsid w:val="47CA7D9C"/>
    <w:rsid w:val="47DB3D58"/>
    <w:rsid w:val="480D0379"/>
    <w:rsid w:val="48194880"/>
    <w:rsid w:val="48AF4C7F"/>
    <w:rsid w:val="4A5B46DD"/>
    <w:rsid w:val="4A6F6A56"/>
    <w:rsid w:val="4A81677A"/>
    <w:rsid w:val="4B36407A"/>
    <w:rsid w:val="4B3B5348"/>
    <w:rsid w:val="4DA177B2"/>
    <w:rsid w:val="4DA370C6"/>
    <w:rsid w:val="4DF36D4F"/>
    <w:rsid w:val="501B7C76"/>
    <w:rsid w:val="504D5CCF"/>
    <w:rsid w:val="511A2CA6"/>
    <w:rsid w:val="52363EF8"/>
    <w:rsid w:val="52F12681"/>
    <w:rsid w:val="533A7469"/>
    <w:rsid w:val="53526129"/>
    <w:rsid w:val="538B4CD8"/>
    <w:rsid w:val="53A21BCD"/>
    <w:rsid w:val="54321275"/>
    <w:rsid w:val="54394F3D"/>
    <w:rsid w:val="557650C0"/>
    <w:rsid w:val="565F61A9"/>
    <w:rsid w:val="56AD4B11"/>
    <w:rsid w:val="57232FC4"/>
    <w:rsid w:val="572D2326"/>
    <w:rsid w:val="57365691"/>
    <w:rsid w:val="59EE1E48"/>
    <w:rsid w:val="5A490F5C"/>
    <w:rsid w:val="5A6F20DD"/>
    <w:rsid w:val="5B805E16"/>
    <w:rsid w:val="5BD21464"/>
    <w:rsid w:val="5BDE2B83"/>
    <w:rsid w:val="5C777282"/>
    <w:rsid w:val="5D245401"/>
    <w:rsid w:val="5E4D401A"/>
    <w:rsid w:val="5F2F5ACA"/>
    <w:rsid w:val="5FCB6468"/>
    <w:rsid w:val="61635F72"/>
    <w:rsid w:val="618606C5"/>
    <w:rsid w:val="61FF1D2D"/>
    <w:rsid w:val="6224402D"/>
    <w:rsid w:val="62AE7EC3"/>
    <w:rsid w:val="6384067A"/>
    <w:rsid w:val="638D125E"/>
    <w:rsid w:val="6396333E"/>
    <w:rsid w:val="63E114D3"/>
    <w:rsid w:val="6A040A94"/>
    <w:rsid w:val="6AD46D46"/>
    <w:rsid w:val="6B07083C"/>
    <w:rsid w:val="6B623CC4"/>
    <w:rsid w:val="6B6C65E0"/>
    <w:rsid w:val="6C270A6A"/>
    <w:rsid w:val="6C2B67AC"/>
    <w:rsid w:val="6CB31465"/>
    <w:rsid w:val="6CCC0967"/>
    <w:rsid w:val="6DE07909"/>
    <w:rsid w:val="6E58438A"/>
    <w:rsid w:val="6E7066F8"/>
    <w:rsid w:val="6E910B94"/>
    <w:rsid w:val="6E9D5508"/>
    <w:rsid w:val="6F7F4719"/>
    <w:rsid w:val="6F871359"/>
    <w:rsid w:val="711B7F18"/>
    <w:rsid w:val="71C50B09"/>
    <w:rsid w:val="71EB22B3"/>
    <w:rsid w:val="72010FA6"/>
    <w:rsid w:val="733F48EB"/>
    <w:rsid w:val="741B2C62"/>
    <w:rsid w:val="74212849"/>
    <w:rsid w:val="744C1D4E"/>
    <w:rsid w:val="748A4F72"/>
    <w:rsid w:val="74961819"/>
    <w:rsid w:val="750202C6"/>
    <w:rsid w:val="75664078"/>
    <w:rsid w:val="761E4132"/>
    <w:rsid w:val="76282F2B"/>
    <w:rsid w:val="78061A79"/>
    <w:rsid w:val="79181486"/>
    <w:rsid w:val="7A054AE3"/>
    <w:rsid w:val="7AFE508C"/>
    <w:rsid w:val="7B2561EC"/>
    <w:rsid w:val="7BC003CA"/>
    <w:rsid w:val="7CBF4BB4"/>
    <w:rsid w:val="7E53749D"/>
    <w:rsid w:val="7E5D346D"/>
    <w:rsid w:val="7EFC5D86"/>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4052</Words>
  <Characters>4263</Characters>
  <Lines>7</Lines>
  <Paragraphs>2</Paragraphs>
  <TotalTime>33</TotalTime>
  <ScaleCrop>false</ScaleCrop>
  <LinksUpToDate>false</LinksUpToDate>
  <CharactersWithSpaces>4266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2024-08-11T08:42:04Z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