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880" w:firstLineChars="200"/>
        <w:jc w:val="both"/>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highlight w:val="none"/>
          <w:lang w:val="en-US" w:eastAsia="zh-CN"/>
        </w:rPr>
      </w:pPr>
      <w:r>
        <w:rPr>
          <w:rFonts w:hint="eastAsia"/>
          <w:color w:val="auto"/>
          <w:highlight w:val="none"/>
          <w:lang w:val="en-US" w:eastAsia="zh-CN"/>
        </w:rPr>
        <w:t>和静县城市管理综合执法局单位是和静县一级预算县区级工作部门，为参照公务员管理的正科级。单位主要负责组织执行</w:t>
      </w:r>
    </w:p>
    <w:p>
      <w:pPr>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（1）为贯彻</w:t>
      </w:r>
      <w:r>
        <w:rPr>
          <w:rFonts w:hint="eastAsia" w:cs="仿宋"/>
          <w:color w:val="auto"/>
          <w:sz w:val="28"/>
          <w:szCs w:val="28"/>
          <w:highlight w:val="none"/>
          <w:lang w:val="en-US" w:eastAsia="zh-CN"/>
        </w:rPr>
        <w:t>执行国家</w:t>
      </w:r>
      <w:r>
        <w:rPr>
          <w:rFonts w:hint="eastAsia" w:ascii="仿宋" w:hAnsi="仿宋" w:eastAsia="仿宋" w:cs="仿宋"/>
          <w:color w:val="auto"/>
          <w:sz w:val="28"/>
          <w:szCs w:val="28"/>
          <w:highlight w:val="none"/>
        </w:rPr>
        <w:t>落实《中共中央国务院关于深入推进城市综合执法体制改革改进城市管理工作的指导意见》（中办发【2015】37号）和《自治区党委办公厅自治区人民政府办公厅印发＜关于深入推进城市执法体制改革推进城市管理工作的实施意见＞的通知》（新党办发【2016】53号）精神，深入推进</w:t>
      </w:r>
      <w:r>
        <w:rPr>
          <w:rFonts w:hint="eastAsia" w:ascii="仿宋" w:hAnsi="仿宋" w:eastAsia="仿宋" w:cs="仿宋"/>
          <w:color w:val="auto"/>
          <w:sz w:val="28"/>
          <w:szCs w:val="28"/>
          <w:highlight w:val="none"/>
          <w:lang w:eastAsia="zh-CN"/>
        </w:rPr>
        <w:t>和静</w:t>
      </w:r>
      <w:r>
        <w:rPr>
          <w:rFonts w:hint="eastAsia" w:ascii="仿宋" w:hAnsi="仿宋" w:eastAsia="仿宋" w:cs="仿宋"/>
          <w:color w:val="auto"/>
          <w:sz w:val="28"/>
          <w:szCs w:val="28"/>
          <w:highlight w:val="none"/>
        </w:rPr>
        <w:t>县城市管理执法体制改革，改进城市管理方式</w:t>
      </w:r>
      <w:r>
        <w:rPr>
          <w:rFonts w:hint="eastAsia"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提高城市管理和公共服务水平，</w:t>
      </w:r>
      <w:r>
        <w:rPr>
          <w:rFonts w:hint="eastAsia" w:ascii="仿宋" w:hAnsi="仿宋" w:eastAsia="仿宋" w:cs="仿宋"/>
          <w:color w:val="auto"/>
          <w:sz w:val="28"/>
          <w:szCs w:val="28"/>
          <w:highlight w:val="none"/>
        </w:rPr>
        <w:t>制定本规定。</w:t>
      </w:r>
    </w:p>
    <w:p>
      <w:pPr>
        <w:numPr>
          <w:ilvl w:val="0"/>
          <w:numId w:val="0"/>
        </w:numPr>
        <w:ind w:leftChars="200"/>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2</w:t>
      </w:r>
      <w:r>
        <w:rPr>
          <w:rFonts w:hint="eastAsia"/>
          <w:color w:val="auto"/>
          <w:highlight w:val="none"/>
        </w:rPr>
        <w:t>）负责</w:t>
      </w:r>
      <w:r>
        <w:rPr>
          <w:rFonts w:hint="eastAsia"/>
          <w:color w:val="auto"/>
          <w:highlight w:val="none"/>
          <w:lang w:val="en-US" w:eastAsia="zh-CN"/>
        </w:rPr>
        <w:t>对市容环境卫生管理方面的违法、违规、违章行为的执法监察。</w:t>
      </w:r>
    </w:p>
    <w:p>
      <w:pPr>
        <w:numPr>
          <w:ilvl w:val="0"/>
          <w:numId w:val="0"/>
        </w:numPr>
        <w:ind w:leftChars="200"/>
        <w:rPr>
          <w:rFonts w:hint="eastAsia"/>
          <w:color w:val="auto"/>
          <w:highlight w:val="none"/>
        </w:rPr>
      </w:pPr>
      <w:r>
        <w:rPr>
          <w:rFonts w:hint="eastAsia"/>
          <w:color w:val="auto"/>
          <w:highlight w:val="none"/>
        </w:rPr>
        <w:t>（</w:t>
      </w:r>
      <w:r>
        <w:rPr>
          <w:rFonts w:hint="eastAsia"/>
          <w:color w:val="auto"/>
          <w:highlight w:val="none"/>
          <w:lang w:val="en-US" w:eastAsia="zh-CN"/>
        </w:rPr>
        <w:t>3</w:t>
      </w:r>
      <w:r>
        <w:rPr>
          <w:rFonts w:hint="eastAsia"/>
          <w:color w:val="auto"/>
          <w:highlight w:val="none"/>
        </w:rPr>
        <w:t>）负责</w:t>
      </w:r>
      <w:r>
        <w:rPr>
          <w:rFonts w:hint="eastAsia"/>
          <w:color w:val="auto"/>
          <w:highlight w:val="none"/>
          <w:lang w:val="en-US" w:eastAsia="zh-CN"/>
        </w:rPr>
        <w:t>对</w:t>
      </w:r>
      <w:r>
        <w:rPr>
          <w:rFonts w:hint="eastAsia"/>
          <w:color w:val="auto"/>
          <w:highlight w:val="none"/>
        </w:rPr>
        <w:t>房地产管理方面的违法、违规、违章行为的执法监察</w:t>
      </w:r>
    </w:p>
    <w:p>
      <w:pPr>
        <w:pStyle w:val="2"/>
        <w:ind w:firstLine="562"/>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 xml:space="preserve">（4）负责对公用事业管理方面的违法、违规、违章行为的执法监察。 </w:t>
      </w:r>
    </w:p>
    <w:p>
      <w:pPr>
        <w:rPr>
          <w:rFonts w:hint="eastAsia"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5</w:t>
      </w:r>
      <w:r>
        <w:rPr>
          <w:rFonts w:hint="eastAsia" w:ascii="仿宋" w:hAnsi="仿宋" w:eastAsia="仿宋" w:cs="Times New Roman"/>
          <w:b w:val="0"/>
          <w:bCs w:val="0"/>
          <w:color w:val="auto"/>
          <w:kern w:val="2"/>
          <w:sz w:val="28"/>
          <w:szCs w:val="24"/>
          <w:highlight w:val="none"/>
          <w:lang w:val="en-US" w:eastAsia="zh-CN" w:bidi="ar-SA"/>
        </w:rPr>
        <w:t>）负责对市政工程、市政设施管理方面的违法、违规、违章行为的执法监察</w:t>
      </w:r>
      <w:r>
        <w:rPr>
          <w:rFonts w:hint="eastAsia" w:cs="Times New Roman"/>
          <w:b w:val="0"/>
          <w:bCs w:val="0"/>
          <w:color w:val="auto"/>
          <w:kern w:val="2"/>
          <w:sz w:val="28"/>
          <w:szCs w:val="24"/>
          <w:highlight w:val="none"/>
          <w:lang w:val="en-US" w:eastAsia="zh-CN" w:bidi="ar-SA"/>
        </w:rPr>
        <w:t>。</w:t>
      </w:r>
    </w:p>
    <w:p>
      <w:pPr>
        <w:pStyle w:val="2"/>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（6）负责对</w:t>
      </w:r>
      <w:r>
        <w:rPr>
          <w:rFonts w:hint="default" w:ascii="仿宋" w:hAnsi="仿宋" w:eastAsia="仿宋" w:cs="Times New Roman"/>
          <w:b w:val="0"/>
          <w:bCs w:val="0"/>
          <w:color w:val="auto"/>
          <w:kern w:val="2"/>
          <w:sz w:val="28"/>
          <w:szCs w:val="24"/>
          <w:highlight w:val="none"/>
          <w:lang w:val="en-US" w:eastAsia="zh-CN" w:bidi="ar-SA"/>
        </w:rPr>
        <w:t>园林绿化管理方面的违法、违规、违章行为的执法监察</w:t>
      </w:r>
      <w:r>
        <w:rPr>
          <w:rFonts w:hint="eastAsia" w:ascii="仿宋" w:hAnsi="仿宋" w:eastAsia="仿宋" w:cs="Times New Roman"/>
          <w:b w:val="0"/>
          <w:bCs w:val="0"/>
          <w:color w:val="auto"/>
          <w:kern w:val="2"/>
          <w:sz w:val="28"/>
          <w:szCs w:val="24"/>
          <w:highlight w:val="none"/>
          <w:lang w:val="en-US" w:eastAsia="zh-CN" w:bidi="ar-SA"/>
        </w:rPr>
        <w:t>。</w:t>
      </w:r>
    </w:p>
    <w:p>
      <w:pPr>
        <w:rPr>
          <w:rFonts w:hint="eastAsia"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7</w:t>
      </w:r>
      <w:r>
        <w:rPr>
          <w:rFonts w:hint="eastAsia" w:ascii="仿宋" w:hAnsi="仿宋" w:eastAsia="仿宋"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风景名胜区和新疆天山世界自然遗产提名地管理方面的违法，违规，违章行为的执法监察。</w:t>
      </w:r>
    </w:p>
    <w:p>
      <w:pPr>
        <w:pStyle w:val="2"/>
        <w:rPr>
          <w:rFonts w:hint="eastAsia"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（8）建筑工程方面的违法，违规，违章行为的执法监察。</w:t>
      </w:r>
    </w:p>
    <w:p>
      <w:pPr>
        <w:pStyle w:val="2"/>
        <w:rPr>
          <w:rFonts w:hint="eastAsia"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（9）城乡规划方面的违法，违规，违章行为的执法监察。</w:t>
      </w:r>
    </w:p>
    <w:p>
      <w:pPr>
        <w:rPr>
          <w:rFonts w:hint="eastAsia"/>
          <w:color w:val="auto"/>
          <w:highlight w:val="none"/>
          <w:lang w:val="en-US" w:eastAsia="zh-CN"/>
        </w:rPr>
      </w:pPr>
      <w:r>
        <w:rPr>
          <w:rFonts w:hint="eastAsia"/>
          <w:color w:val="auto"/>
          <w:highlight w:val="none"/>
          <w:lang w:val="en-US" w:eastAsia="zh-CN"/>
        </w:rPr>
        <w:t>（10）依法授权范围之内的其他行为的执法监察。</w:t>
      </w:r>
    </w:p>
    <w:p>
      <w:pPr>
        <w:pStyle w:val="2"/>
        <w:rPr>
          <w:rFonts w:hint="default"/>
          <w:color w:val="auto"/>
          <w:highlight w:val="none"/>
          <w:lang w:val="en-US" w:eastAsia="zh-CN"/>
        </w:rPr>
      </w:pPr>
      <w:r>
        <w:rPr>
          <w:rFonts w:hint="eastAsia" w:ascii="仿宋" w:hAnsi="仿宋" w:eastAsia="仿宋" w:cs="Times New Roman"/>
          <w:b w:val="0"/>
          <w:bCs w:val="0"/>
          <w:color w:val="auto"/>
          <w:kern w:val="2"/>
          <w:sz w:val="28"/>
          <w:szCs w:val="24"/>
          <w:highlight w:val="none"/>
          <w:lang w:val="en-US" w:eastAsia="zh-CN" w:bidi="ar-SA"/>
        </w:rPr>
        <w:t>（11）县人民政府交付的其他任务。</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和静县城市管理综合执法局单位机构设置：无下属预算单位，内设1个科室，分别是：办公室。和静县城市管理综合执法局单位人员总数6名，其中：在职2名，退休4名，离休0名。实有人员6人。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rPr>
      </w:pPr>
      <w:r>
        <w:rPr>
          <w:rFonts w:hint="eastAsia"/>
          <w:color w:val="auto"/>
          <w:highlight w:val="none"/>
          <w:lang w:val="en-US" w:eastAsia="zh-CN"/>
        </w:rPr>
        <w:t>紧紧围绕</w:t>
      </w:r>
      <w:r>
        <w:rPr>
          <w:rFonts w:hint="eastAsia" w:ascii="仿宋" w:hAnsi="仿宋" w:eastAsia="仿宋" w:cs="仿宋"/>
          <w:color w:val="auto"/>
          <w:sz w:val="28"/>
          <w:szCs w:val="28"/>
          <w:highlight w:val="none"/>
        </w:rPr>
        <w:t>县委、县政府和住建局的工作重心，突出重点、抓住难点、打造亮点，按照“绿化、净化、美化、亮化”的城市精细化管理工作要求，抓出工作亮点，强化内部管理，提升队伍综合素质，以更高的工作标准、更有效的工作措施，创建更加优美的城区环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（一）加强队伍建设。按照上级的安排和部署认真落实好城市管理综合执法体制改革中的各项工作，强化对《城市管理执法办法》的学习理解与落实，提高执法人员的自身素质和执法水平。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（二）继续严控违法违规</w:t>
      </w:r>
      <w:r>
        <w:rPr>
          <w:rFonts w:hint="eastAsia" w:ascii="仿宋" w:hAnsi="仿宋" w:eastAsia="仿宋" w:cs="仿宋"/>
          <w:color w:val="auto"/>
          <w:sz w:val="28"/>
          <w:szCs w:val="28"/>
          <w:highlight w:val="none"/>
          <w:lang w:eastAsia="zh-CN"/>
        </w:rPr>
        <w:t>行为</w:t>
      </w:r>
      <w:r>
        <w:rPr>
          <w:rFonts w:hint="eastAsia" w:ascii="仿宋" w:hAnsi="仿宋" w:eastAsia="仿宋" w:cs="仿宋"/>
          <w:color w:val="auto"/>
          <w:sz w:val="28"/>
          <w:szCs w:val="28"/>
          <w:highlight w:val="none"/>
        </w:rPr>
        <w:t>。持续发力，加强对违法</w:t>
      </w:r>
      <w:r>
        <w:rPr>
          <w:rFonts w:hint="eastAsia" w:ascii="仿宋" w:hAnsi="仿宋" w:eastAsia="仿宋" w:cs="仿宋"/>
          <w:color w:val="auto"/>
          <w:sz w:val="28"/>
          <w:szCs w:val="28"/>
          <w:highlight w:val="none"/>
          <w:lang w:eastAsia="zh-CN"/>
        </w:rPr>
        <w:t>行为的</w:t>
      </w:r>
      <w:r>
        <w:rPr>
          <w:rFonts w:hint="eastAsia" w:ascii="仿宋" w:hAnsi="仿宋" w:eastAsia="仿宋" w:cs="仿宋"/>
          <w:color w:val="auto"/>
          <w:sz w:val="28"/>
          <w:szCs w:val="28"/>
          <w:highlight w:val="none"/>
        </w:rPr>
        <w:t>巡查管控，及时查处乱倒建筑垃圾、损坏园林绿化、城市道路附属设施等行为，改善城市环境质量，维护社会公共利益，保障城市经济建设和社会事业的健康发展</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 xml:space="preserve"> </w:t>
      </w:r>
      <w:r>
        <w:rPr>
          <w:rFonts w:hint="eastAsia" w:ascii="仿宋" w:hAnsi="仿宋" w:cs="仿宋"/>
          <w:b/>
          <w:color w:val="auto"/>
          <w:sz w:val="28"/>
          <w:szCs w:val="28"/>
          <w:highlight w:val="none"/>
          <w:lang w:eastAsia="zh-CN"/>
        </w:rPr>
        <w:t>（</w:t>
      </w:r>
      <w:r>
        <w:rPr>
          <w:rFonts w:hint="eastAsia" w:ascii="仿宋" w:hAnsi="仿宋" w:eastAsia="仿宋" w:cs="仿宋"/>
          <w:color w:val="auto"/>
          <w:sz w:val="28"/>
          <w:szCs w:val="28"/>
          <w:highlight w:val="none"/>
        </w:rPr>
        <w:t>三</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继续实行错时工作制，加强城市管理。在平时的市容管理工作中，积极采取干部带班、路段承包、网格巡逻防控、全面落实市容长效管理措施，打破8小时工作制，错时错休，</w:t>
      </w:r>
      <w:r>
        <w:rPr>
          <w:rFonts w:hint="eastAsia" w:ascii="仿宋" w:hAnsi="仿宋" w:eastAsia="仿宋" w:cs="仿宋"/>
          <w:color w:val="auto"/>
          <w:sz w:val="28"/>
          <w:szCs w:val="28"/>
          <w:highlight w:val="none"/>
          <w:lang w:eastAsia="zh-CN"/>
        </w:rPr>
        <w:t>实施全时段监管</w:t>
      </w:r>
      <w:r>
        <w:rPr>
          <w:rFonts w:hint="eastAsia" w:ascii="仿宋" w:hAnsi="仿宋" w:eastAsia="仿宋" w:cs="仿宋"/>
          <w:color w:val="auto"/>
          <w:sz w:val="28"/>
          <w:szCs w:val="28"/>
          <w:highlight w:val="none"/>
        </w:rPr>
        <w:t>。严查大车超载、违规进城及垃圾乱倒的乱象，继续通过专人值守的办法，对城区重点路段，繁华街区全时段管控，提高城市管理标准。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抓好车辆管理，维护公共秩序。配合交警大队清理整治停在城市街道、公共用地、小区的大型车辆；配合交警大队疏导大型车辆进入大型停车辆停放。依据相关法律法规规范公共停车场的小型车辆停放秩序。</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我单位年初预算数为80.85万元，实际预算执行数63.52万元，预算执行率为100%。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全年预算数为63.52万元，全年实际支出资金63.52万元，预算执行率为100%。</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80.85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17.33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63.52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21.43</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21.43</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63.52</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63.52</w:t>
      </w:r>
      <w:r>
        <w:rPr>
          <w:rFonts w:hint="default"/>
          <w:color w:val="auto"/>
          <w:highlight w:val="none"/>
          <w:lang w:val="en-US" w:eastAsia="zh-CN"/>
        </w:rPr>
        <w:t>万元，资金的使用方向为我单位机关人员经费支出</w:t>
      </w:r>
      <w:r>
        <w:rPr>
          <w:rFonts w:hint="eastAsia"/>
          <w:color w:val="auto"/>
          <w:highlight w:val="none"/>
          <w:lang w:val="en-US" w:eastAsia="zh-CN"/>
        </w:rPr>
        <w:t>56.1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7.42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eastAsia"/>
          <w:color w:val="auto"/>
          <w:highlight w:val="none"/>
          <w:lang w:val="en-US" w:eastAsia="zh-CN"/>
        </w:rPr>
        <w:t>全年未安排</w:t>
      </w:r>
      <w:r>
        <w:rPr>
          <w:rFonts w:hint="default"/>
          <w:color w:val="auto"/>
          <w:highlight w:val="none"/>
          <w:lang w:val="en-US" w:eastAsia="zh-CN"/>
        </w:rPr>
        <w:t>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63.52万元，全年实际支出63.52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56.1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公用经费支出7.42万元，主要包括：办公费、印刷费、差旅费、培训费、公务用车运行维护费、其他交通费用、其他商品和服务支出。</w:t>
      </w:r>
    </w:p>
    <w:p>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4</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一）“三公经费”控制率</w:t>
      </w:r>
      <w:r>
        <w:rPr>
          <w:rFonts w:hint="eastAsia"/>
          <w:color w:val="auto"/>
          <w:highlight w:val="none"/>
        </w:rPr>
        <w:t>指标完成情况分析</w:t>
      </w:r>
    </w:p>
    <w:p>
      <w:pPr>
        <w:bidi w:val="0"/>
        <w:rPr>
          <w:rFonts w:hint="eastAsia" w:ascii="仿宋" w:hAnsi="仿宋" w:eastAsia="仿宋" w:cs="仿宋"/>
          <w:color w:val="auto"/>
          <w:kern w:val="1"/>
          <w:sz w:val="28"/>
          <w:szCs w:val="28"/>
          <w:highlight w:val="none"/>
        </w:rPr>
      </w:pPr>
      <w:r>
        <w:rPr>
          <w:rFonts w:hint="default"/>
          <w:color w:val="auto"/>
          <w:highlight w:val="none"/>
          <w:lang w:val="en-US" w:eastAsia="zh-CN"/>
        </w:rPr>
        <w:t>“</w:t>
      </w:r>
      <w:r>
        <w:rPr>
          <w:rFonts w:hint="eastAsia"/>
          <w:color w:val="auto"/>
          <w:highlight w:val="none"/>
          <w:lang w:val="en-US" w:eastAsia="zh-CN"/>
        </w:rPr>
        <w:t>三公经费“控制率指标年初设定目标是100%，年中绩效运行监控时完成值50%，年终实际完成值是100%，指标完成率是100%，达到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在科学合理编制部门预算的基础上，对部门预算中各项经费进一步细化，分类施控，严格执行，实现对经济活动全程管控，确保所有工作都在预算范围内有序进行，以此强化预算源头管控和精细化管理。</w:t>
      </w:r>
    </w:p>
    <w:p>
      <w:pPr>
        <w:tabs>
          <w:tab w:val="left" w:pos="6788"/>
        </w:tabs>
        <w:bidi w:val="0"/>
        <w:rPr>
          <w:rFonts w:hint="eastAsia"/>
          <w:color w:val="auto"/>
          <w:highlight w:val="none"/>
          <w:lang w:val="en-US" w:eastAsia="zh-CN"/>
        </w:rPr>
      </w:pP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（二）基本支出预算执行率指标完成情况分析</w:t>
      </w:r>
    </w:p>
    <w:p>
      <w:pPr>
        <w:spacing w:line="360" w:lineRule="auto"/>
        <w:ind w:firstLine="560"/>
        <w:rPr>
          <w:rFonts w:hint="eastAsia" w:cs="Times New Roman"/>
          <w:color w:val="auto"/>
          <w:szCs w:val="28"/>
          <w:highlight w:val="none"/>
          <w:lang w:val="en-US" w:eastAsia="zh-CN"/>
        </w:rPr>
      </w:pPr>
      <w:r>
        <w:rPr>
          <w:rFonts w:hint="eastAsia"/>
          <w:color w:val="auto"/>
          <w:highlight w:val="none"/>
          <w:lang w:val="en-US" w:eastAsia="zh-CN"/>
        </w:rPr>
        <w:t>基本支出预算执行率指标年初设定目标是100%，年中绩效运行监控时完成值100%，年终实际完成值是100%，指标完成率是100%，达到</w:t>
      </w:r>
      <w:r>
        <w:rPr>
          <w:rFonts w:hint="eastAsia" w:cs="Times New Roman"/>
          <w:color w:val="auto"/>
          <w:szCs w:val="28"/>
          <w:highlight w:val="none"/>
          <w:lang w:val="en-US" w:eastAsia="zh-CN"/>
        </w:rPr>
        <w:t>人员支出按照工资计划发放工资；涉及资金支出按照我单位内控体系中设定的流程申报审批进行；项目支出属于政府采购的，组织人员制定采购计划，进行公开招标、邀请招标等方式进行；属于非政府采购的项目，按照“三重一大”制度规定，重大项目支出上</w:t>
      </w:r>
      <w:r>
        <w:rPr>
          <w:rFonts w:hint="eastAsia"/>
          <w:color w:val="auto"/>
          <w:highlight w:val="none"/>
          <w:lang w:val="en-US" w:eastAsia="zh-CN"/>
        </w:rPr>
        <w:t>会</w:t>
      </w:r>
      <w:r>
        <w:rPr>
          <w:rFonts w:hint="eastAsia" w:cs="Times New Roman"/>
          <w:color w:val="auto"/>
          <w:szCs w:val="28"/>
          <w:highlight w:val="none"/>
          <w:lang w:val="en-US" w:eastAsia="zh-CN"/>
        </w:rPr>
        <w:t>研究决定。</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三）抓学习，提高整体人员素质和业务能力，每天1小时自学，每周一堂课学习制度</w:t>
      </w:r>
      <w:r>
        <w:rPr>
          <w:rFonts w:hint="eastAsia"/>
          <w:color w:val="auto"/>
          <w:highlight w:val="none"/>
        </w:rPr>
        <w:t>指标完成情况分析</w:t>
      </w:r>
    </w:p>
    <w:p>
      <w:pPr>
        <w:spacing w:line="360" w:lineRule="auto"/>
        <w:ind w:firstLine="560"/>
        <w:rPr>
          <w:rFonts w:hint="eastAsia"/>
          <w:color w:val="auto"/>
          <w:highlight w:val="none"/>
          <w:lang w:val="en-US" w:eastAsia="zh-CN"/>
        </w:rPr>
      </w:pPr>
      <w:r>
        <w:rPr>
          <w:rFonts w:hint="eastAsia"/>
          <w:color w:val="auto"/>
          <w:highlight w:val="none"/>
          <w:lang w:val="en-US" w:eastAsia="zh-CN"/>
        </w:rPr>
        <w:t>抓学习，提高整体人员素质和业务能力.每天1小时自学，每周一堂课学习制度指标年初设定目标是&gt;=200小时，年中绩效运行监控时完成值100小时，年终实际完成值是208小时，指标完成率是104%，达到</w:t>
      </w:r>
      <w:r>
        <w:rPr>
          <w:rFonts w:hint="eastAsia" w:ascii="仿宋" w:hAnsi="仿宋" w:eastAsia="仿宋" w:cs="仿宋"/>
          <w:b w:val="0"/>
          <w:bCs/>
          <w:color w:val="auto"/>
          <w:sz w:val="28"/>
          <w:szCs w:val="28"/>
          <w:highlight w:val="none"/>
          <w:lang w:val="en-US" w:eastAsia="zh-CN"/>
        </w:rPr>
        <w:t>认</w:t>
      </w:r>
      <w:r>
        <w:rPr>
          <w:rFonts w:hint="eastAsia" w:ascii="仿宋" w:hAnsi="仿宋" w:eastAsia="仿宋" w:cs="仿宋"/>
          <w:b w:val="0"/>
          <w:bCs/>
          <w:color w:val="auto"/>
          <w:sz w:val="28"/>
          <w:szCs w:val="28"/>
          <w:highlight w:val="none"/>
          <w:lang w:eastAsia="zh-CN"/>
        </w:rPr>
        <w:t>真贯彻落实习近平法治思想，认真</w:t>
      </w:r>
      <w:r>
        <w:rPr>
          <w:rFonts w:hint="eastAsia" w:ascii="仿宋" w:hAnsi="仿宋" w:eastAsia="仿宋" w:cs="仿宋"/>
          <w:b w:val="0"/>
          <w:bCs/>
          <w:color w:val="auto"/>
          <w:sz w:val="28"/>
          <w:szCs w:val="28"/>
          <w:highlight w:val="none"/>
        </w:rPr>
        <w:t>落实</w:t>
      </w:r>
      <w:r>
        <w:rPr>
          <w:rFonts w:hint="eastAsia" w:ascii="仿宋" w:hAnsi="仿宋" w:eastAsia="仿宋" w:cs="仿宋"/>
          <w:b w:val="0"/>
          <w:bCs/>
          <w:color w:val="auto"/>
          <w:sz w:val="28"/>
          <w:szCs w:val="28"/>
          <w:highlight w:val="none"/>
          <w:lang w:eastAsia="zh-CN"/>
        </w:rPr>
        <w:t>每日点名和每日</w:t>
      </w:r>
      <w:r>
        <w:rPr>
          <w:rFonts w:hint="eastAsia" w:ascii="仿宋" w:hAnsi="仿宋" w:eastAsia="仿宋" w:cs="仿宋"/>
          <w:b w:val="0"/>
          <w:bCs/>
          <w:color w:val="auto"/>
          <w:sz w:val="28"/>
          <w:szCs w:val="28"/>
          <w:highlight w:val="none"/>
          <w:lang w:val="en-US" w:eastAsia="zh-CN"/>
        </w:rPr>
        <w:t>60</w:t>
      </w:r>
      <w:r>
        <w:rPr>
          <w:rFonts w:hint="eastAsia" w:ascii="仿宋" w:hAnsi="仿宋" w:eastAsia="仿宋" w:cs="仿宋"/>
          <w:b w:val="0"/>
          <w:bCs/>
          <w:color w:val="auto"/>
          <w:sz w:val="28"/>
          <w:szCs w:val="28"/>
          <w:highlight w:val="none"/>
        </w:rPr>
        <w:t>分钟经常性思想教育，</w:t>
      </w:r>
      <w:r>
        <w:rPr>
          <w:rFonts w:hint="eastAsia" w:ascii="仿宋" w:hAnsi="仿宋" w:cs="仿宋"/>
          <w:b w:val="0"/>
          <w:bCs/>
          <w:color w:val="auto"/>
          <w:sz w:val="28"/>
          <w:szCs w:val="28"/>
          <w:highlight w:val="none"/>
          <w:lang w:val="en-US" w:eastAsia="zh-CN"/>
        </w:rPr>
        <w:t>全年208小时</w:t>
      </w:r>
      <w:r>
        <w:rPr>
          <w:rFonts w:hint="eastAsia" w:ascii="仿宋" w:hAnsi="仿宋" w:eastAsia="仿宋" w:cs="仿宋"/>
          <w:b w:val="0"/>
          <w:bCs/>
          <w:color w:val="auto"/>
          <w:sz w:val="28"/>
          <w:szCs w:val="28"/>
          <w:highlight w:val="none"/>
        </w:rPr>
        <w:t>学习制度，通过学习，全体队员自身素质和执法水平都有不同程度</w:t>
      </w:r>
      <w:r>
        <w:rPr>
          <w:rFonts w:hint="eastAsia" w:ascii="仿宋" w:hAnsi="仿宋" w:cs="仿宋"/>
          <w:b w:val="0"/>
          <w:bCs/>
          <w:color w:val="auto"/>
          <w:sz w:val="28"/>
          <w:szCs w:val="28"/>
          <w:highlight w:val="none"/>
          <w:lang w:eastAsia="zh-CN"/>
        </w:rPr>
        <w:t>地</w:t>
      </w:r>
      <w:r>
        <w:rPr>
          <w:rFonts w:hint="eastAsia" w:ascii="仿宋" w:hAnsi="仿宋" w:eastAsia="仿宋" w:cs="仿宋"/>
          <w:b w:val="0"/>
          <w:bCs/>
          <w:color w:val="auto"/>
          <w:sz w:val="28"/>
          <w:szCs w:val="28"/>
          <w:highlight w:val="none"/>
        </w:rPr>
        <w:t>提高。</w:t>
      </w:r>
      <w:r>
        <w:rPr>
          <w:rFonts w:hint="eastAsia"/>
          <w:color w:val="auto"/>
          <w:highlight w:val="none"/>
          <w:lang w:val="en-US" w:eastAsia="zh-CN"/>
        </w:rPr>
        <w:t>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四）清理整治店外经营户</w:t>
      </w:r>
      <w:r>
        <w:rPr>
          <w:rFonts w:hint="eastAsia"/>
          <w:color w:val="auto"/>
          <w:highlight w:val="none"/>
        </w:rPr>
        <w:t>指标完成情况分析</w:t>
      </w:r>
    </w:p>
    <w:p>
      <w:pPr>
        <w:spacing w:line="360" w:lineRule="auto"/>
        <w:ind w:firstLine="560"/>
        <w:rPr>
          <w:rFonts w:hint="eastAsia"/>
          <w:color w:val="auto"/>
          <w:highlight w:val="none"/>
          <w:lang w:val="en-US" w:eastAsia="zh-CN"/>
        </w:rPr>
      </w:pPr>
      <w:r>
        <w:rPr>
          <w:rFonts w:hint="eastAsia"/>
          <w:color w:val="auto"/>
          <w:highlight w:val="none"/>
          <w:lang w:val="en-US" w:eastAsia="zh-CN"/>
        </w:rPr>
        <w:t>清理整治店外经营户指标年初设定目标是&gt;=200次，年中绩效运行监控时完成值100次，年终实际完成值是200次，指标完成率是100%，达到</w:t>
      </w:r>
      <w:r>
        <w:rPr>
          <w:rFonts w:hint="default"/>
          <w:color w:val="auto"/>
          <w:highlight w:val="none"/>
          <w:lang w:val="en-US" w:eastAsia="zh-CN"/>
        </w:rPr>
        <w:t>共清理规范店外经营、店外堆放200余次</w:t>
      </w:r>
      <w:r>
        <w:rPr>
          <w:rFonts w:hint="eastAsia"/>
          <w:color w:val="auto"/>
          <w:highlight w:val="none"/>
          <w:lang w:val="en-US" w:eastAsia="zh-CN"/>
        </w:rPr>
        <w:t>样的预期目标，进一步规范清理整治店外经营、占道经营等城市管理乱象。偏差原因：无偏差。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五）配合公安交警大队开展联合执法行动</w:t>
      </w:r>
      <w:r>
        <w:rPr>
          <w:rFonts w:hint="eastAsia"/>
          <w:color w:val="auto"/>
          <w:highlight w:val="none"/>
        </w:rPr>
        <w:t>指标完成情况分析</w:t>
      </w:r>
    </w:p>
    <w:p>
      <w:pPr>
        <w:spacing w:line="360" w:lineRule="auto"/>
        <w:ind w:firstLine="560"/>
        <w:rPr>
          <w:rFonts w:hint="eastAsia"/>
          <w:color w:val="auto"/>
          <w:highlight w:val="none"/>
          <w:lang w:val="en-US" w:eastAsia="zh-CN"/>
        </w:rPr>
      </w:pPr>
      <w:r>
        <w:rPr>
          <w:rFonts w:hint="eastAsia"/>
          <w:color w:val="auto"/>
          <w:highlight w:val="none"/>
          <w:lang w:val="en-US" w:eastAsia="zh-CN"/>
        </w:rPr>
        <w:t>配合公安交警大队开展联合执法行动指标年初设定目标是&gt;=10次，年中绩效运行监控时完成值5次，年终实际完成值是10次，指标完成率是100%，达到配</w:t>
      </w:r>
      <w:r>
        <w:rPr>
          <w:rFonts w:hint="default"/>
          <w:color w:val="auto"/>
          <w:highlight w:val="none"/>
          <w:lang w:val="en-US" w:eastAsia="zh-CN"/>
        </w:rPr>
        <w:t>合公安交通警察大队开展联合执法行动，规范公共停车场秩序，提高了城市管理水平</w:t>
      </w:r>
      <w:r>
        <w:rPr>
          <w:rFonts w:hint="eastAsia"/>
          <w:color w:val="auto"/>
          <w:highlight w:val="none"/>
          <w:lang w:val="en-US" w:eastAsia="zh-CN"/>
        </w:rPr>
        <w:t>。偏差原因：无偏差。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六）认真开展好城市管理综合执法体制改革工作，确保高质量、高标准落实</w:t>
      </w:r>
      <w:r>
        <w:rPr>
          <w:rFonts w:hint="eastAsia"/>
          <w:color w:val="auto"/>
          <w:highlight w:val="none"/>
        </w:rPr>
        <w:t>指标完成情况分析</w:t>
      </w:r>
    </w:p>
    <w:p>
      <w:pPr>
        <w:spacing w:line="360" w:lineRule="auto"/>
        <w:ind w:firstLine="560"/>
        <w:rPr>
          <w:rFonts w:hint="eastAsia"/>
          <w:color w:val="auto"/>
          <w:highlight w:val="none"/>
          <w:lang w:val="en-US" w:eastAsia="zh-CN"/>
        </w:rPr>
      </w:pPr>
      <w:r>
        <w:rPr>
          <w:rFonts w:hint="eastAsia"/>
          <w:color w:val="auto"/>
          <w:highlight w:val="none"/>
          <w:lang w:val="en-US" w:eastAsia="zh-CN"/>
        </w:rPr>
        <w:t>认真开展好城市管理综合执法体制改革工作，确保高质量、高标准落实指标年初设定目标是&gt;=95%，年中绩效运行监控时完成值48%，年终实际完成值是95%，指标完成率是100%，达到加强队伍建设。按照上级的安排和部署认真落实好城市管理综合执法体制改革中的各项工作，强化对《城市管理执法办法》的学习理解与落实，提高执法人员的自身素质和执法水平的预期目标。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七）乱倒建筑垃圾的查处力度实现违法行为零增长的目标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乱倒建筑垃圾的查处力度实现违法行为零增长的目标指标年初设定目标是&lt;=0.03%，年中绩效运行监控时完成值0.03%，年终实际完成值是0%，指标完成率是100%，达到继续实行错时工作制，加强城市管理。在平时的市容管理工作中，积极采取干部带班、路段承包、网格巡逻防控、全面落实市容长效管理措施，打破8小时工作制，错时错休，实施全时段监管。严查大车超载、违规进城及垃圾乱倒的乱象，继续通过专人值守的办法，对城区重点路段，繁华街区全时段管控，提高城市管理标准的预期目标。偏差原因：无偏差。</w:t>
      </w:r>
      <w:r>
        <w:rPr>
          <w:rFonts w:hint="eastAsia"/>
          <w:color w:val="auto"/>
          <w:highlight w:val="none"/>
          <w:lang w:val="en-US" w:eastAsia="zh-CN"/>
        </w:rPr>
        <w:tab/>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八）群众对市容市貌满意度指标</w:t>
      </w:r>
      <w:r>
        <w:rPr>
          <w:rFonts w:hint="eastAsia"/>
          <w:color w:val="auto"/>
          <w:highlight w:val="none"/>
        </w:rPr>
        <w:t>完成情况分析</w:t>
      </w:r>
    </w:p>
    <w:p>
      <w:pPr>
        <w:spacing w:line="360" w:lineRule="auto"/>
        <w:ind w:firstLine="560"/>
        <w:rPr>
          <w:rFonts w:hint="eastAsia"/>
          <w:color w:val="auto"/>
          <w:highlight w:val="none"/>
          <w:lang w:val="en-US" w:eastAsia="zh-CN"/>
        </w:rPr>
      </w:pPr>
      <w:r>
        <w:rPr>
          <w:rFonts w:hint="eastAsia"/>
          <w:color w:val="auto"/>
          <w:highlight w:val="none"/>
          <w:lang w:val="en-US" w:eastAsia="zh-CN"/>
        </w:rPr>
        <w:t>群众对市容市貌满意度指标年初设定目标是&gt;=98%，年中绩效运行监控时完成值98%，年终实际完成值是98%，指标完成率是100%，达到持续发力，加强对违法行为的巡查管控，及时查处乱倒建筑垃圾、损坏园林绿化、城市道路附属设施等行为，改善城市环境质量，维护社会公共利益，保障城市经济建设和社会事业的健康发展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仿宋" w:hAnsi="仿宋" w:eastAsia="仿宋" w:cs="仿宋"/>
          <w:color w:val="auto"/>
          <w:highlight w:val="none"/>
          <w:lang w:eastAsia="zh-CN"/>
        </w:rPr>
        <w:t>我单位</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年部门履职效果良好，</w:t>
      </w:r>
      <w:r>
        <w:rPr>
          <w:rFonts w:hint="eastAsia" w:ascii="仿宋" w:hAnsi="仿宋" w:eastAsia="仿宋" w:cs="仿宋"/>
          <w:color w:val="auto"/>
          <w:highlight w:val="none"/>
          <w:lang w:val="en-US" w:eastAsia="zh-CN"/>
        </w:rPr>
        <w:t>主要体现在：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highlight w:val="none"/>
          <w:lang w:val="en-US" w:eastAsia="zh-CN"/>
        </w:rPr>
      </w:pPr>
      <w:r>
        <w:rPr>
          <w:rFonts w:hint="eastAsia" w:ascii="仿宋" w:hAnsi="仿宋" w:eastAsia="仿宋" w:cs="仿宋"/>
          <w:color w:val="auto"/>
          <w:sz w:val="28"/>
          <w:szCs w:val="28"/>
          <w:highlight w:val="none"/>
          <w:lang w:val="en-US" w:eastAsia="zh-CN"/>
        </w:rPr>
        <w:t>针对</w:t>
      </w:r>
      <w:r>
        <w:rPr>
          <w:rFonts w:hint="eastAsia" w:ascii="仿宋" w:hAnsi="仿宋" w:eastAsia="仿宋" w:cs="仿宋"/>
          <w:color w:val="auto"/>
          <w:sz w:val="28"/>
          <w:szCs w:val="28"/>
          <w:highlight w:val="none"/>
        </w:rPr>
        <w:t>城市管理“老大难”问题</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城市基础设施不够健全，流动摊贩缺乏相应经营场所，</w:t>
      </w:r>
      <w:r>
        <w:rPr>
          <w:rFonts w:hint="eastAsia" w:ascii="仿宋" w:hAnsi="仿宋" w:cs="仿宋"/>
          <w:color w:val="auto"/>
          <w:sz w:val="28"/>
          <w:szCs w:val="28"/>
          <w:highlight w:val="none"/>
          <w:lang w:val="en-US" w:eastAsia="zh-CN"/>
        </w:rPr>
        <w:t>我执法局制定</w:t>
      </w:r>
      <w:r>
        <w:rPr>
          <w:rFonts w:hint="eastAsia" w:ascii="仿宋" w:hAnsi="仿宋" w:eastAsia="仿宋" w:cs="仿宋"/>
          <w:color w:val="auto"/>
          <w:sz w:val="28"/>
          <w:szCs w:val="28"/>
          <w:highlight w:val="none"/>
        </w:rPr>
        <w:t>管理</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长效机制有效管用的办法。</w:t>
      </w:r>
      <w:r>
        <w:rPr>
          <w:rFonts w:hint="eastAsia" w:ascii="仿宋" w:hAnsi="仿宋" w:cs="仿宋"/>
          <w:color w:val="auto"/>
          <w:sz w:val="28"/>
          <w:szCs w:val="28"/>
          <w:highlight w:val="none"/>
          <w:lang w:val="en-US" w:eastAsia="zh-CN"/>
        </w:rPr>
        <w:t>加大宣传力度，有效地解决了部分</w:t>
      </w:r>
      <w:r>
        <w:rPr>
          <w:rFonts w:hint="eastAsia" w:ascii="仿宋" w:hAnsi="仿宋" w:eastAsia="仿宋" w:cs="仿宋"/>
          <w:color w:val="auto"/>
          <w:sz w:val="28"/>
          <w:szCs w:val="28"/>
          <w:highlight w:val="none"/>
        </w:rPr>
        <w:t>商铺经营户法律观念淡薄，不遵守城市管理的相关制度规定，店外经营占道经营，随意摆摊设点等“老大难”问题</w:t>
      </w:r>
      <w:r>
        <w:rPr>
          <w:rFonts w:hint="eastAsia" w:ascii="仿宋" w:hAnsi="仿宋" w:cs="仿宋"/>
          <w:color w:val="auto"/>
          <w:sz w:val="28"/>
          <w:szCs w:val="28"/>
          <w:highlight w:val="none"/>
          <w:lang w:val="en-US" w:eastAsia="zh-CN"/>
        </w:rPr>
        <w:t>的</w:t>
      </w:r>
      <w:r>
        <w:rPr>
          <w:rFonts w:hint="eastAsia" w:ascii="仿宋" w:hAnsi="仿宋" w:eastAsia="仿宋" w:cs="仿宋"/>
          <w:color w:val="auto"/>
          <w:sz w:val="28"/>
          <w:szCs w:val="28"/>
          <w:highlight w:val="none"/>
        </w:rPr>
        <w:t>根治措施，大部分均采取突击式的整治，长效管理机制</w:t>
      </w:r>
      <w:r>
        <w:rPr>
          <w:rFonts w:hint="eastAsia" w:ascii="仿宋" w:hAnsi="仿宋" w:eastAsia="仿宋" w:cs="仿宋"/>
          <w:color w:val="auto"/>
          <w:sz w:val="28"/>
          <w:szCs w:val="28"/>
          <w:highlight w:val="none"/>
          <w:lang w:eastAsia="zh-CN"/>
        </w:rPr>
        <w:t>。</w:t>
      </w:r>
      <w:bookmarkStart w:id="3" w:name="_Toc22800_WPSOffice_Level1"/>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bidi w:val="0"/>
        <w:rPr>
          <w:rFonts w:hint="eastAsia" w:ascii="仿宋" w:hAnsi="仿宋" w:eastAsia="仿宋" w:cs="仿宋"/>
          <w:color w:val="auto"/>
          <w:sz w:val="28"/>
          <w:szCs w:val="28"/>
          <w:highlight w:val="none"/>
          <w:lang w:val="en-US" w:eastAsia="zh-CN"/>
        </w:rPr>
      </w:pPr>
      <w:r>
        <w:rPr>
          <w:rFonts w:hint="eastAsia" w:ascii="仿宋" w:hAnsi="仿宋" w:cs="仿宋"/>
          <w:color w:val="auto"/>
          <w:sz w:val="28"/>
          <w:szCs w:val="28"/>
          <w:highlight w:val="none"/>
          <w:lang w:val="en-US" w:eastAsia="zh-CN"/>
        </w:rPr>
        <w:t>1、</w:t>
      </w:r>
      <w:r>
        <w:rPr>
          <w:rFonts w:hint="default" w:ascii="仿宋" w:hAnsi="仿宋" w:eastAsia="仿宋" w:cs="仿宋"/>
          <w:color w:val="auto"/>
          <w:sz w:val="28"/>
          <w:szCs w:val="28"/>
          <w:highlight w:val="none"/>
        </w:rPr>
        <w:t>城市管理“老大难”问题缺乏长效机制。由于城市基础设施不够健全，流动摊贩缺乏相应经营场所，致使管理缺乏有效管用的办法。部分商铺经营户法律观念淡薄，不遵守城市管理的相关制度规定，店外经营占道经营，随意摆摊设点等“老大难”问题缺乏根治措施，大部分均采取突击式的整治，长效管理机制尚不健全</w:t>
      </w:r>
      <w:r>
        <w:rPr>
          <w:rFonts w:hint="eastAsia" w:ascii="仿宋" w:hAnsi="仿宋" w:eastAsia="仿宋" w:cs="仿宋"/>
          <w:color w:val="auto"/>
          <w:sz w:val="28"/>
          <w:szCs w:val="28"/>
          <w:highlight w:val="none"/>
          <w:lang w:val="en-US" w:eastAsia="zh-CN"/>
        </w:rPr>
        <w:t>。</w:t>
      </w:r>
    </w:p>
    <w:p>
      <w:pPr>
        <w:bidi w:val="0"/>
        <w:rPr>
          <w:rFonts w:hint="eastAsia" w:ascii="仿宋" w:hAnsi="仿宋" w:cs="仿宋"/>
          <w:color w:val="auto"/>
          <w:sz w:val="28"/>
          <w:szCs w:val="28"/>
          <w:highlight w:val="none"/>
          <w:lang w:val="en-US" w:eastAsia="zh-CN"/>
        </w:rPr>
      </w:pPr>
      <w:r>
        <w:rPr>
          <w:rFonts w:hint="eastAsia" w:ascii="仿宋" w:hAnsi="仿宋" w:cs="仿宋"/>
          <w:color w:val="auto"/>
          <w:sz w:val="28"/>
          <w:szCs w:val="28"/>
          <w:highlight w:val="none"/>
          <w:lang w:val="en-US" w:eastAsia="zh-CN"/>
        </w:rPr>
        <w:t>2、执法力量不足。公益性岗位人员比重多，工资待遇低、致使人员流动性大，重点岗位人才培养难度大，人才难保留，影响执法质量。由于公益性岗位工作人员不具备执法资格，执法保障难度大。</w:t>
      </w:r>
    </w:p>
    <w:p>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pPr>
        <w:bidi w:val="0"/>
        <w:rPr>
          <w:rFonts w:hint="default" w:ascii="仿宋" w:hAnsi="仿宋" w:eastAsia="仿宋" w:cs="仿宋"/>
          <w:color w:val="auto"/>
          <w:sz w:val="28"/>
          <w:szCs w:val="28"/>
          <w:highlight w:val="none"/>
        </w:rPr>
      </w:pPr>
      <w:r>
        <w:rPr>
          <w:rFonts w:hint="eastAsia" w:ascii="仿宋" w:hAnsi="仿宋" w:cs="仿宋"/>
          <w:color w:val="auto"/>
          <w:sz w:val="28"/>
          <w:szCs w:val="28"/>
          <w:highlight w:val="none"/>
          <w:lang w:val="en-US" w:eastAsia="zh-CN"/>
        </w:rPr>
        <w:t>1、</w:t>
      </w:r>
      <w:r>
        <w:rPr>
          <w:rFonts w:hint="default" w:ascii="仿宋" w:hAnsi="仿宋" w:eastAsia="仿宋" w:cs="仿宋"/>
          <w:color w:val="auto"/>
          <w:sz w:val="28"/>
          <w:szCs w:val="28"/>
          <w:highlight w:val="none"/>
        </w:rPr>
        <w:t>加强队伍建设。按照上级的安排和部署认真落实好城市管理综合执法体制改革中的各项工作，强化对《城市管理执法办法》的学习理解与落实，提高执法人员的自身素质和执法水平。</w:t>
      </w:r>
    </w:p>
    <w:p>
      <w:pPr>
        <w:bidi w:val="0"/>
        <w:rPr>
          <w:rFonts w:hint="default" w:ascii="仿宋" w:hAnsi="仿宋" w:cs="仿宋"/>
          <w:color w:val="auto"/>
          <w:sz w:val="28"/>
          <w:szCs w:val="28"/>
          <w:highlight w:val="none"/>
          <w:lang w:val="en-US" w:eastAsia="zh-CN"/>
        </w:rPr>
      </w:pPr>
      <w:r>
        <w:rPr>
          <w:rFonts w:hint="eastAsia" w:ascii="仿宋" w:hAnsi="仿宋" w:cs="仿宋"/>
          <w:color w:val="auto"/>
          <w:sz w:val="28"/>
          <w:szCs w:val="28"/>
          <w:highlight w:val="none"/>
          <w:lang w:val="en-US" w:eastAsia="zh-CN"/>
        </w:rPr>
        <w:t>2、</w:t>
      </w:r>
      <w:r>
        <w:rPr>
          <w:rFonts w:hint="default" w:ascii="仿宋" w:hAnsi="仿宋" w:cs="仿宋"/>
          <w:color w:val="auto"/>
          <w:sz w:val="28"/>
          <w:szCs w:val="28"/>
          <w:highlight w:val="none"/>
          <w:lang w:val="en-US" w:eastAsia="zh-CN"/>
        </w:rPr>
        <w:t>继续严控违法违规行为。持续发力，加强对违法行为的巡查管控，及时查处乱倒建筑垃圾、损坏园林绿化、城市道路附属设施等行为，改善城市环境质量，维护社会公共利益，保障城市经济建设和社会事业的健康发展。</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5" w:name="_GoBack"/>
      <w:bookmarkEnd w:id="5"/>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1280E"/>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30992"/>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4302F0"/>
    <w:rsid w:val="01941124"/>
    <w:rsid w:val="01CC583F"/>
    <w:rsid w:val="0229419A"/>
    <w:rsid w:val="02337D11"/>
    <w:rsid w:val="02C40969"/>
    <w:rsid w:val="03501D8E"/>
    <w:rsid w:val="04DB4953"/>
    <w:rsid w:val="04FF0482"/>
    <w:rsid w:val="05062887"/>
    <w:rsid w:val="05464D81"/>
    <w:rsid w:val="05F70F85"/>
    <w:rsid w:val="0607573C"/>
    <w:rsid w:val="06547701"/>
    <w:rsid w:val="072B19D6"/>
    <w:rsid w:val="072C72A2"/>
    <w:rsid w:val="084208C4"/>
    <w:rsid w:val="098A3C0A"/>
    <w:rsid w:val="09A24E4E"/>
    <w:rsid w:val="0A9A7091"/>
    <w:rsid w:val="0B310A89"/>
    <w:rsid w:val="0C6738B8"/>
    <w:rsid w:val="0E7D784C"/>
    <w:rsid w:val="10300946"/>
    <w:rsid w:val="10476879"/>
    <w:rsid w:val="10DA2B37"/>
    <w:rsid w:val="10FE60D7"/>
    <w:rsid w:val="10FF6441"/>
    <w:rsid w:val="11D00096"/>
    <w:rsid w:val="127B228D"/>
    <w:rsid w:val="134F7771"/>
    <w:rsid w:val="13E513B9"/>
    <w:rsid w:val="14F232BD"/>
    <w:rsid w:val="152405A0"/>
    <w:rsid w:val="158C5316"/>
    <w:rsid w:val="15B904C0"/>
    <w:rsid w:val="165C118C"/>
    <w:rsid w:val="172D035F"/>
    <w:rsid w:val="175D58E3"/>
    <w:rsid w:val="18061B60"/>
    <w:rsid w:val="18D4103F"/>
    <w:rsid w:val="190C3DF8"/>
    <w:rsid w:val="19AA4D08"/>
    <w:rsid w:val="19F83E30"/>
    <w:rsid w:val="1A1746A2"/>
    <w:rsid w:val="1B403139"/>
    <w:rsid w:val="1B9F4079"/>
    <w:rsid w:val="1BE10870"/>
    <w:rsid w:val="1C6D319F"/>
    <w:rsid w:val="1D384A93"/>
    <w:rsid w:val="1D446EFE"/>
    <w:rsid w:val="1D4D74D6"/>
    <w:rsid w:val="1DA33E96"/>
    <w:rsid w:val="1DE32CFD"/>
    <w:rsid w:val="1F1A602A"/>
    <w:rsid w:val="1F2854B6"/>
    <w:rsid w:val="20D32BFE"/>
    <w:rsid w:val="217D20CE"/>
    <w:rsid w:val="21C67E02"/>
    <w:rsid w:val="21C768CD"/>
    <w:rsid w:val="22E14253"/>
    <w:rsid w:val="22F4427D"/>
    <w:rsid w:val="23615B18"/>
    <w:rsid w:val="23931BB2"/>
    <w:rsid w:val="23F209A3"/>
    <w:rsid w:val="2403516E"/>
    <w:rsid w:val="256A2A9E"/>
    <w:rsid w:val="27A13031"/>
    <w:rsid w:val="27F7226E"/>
    <w:rsid w:val="2805537E"/>
    <w:rsid w:val="289437EE"/>
    <w:rsid w:val="28A30C45"/>
    <w:rsid w:val="297873DB"/>
    <w:rsid w:val="29C42F3A"/>
    <w:rsid w:val="29F35E61"/>
    <w:rsid w:val="2A285817"/>
    <w:rsid w:val="2B6F150A"/>
    <w:rsid w:val="2BB557CB"/>
    <w:rsid w:val="2BC51751"/>
    <w:rsid w:val="2D166684"/>
    <w:rsid w:val="2EB8672C"/>
    <w:rsid w:val="2EBF757D"/>
    <w:rsid w:val="3033032A"/>
    <w:rsid w:val="313A1C72"/>
    <w:rsid w:val="31927D00"/>
    <w:rsid w:val="31AE39CE"/>
    <w:rsid w:val="31B83F5F"/>
    <w:rsid w:val="328E2AB6"/>
    <w:rsid w:val="329B12EA"/>
    <w:rsid w:val="32FB1A54"/>
    <w:rsid w:val="33291F9F"/>
    <w:rsid w:val="33A83F87"/>
    <w:rsid w:val="340D2D0F"/>
    <w:rsid w:val="348F1A9E"/>
    <w:rsid w:val="34E84838"/>
    <w:rsid w:val="355C2B3F"/>
    <w:rsid w:val="356B4AF0"/>
    <w:rsid w:val="35F12468"/>
    <w:rsid w:val="363F0B6D"/>
    <w:rsid w:val="36851B5C"/>
    <w:rsid w:val="37661A13"/>
    <w:rsid w:val="37834595"/>
    <w:rsid w:val="379871D0"/>
    <w:rsid w:val="37BA58BB"/>
    <w:rsid w:val="37D360CA"/>
    <w:rsid w:val="38CB5066"/>
    <w:rsid w:val="38E054C9"/>
    <w:rsid w:val="3A565DE9"/>
    <w:rsid w:val="3AC36A27"/>
    <w:rsid w:val="3BF046BE"/>
    <w:rsid w:val="3CA3437B"/>
    <w:rsid w:val="3CA5570B"/>
    <w:rsid w:val="3CB6685A"/>
    <w:rsid w:val="3DE370D4"/>
    <w:rsid w:val="3DF24720"/>
    <w:rsid w:val="3E3B6441"/>
    <w:rsid w:val="3EEA01AF"/>
    <w:rsid w:val="3F301058"/>
    <w:rsid w:val="417A34F9"/>
    <w:rsid w:val="418810F4"/>
    <w:rsid w:val="41A013C1"/>
    <w:rsid w:val="41A37673"/>
    <w:rsid w:val="42503F5E"/>
    <w:rsid w:val="42667592"/>
    <w:rsid w:val="42C30950"/>
    <w:rsid w:val="43C72FB7"/>
    <w:rsid w:val="44C47689"/>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4E7E0834"/>
    <w:rsid w:val="4E943239"/>
    <w:rsid w:val="4F0455F5"/>
    <w:rsid w:val="4F337469"/>
    <w:rsid w:val="501B7C76"/>
    <w:rsid w:val="504D5CCF"/>
    <w:rsid w:val="511A2CA6"/>
    <w:rsid w:val="52F35B68"/>
    <w:rsid w:val="533A7469"/>
    <w:rsid w:val="53526129"/>
    <w:rsid w:val="538B4CD8"/>
    <w:rsid w:val="53A21BCD"/>
    <w:rsid w:val="54394F3D"/>
    <w:rsid w:val="565F61A9"/>
    <w:rsid w:val="56AD4B11"/>
    <w:rsid w:val="57232FC4"/>
    <w:rsid w:val="572D2326"/>
    <w:rsid w:val="57365691"/>
    <w:rsid w:val="59EE1E48"/>
    <w:rsid w:val="5A094193"/>
    <w:rsid w:val="5A490F5C"/>
    <w:rsid w:val="5A9C24BB"/>
    <w:rsid w:val="5B805E16"/>
    <w:rsid w:val="5BD21464"/>
    <w:rsid w:val="5BDE2B83"/>
    <w:rsid w:val="5C777282"/>
    <w:rsid w:val="5C9E7FE8"/>
    <w:rsid w:val="5CDB6FB4"/>
    <w:rsid w:val="5D2D3401"/>
    <w:rsid w:val="606F4FE4"/>
    <w:rsid w:val="61635F72"/>
    <w:rsid w:val="618606C5"/>
    <w:rsid w:val="6224402D"/>
    <w:rsid w:val="636F192B"/>
    <w:rsid w:val="6384067A"/>
    <w:rsid w:val="638D125E"/>
    <w:rsid w:val="6396333E"/>
    <w:rsid w:val="63E114D3"/>
    <w:rsid w:val="65D20B83"/>
    <w:rsid w:val="661E1A84"/>
    <w:rsid w:val="6AD46D46"/>
    <w:rsid w:val="6B07083C"/>
    <w:rsid w:val="6B623CC4"/>
    <w:rsid w:val="6B6C65E0"/>
    <w:rsid w:val="6C2B67AC"/>
    <w:rsid w:val="6D3B2A8E"/>
    <w:rsid w:val="6DE07909"/>
    <w:rsid w:val="6E58438A"/>
    <w:rsid w:val="6E7066F8"/>
    <w:rsid w:val="6E9D5508"/>
    <w:rsid w:val="6F871359"/>
    <w:rsid w:val="70664934"/>
    <w:rsid w:val="708C0692"/>
    <w:rsid w:val="711B7F18"/>
    <w:rsid w:val="71EB22B3"/>
    <w:rsid w:val="72010FA6"/>
    <w:rsid w:val="728D6225"/>
    <w:rsid w:val="72EA151F"/>
    <w:rsid w:val="733F48EB"/>
    <w:rsid w:val="74212849"/>
    <w:rsid w:val="744C1D4E"/>
    <w:rsid w:val="748A4F72"/>
    <w:rsid w:val="74961819"/>
    <w:rsid w:val="74AE2D51"/>
    <w:rsid w:val="750202C6"/>
    <w:rsid w:val="75664078"/>
    <w:rsid w:val="761E4132"/>
    <w:rsid w:val="77E7201F"/>
    <w:rsid w:val="78061A79"/>
    <w:rsid w:val="78BD2410"/>
    <w:rsid w:val="79181486"/>
    <w:rsid w:val="7AFE508C"/>
    <w:rsid w:val="7B2561EC"/>
    <w:rsid w:val="7BC003CA"/>
    <w:rsid w:val="7C885B4F"/>
    <w:rsid w:val="7CBF4BB4"/>
    <w:rsid w:val="7DFD7D91"/>
    <w:rsid w:val="7E4E3392"/>
    <w:rsid w:val="7E53749D"/>
    <w:rsid w:val="7E5D346D"/>
    <w:rsid w:val="7E9D727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paragraph" w:styleId="16">
    <w:name w:val="Title"/>
    <w:basedOn w:val="1"/>
    <w:next w:val="1"/>
    <w:qFormat/>
    <w:uiPriority w:val="0"/>
    <w:pPr>
      <w:widowControl w:val="0"/>
      <w:spacing w:line="240" w:lineRule="atLeast"/>
      <w:jc w:val="center"/>
      <w:textAlignment w:val="baseline"/>
    </w:pPr>
    <w:rPr>
      <w:rFonts w:ascii="Arial" w:hAnsi="Arial" w:eastAsia="黑体" w:cs="Times New Roman"/>
      <w:kern w:val="2"/>
      <w:sz w:val="52"/>
      <w:szCs w:val="22"/>
      <w:lang w:val="en-US" w:eastAsia="zh-CN" w:bidi="ar-SA"/>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2</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2024-08-11T07:19:15Z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