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line="480" w:lineRule="auto"/>
        <w:ind w:firstLine="0" w:firstLineChars="0"/>
        <w:jc w:val="center"/>
        <w:rPr>
          <w:rFonts w:ascii="黑体" w:hAnsi="黑体" w:eastAsia="黑体" w:cs="黑体"/>
          <w:color w:val="auto"/>
          <w:sz w:val="44"/>
          <w:szCs w:val="44"/>
          <w:highlight w:val="none"/>
        </w:rPr>
      </w:pPr>
      <w:bookmarkStart w:id="0" w:name="_Toc23945_WPSOffice_Level1"/>
      <w:r>
        <w:rPr>
          <w:rFonts w:hint="eastAsia" w:ascii="黑体" w:hAnsi="黑体" w:eastAsia="黑体" w:cs="黑体"/>
          <w:color w:val="auto"/>
          <w:sz w:val="44"/>
          <w:szCs w:val="44"/>
          <w:highlight w:val="none"/>
          <w:lang w:val="en-US" w:eastAsia="zh-CN"/>
        </w:rPr>
        <w:t xml:space="preserve"> </w:t>
      </w:r>
      <w:r>
        <w:rPr>
          <w:rFonts w:hint="eastAsia" w:ascii="黑体" w:hAnsi="黑体" w:eastAsia="黑体" w:cs="黑体"/>
          <w:color w:val="auto"/>
          <w:sz w:val="44"/>
          <w:szCs w:val="44"/>
          <w:highlight w:val="none"/>
        </w:rPr>
        <w:t>部门单位整体支出绩效自评报告</w:t>
      </w:r>
    </w:p>
    <w:p>
      <w:pPr>
        <w:pStyle w:val="3"/>
        <w:rPr>
          <w:color w:val="auto"/>
          <w:highlight w:val="none"/>
        </w:rPr>
      </w:pPr>
      <w:r>
        <w:rPr>
          <w:rFonts w:hint="eastAsia"/>
          <w:color w:val="auto"/>
          <w:highlight w:val="none"/>
        </w:rPr>
        <w:t>一、基本概况</w:t>
      </w:r>
      <w:bookmarkEnd w:id="0"/>
    </w:p>
    <w:p>
      <w:pPr>
        <w:pStyle w:val="4"/>
        <w:spacing w:before="156"/>
        <w:ind w:firstLine="643"/>
        <w:rPr>
          <w:color w:val="auto"/>
          <w:highlight w:val="none"/>
        </w:rPr>
      </w:pPr>
      <w:r>
        <w:rPr>
          <w:rFonts w:hint="eastAsia"/>
          <w:color w:val="auto"/>
          <w:highlight w:val="none"/>
        </w:rPr>
        <w:t>（一）部门单位基本情况</w:t>
      </w:r>
    </w:p>
    <w:p>
      <w:pPr>
        <w:pStyle w:val="5"/>
        <w:ind w:firstLine="602"/>
        <w:rPr>
          <w:color w:val="auto"/>
          <w:highlight w:val="none"/>
        </w:rPr>
      </w:pPr>
      <w:r>
        <w:rPr>
          <w:rFonts w:hint="eastAsia"/>
          <w:color w:val="auto"/>
          <w:highlight w:val="none"/>
        </w:rPr>
        <w:t>1.部门主要职能</w:t>
      </w:r>
    </w:p>
    <w:p>
      <w:pPr>
        <w:ind w:firstLine="560"/>
        <w:rPr>
          <w:rFonts w:hint="eastAsia"/>
          <w:color w:val="auto"/>
          <w:highlight w:val="none"/>
        </w:rPr>
      </w:pPr>
      <w:r>
        <w:rPr>
          <w:rFonts w:hint="eastAsia"/>
          <w:color w:val="auto"/>
          <w:highlight w:val="none"/>
        </w:rPr>
        <w:t>（1）执行本级人民代表大会的决议和上级国家行政机关的决定和命令，发布决定和命令。</w:t>
      </w:r>
    </w:p>
    <w:p>
      <w:pPr>
        <w:ind w:firstLine="560"/>
        <w:rPr>
          <w:rFonts w:hint="eastAsia"/>
          <w:color w:val="auto"/>
          <w:highlight w:val="none"/>
        </w:rPr>
      </w:pPr>
      <w:r>
        <w:rPr>
          <w:rFonts w:hint="eastAsia"/>
          <w:color w:val="auto"/>
          <w:highlight w:val="none"/>
        </w:rPr>
        <w:t>（2）执行本行政区域内的经济和社会发展计划、预算，管理本行政区域内的经济、教育、科学、文化、卫生、体育事业、财政、民政、司法行政、计划生育等行政工作；</w:t>
      </w:r>
    </w:p>
    <w:p>
      <w:pPr>
        <w:ind w:firstLine="560"/>
        <w:rPr>
          <w:rFonts w:hint="eastAsia"/>
          <w:color w:val="auto"/>
          <w:highlight w:val="none"/>
        </w:rPr>
      </w:pPr>
      <w:r>
        <w:rPr>
          <w:rFonts w:hint="eastAsia"/>
          <w:color w:val="auto"/>
          <w:highlight w:val="none"/>
        </w:rPr>
        <w:t>（3）保护社会主义的全民所有的财产和劳动群众集体所有的财产，保护公民私人所有的合法财产，维护社会秩序，保障公民的人身权利、民主权利和其他权利；</w:t>
      </w:r>
    </w:p>
    <w:p>
      <w:pPr>
        <w:ind w:firstLine="560"/>
        <w:rPr>
          <w:rFonts w:hint="eastAsia"/>
          <w:color w:val="auto"/>
          <w:highlight w:val="none"/>
        </w:rPr>
      </w:pPr>
      <w:r>
        <w:rPr>
          <w:rFonts w:hint="eastAsia"/>
          <w:color w:val="auto"/>
          <w:highlight w:val="none"/>
        </w:rPr>
        <w:t>（4）保护各种经济组织的合法权益；</w:t>
      </w:r>
    </w:p>
    <w:p>
      <w:pPr>
        <w:ind w:firstLine="560"/>
        <w:rPr>
          <w:rFonts w:hint="eastAsia"/>
          <w:color w:val="auto"/>
          <w:highlight w:val="none"/>
        </w:rPr>
      </w:pPr>
      <w:r>
        <w:rPr>
          <w:rFonts w:hint="eastAsia"/>
          <w:color w:val="auto"/>
          <w:highlight w:val="none"/>
        </w:rPr>
        <w:t>（5）保障少数民族的权利和尊重少数民族的风俗习惯；</w:t>
      </w:r>
    </w:p>
    <w:p>
      <w:pPr>
        <w:ind w:firstLine="560"/>
        <w:rPr>
          <w:rFonts w:hint="eastAsia"/>
          <w:color w:val="auto"/>
          <w:highlight w:val="none"/>
        </w:rPr>
      </w:pPr>
      <w:r>
        <w:rPr>
          <w:rFonts w:hint="eastAsia"/>
          <w:color w:val="auto"/>
          <w:highlight w:val="none"/>
        </w:rPr>
        <w:t>（6）保障宪法和法律赋予妇女的男女平等、同工同酬和婚姻自由等各项权利；</w:t>
      </w:r>
    </w:p>
    <w:p>
      <w:pPr>
        <w:ind w:firstLine="560"/>
        <w:rPr>
          <w:rFonts w:hint="eastAsia" w:eastAsia="仿宋"/>
          <w:color w:val="auto"/>
          <w:highlight w:val="none"/>
          <w:lang w:val="en-US" w:eastAsia="zh-CN"/>
        </w:rPr>
      </w:pPr>
      <w:r>
        <w:rPr>
          <w:rFonts w:hint="eastAsia"/>
          <w:color w:val="auto"/>
          <w:highlight w:val="none"/>
        </w:rPr>
        <w:t>（7）办理上级人民政府交办的其他事项</w:t>
      </w:r>
      <w:r>
        <w:rPr>
          <w:rFonts w:hint="eastAsia"/>
          <w:color w:val="auto"/>
          <w:highlight w:val="none"/>
          <w:lang w:eastAsia="zh-CN"/>
        </w:rPr>
        <w:t>。</w:t>
      </w:r>
    </w:p>
    <w:p>
      <w:pPr>
        <w:pStyle w:val="5"/>
        <w:ind w:firstLine="602"/>
        <w:rPr>
          <w:color w:val="auto"/>
          <w:highlight w:val="none"/>
        </w:rPr>
      </w:pPr>
      <w:r>
        <w:rPr>
          <w:rFonts w:hint="eastAsia"/>
          <w:color w:val="auto"/>
          <w:highlight w:val="none"/>
        </w:rPr>
        <w:t>2.部门机构设置及人员构成</w:t>
      </w:r>
    </w:p>
    <w:p>
      <w:pPr>
        <w:ind w:firstLine="640"/>
        <w:rPr>
          <w:rFonts w:ascii="仿宋_GB2312" w:eastAsia="仿宋_GB2312"/>
          <w:color w:val="auto"/>
          <w:sz w:val="32"/>
          <w:szCs w:val="32"/>
          <w:highlight w:val="none"/>
        </w:rPr>
      </w:pPr>
      <w:r>
        <w:rPr>
          <w:rFonts w:hint="eastAsia"/>
          <w:color w:val="auto"/>
          <w:highlight w:val="none"/>
        </w:rPr>
        <w:t>和静县</w:t>
      </w:r>
      <w:r>
        <w:rPr>
          <w:rFonts w:hint="eastAsia"/>
          <w:color w:val="auto"/>
          <w:highlight w:val="none"/>
          <w:lang w:eastAsia="zh-CN"/>
        </w:rPr>
        <w:t>哈尔莫敦镇</w:t>
      </w:r>
      <w:r>
        <w:rPr>
          <w:rFonts w:hint="eastAsia"/>
          <w:color w:val="auto"/>
          <w:highlight w:val="none"/>
        </w:rPr>
        <w:t>人民政府</w:t>
      </w:r>
      <w:r>
        <w:rPr>
          <w:rFonts w:hint="eastAsia"/>
          <w:color w:val="auto"/>
          <w:highlight w:val="none"/>
          <w:lang w:val="en-US" w:eastAsia="zh-CN"/>
        </w:rPr>
        <w:t>单位机构设置：内设9</w:t>
      </w:r>
      <w:r>
        <w:rPr>
          <w:rFonts w:hint="eastAsia"/>
          <w:color w:val="auto"/>
          <w:highlight w:val="none"/>
        </w:rPr>
        <w:t>个科室，分别是：和静县</w:t>
      </w:r>
      <w:r>
        <w:rPr>
          <w:rFonts w:hint="eastAsia"/>
          <w:color w:val="auto"/>
          <w:highlight w:val="none"/>
          <w:lang w:eastAsia="zh-CN"/>
        </w:rPr>
        <w:t>哈尔莫敦镇</w:t>
      </w:r>
      <w:r>
        <w:rPr>
          <w:rFonts w:hint="eastAsia"/>
          <w:color w:val="auto"/>
          <w:highlight w:val="none"/>
        </w:rPr>
        <w:t>人民政府本级、党委、农牧业发展服务中心、文体广电服务中心、计划生育办公室、财政所、民政社会保障服务中心、社区事业服务中心、村镇规划建设发展中心。</w:t>
      </w:r>
    </w:p>
    <w:p>
      <w:pPr>
        <w:snapToGrid w:val="0"/>
        <w:spacing w:line="520" w:lineRule="exact"/>
        <w:ind w:firstLine="560" w:firstLineChars="200"/>
        <w:rPr>
          <w:rFonts w:hint="eastAsia"/>
          <w:color w:val="auto"/>
          <w:highlight w:val="none"/>
        </w:rPr>
      </w:pPr>
      <w:r>
        <w:rPr>
          <w:rFonts w:hint="eastAsia"/>
          <w:color w:val="auto"/>
          <w:highlight w:val="none"/>
        </w:rPr>
        <w:t>和静县</w:t>
      </w:r>
      <w:r>
        <w:rPr>
          <w:rFonts w:hint="eastAsia"/>
          <w:color w:val="auto"/>
          <w:highlight w:val="none"/>
          <w:lang w:eastAsia="zh-CN"/>
        </w:rPr>
        <w:t>哈尔莫敦镇</w:t>
      </w:r>
      <w:r>
        <w:rPr>
          <w:rFonts w:hint="eastAsia"/>
          <w:color w:val="auto"/>
          <w:highlight w:val="none"/>
        </w:rPr>
        <w:t>人民政府</w:t>
      </w:r>
      <w:r>
        <w:rPr>
          <w:rFonts w:hint="eastAsia"/>
          <w:color w:val="auto"/>
          <w:highlight w:val="none"/>
          <w:lang w:val="en-US" w:eastAsia="zh-CN"/>
        </w:rPr>
        <w:t>单位人员总数139名，其中：在职100名，退休39名，离休0名。实有人员139人。</w:t>
      </w:r>
    </w:p>
    <w:p>
      <w:pPr>
        <w:pStyle w:val="4"/>
        <w:spacing w:before="156"/>
        <w:ind w:firstLine="643"/>
        <w:rPr>
          <w:color w:val="auto"/>
          <w:highlight w:val="none"/>
        </w:rPr>
      </w:pPr>
      <w:r>
        <w:rPr>
          <w:rFonts w:hint="eastAsia"/>
          <w:color w:val="auto"/>
          <w:highlight w:val="none"/>
        </w:rPr>
        <w:t>（二）部门单位年度重点工作</w:t>
      </w:r>
    </w:p>
    <w:p>
      <w:pPr>
        <w:snapToGrid w:val="0"/>
        <w:spacing w:line="520" w:lineRule="exact"/>
        <w:ind w:firstLine="560" w:firstLineChars="200"/>
        <w:rPr>
          <w:rFonts w:hint="eastAsia"/>
          <w:color w:val="auto"/>
          <w:highlight w:val="none"/>
        </w:rPr>
      </w:pPr>
      <w:r>
        <w:rPr>
          <w:rFonts w:hint="eastAsia"/>
          <w:color w:val="auto"/>
          <w:highlight w:val="none"/>
          <w:lang w:eastAsia="zh-CN"/>
        </w:rPr>
        <w:t>2023年</w:t>
      </w:r>
      <w:r>
        <w:rPr>
          <w:rFonts w:hint="eastAsia"/>
          <w:color w:val="auto"/>
          <w:highlight w:val="none"/>
        </w:rPr>
        <w:t>以来</w:t>
      </w:r>
      <w:r>
        <w:rPr>
          <w:rFonts w:hint="eastAsia"/>
          <w:color w:val="auto"/>
          <w:highlight w:val="none"/>
          <w:lang w:val="zh-CN"/>
        </w:rPr>
        <w:t>各项工作</w:t>
      </w:r>
      <w:r>
        <w:rPr>
          <w:rFonts w:hint="eastAsia"/>
          <w:color w:val="auto"/>
          <w:highlight w:val="none"/>
        </w:rPr>
        <w:t>在县委、县人民政府的坚强领导下，在全县各部门单位的大力支持下，深入贯彻落实党的十九大精神，团结带领全镇各族干部群众，真抓实干，砥砺前行，圆满完成了全年各项工作任务，全镇上下呈现出社会安定、经济发展、事业进步的良好局面。现将</w:t>
      </w:r>
      <w:r>
        <w:rPr>
          <w:rFonts w:hint="eastAsia"/>
          <w:color w:val="auto"/>
          <w:highlight w:val="none"/>
          <w:lang w:eastAsia="zh-CN"/>
        </w:rPr>
        <w:t>2023年</w:t>
      </w:r>
      <w:r>
        <w:rPr>
          <w:rFonts w:hint="eastAsia"/>
          <w:color w:val="auto"/>
          <w:highlight w:val="none"/>
        </w:rPr>
        <w:t>工作总结如下：</w:t>
      </w:r>
    </w:p>
    <w:p>
      <w:pPr>
        <w:snapToGrid w:val="0"/>
        <w:spacing w:line="520" w:lineRule="exact"/>
        <w:ind w:firstLine="560" w:firstLineChars="200"/>
        <w:rPr>
          <w:rFonts w:hint="eastAsia"/>
          <w:color w:val="auto"/>
          <w:highlight w:val="none"/>
          <w:lang w:val="en-US" w:eastAsia="zh-CN"/>
        </w:rPr>
      </w:pPr>
      <w:r>
        <w:rPr>
          <w:rFonts w:hint="eastAsia"/>
          <w:color w:val="auto"/>
          <w:highlight w:val="none"/>
          <w:lang w:val="en-US" w:eastAsia="zh-CN"/>
        </w:rPr>
        <w:t>1.保障粮食安全，推动稳产保供。一是认真贯彻落实习近平总书记关于粮食安全重要指示批示精神和自治区、自治州、县委关于粮食安全各项决策部署，时刻紧绷粮食安全这根弦，狠抓粮食安全责任落实，严格落实粮食安全党政同责任制，县级与镇级、镇级与村级、村级与农户层层签订粮食安全责任书（承诺书）。截至目前，全镇农作物总播面积15</w:t>
      </w:r>
      <w:r>
        <w:rPr>
          <w:rFonts w:hint="default"/>
          <w:color w:val="auto"/>
          <w:highlight w:val="none"/>
          <w:lang w:val="en-US" w:eastAsia="zh-CN"/>
        </w:rPr>
        <w:t>.</w:t>
      </w:r>
      <w:r>
        <w:rPr>
          <w:rFonts w:hint="eastAsia"/>
          <w:color w:val="auto"/>
          <w:highlight w:val="none"/>
          <w:lang w:val="en-US" w:eastAsia="zh-CN"/>
        </w:rPr>
        <w:t>62648万亩，其中：粮食作物6.</w:t>
      </w:r>
      <w:r>
        <w:rPr>
          <w:rFonts w:hint="default"/>
          <w:color w:val="auto"/>
          <w:highlight w:val="none"/>
          <w:lang w:val="en-US" w:eastAsia="zh-CN"/>
        </w:rPr>
        <w:t>93938</w:t>
      </w:r>
      <w:r>
        <w:rPr>
          <w:rFonts w:hint="eastAsia"/>
          <w:color w:val="auto"/>
          <w:highlight w:val="none"/>
          <w:lang w:val="en-US" w:eastAsia="zh-CN"/>
        </w:rPr>
        <w:t>万亩（春小麦2.3</w:t>
      </w:r>
      <w:r>
        <w:rPr>
          <w:rFonts w:hint="default"/>
          <w:color w:val="auto"/>
          <w:highlight w:val="none"/>
          <w:lang w:val="en-US" w:eastAsia="zh-CN"/>
        </w:rPr>
        <w:t>9145</w:t>
      </w:r>
      <w:r>
        <w:rPr>
          <w:rFonts w:hint="eastAsia"/>
          <w:color w:val="auto"/>
          <w:highlight w:val="none"/>
          <w:lang w:val="en-US" w:eastAsia="zh-CN"/>
        </w:rPr>
        <w:t>万亩、冬小麦40.8亩，玉米4.</w:t>
      </w:r>
      <w:r>
        <w:rPr>
          <w:rFonts w:hint="default"/>
          <w:color w:val="auto"/>
          <w:highlight w:val="none"/>
          <w:lang w:val="en-US" w:eastAsia="zh-CN"/>
        </w:rPr>
        <w:t>50385</w:t>
      </w:r>
      <w:r>
        <w:rPr>
          <w:rFonts w:hint="eastAsia"/>
          <w:color w:val="auto"/>
          <w:highlight w:val="none"/>
          <w:lang w:val="en-US" w:eastAsia="zh-CN"/>
        </w:rPr>
        <w:t>万亩）；两红产业种植面积6.</w:t>
      </w:r>
      <w:r>
        <w:rPr>
          <w:rFonts w:hint="default"/>
          <w:color w:val="auto"/>
          <w:highlight w:val="none"/>
          <w:lang w:val="en-US" w:eastAsia="zh-CN"/>
        </w:rPr>
        <w:t>9167</w:t>
      </w:r>
      <w:r>
        <w:rPr>
          <w:rFonts w:hint="eastAsia"/>
          <w:color w:val="auto"/>
          <w:highlight w:val="none"/>
          <w:lang w:val="en-US" w:eastAsia="zh-CN"/>
        </w:rPr>
        <w:t>万亩（工业番茄0.</w:t>
      </w:r>
      <w:r>
        <w:rPr>
          <w:rFonts w:hint="default"/>
          <w:color w:val="auto"/>
          <w:highlight w:val="none"/>
          <w:lang w:val="en-US" w:eastAsia="zh-CN"/>
        </w:rPr>
        <w:t>2517</w:t>
      </w:r>
      <w:r>
        <w:rPr>
          <w:rFonts w:hint="eastAsia"/>
          <w:color w:val="auto"/>
          <w:highlight w:val="none"/>
          <w:lang w:val="en-US" w:eastAsia="zh-CN"/>
        </w:rPr>
        <w:t>万亩，辣椒6.</w:t>
      </w:r>
      <w:r>
        <w:rPr>
          <w:rFonts w:hint="default"/>
          <w:color w:val="auto"/>
          <w:highlight w:val="none"/>
          <w:lang w:val="en-US" w:eastAsia="zh-CN"/>
        </w:rPr>
        <w:t>665</w:t>
      </w:r>
      <w:r>
        <w:rPr>
          <w:rFonts w:hint="eastAsia"/>
          <w:color w:val="auto"/>
          <w:highlight w:val="none"/>
          <w:lang w:val="en-US" w:eastAsia="zh-CN"/>
        </w:rPr>
        <w:t>万亩）；其他作物1.</w:t>
      </w:r>
      <w:r>
        <w:rPr>
          <w:rFonts w:hint="default"/>
          <w:color w:val="auto"/>
          <w:highlight w:val="none"/>
          <w:lang w:val="en-US" w:eastAsia="zh-CN"/>
        </w:rPr>
        <w:t>50855</w:t>
      </w:r>
      <w:r>
        <w:rPr>
          <w:rFonts w:hint="eastAsia"/>
          <w:color w:val="auto"/>
          <w:highlight w:val="none"/>
          <w:lang w:val="en-US" w:eastAsia="zh-CN"/>
        </w:rPr>
        <w:t>万亩（甜叶菊0.</w:t>
      </w:r>
      <w:r>
        <w:rPr>
          <w:rFonts w:hint="default"/>
          <w:color w:val="auto"/>
          <w:highlight w:val="none"/>
          <w:lang w:val="en-US" w:eastAsia="zh-CN"/>
        </w:rPr>
        <w:t>4406</w:t>
      </w:r>
      <w:r>
        <w:rPr>
          <w:rFonts w:hint="eastAsia"/>
          <w:color w:val="auto"/>
          <w:highlight w:val="none"/>
          <w:lang w:val="en-US" w:eastAsia="zh-CN"/>
        </w:rPr>
        <w:t>万亩，青贮玉米</w:t>
      </w:r>
      <w:r>
        <w:rPr>
          <w:rFonts w:hint="default"/>
          <w:color w:val="auto"/>
          <w:highlight w:val="none"/>
          <w:lang w:val="en-US" w:eastAsia="zh-CN"/>
        </w:rPr>
        <w:t>0.03565</w:t>
      </w:r>
      <w:r>
        <w:rPr>
          <w:rFonts w:hint="eastAsia"/>
          <w:color w:val="auto"/>
          <w:highlight w:val="none"/>
          <w:lang w:val="en-US" w:eastAsia="zh-CN"/>
        </w:rPr>
        <w:t>亩，其余作物1.0323万亩）；实施高标准农田建设2448亩，推广耕地轮作面积达8546.98亩。</w:t>
      </w:r>
    </w:p>
    <w:p>
      <w:pPr>
        <w:snapToGrid w:val="0"/>
        <w:spacing w:line="520" w:lineRule="exact"/>
        <w:ind w:firstLine="560" w:firstLineChars="200"/>
        <w:rPr>
          <w:rFonts w:hint="eastAsia"/>
          <w:color w:val="auto"/>
          <w:highlight w:val="none"/>
          <w:lang w:val="en-US" w:eastAsia="zh-CN"/>
        </w:rPr>
      </w:pPr>
      <w:r>
        <w:rPr>
          <w:rFonts w:hint="eastAsia"/>
          <w:color w:val="auto"/>
          <w:highlight w:val="none"/>
          <w:lang w:val="en-US" w:eastAsia="zh-CN"/>
        </w:rPr>
        <w:t>2.严守“耕地红线”，落实“占补平衡”。严格落实耕地“占补平衡”，坚决遏制耕地“非农化”、基本农田“非粮化”。完成耕地地力保护与提升项目补贴工作，今年冬小麦发放补贴面积40.8亩，春小麦23014.9亩（已超额完成县级下达的小麦种植任务），籽粒玉米44360亩。</w:t>
      </w:r>
    </w:p>
    <w:p>
      <w:pPr>
        <w:snapToGrid w:val="0"/>
        <w:spacing w:line="520" w:lineRule="exact"/>
        <w:ind w:firstLine="560" w:firstLineChars="200"/>
        <w:rPr>
          <w:rFonts w:hint="eastAsia"/>
          <w:color w:val="auto"/>
          <w:highlight w:val="none"/>
          <w:lang w:val="en-US" w:eastAsia="zh-CN"/>
        </w:rPr>
      </w:pPr>
      <w:r>
        <w:rPr>
          <w:rFonts w:hint="eastAsia"/>
          <w:color w:val="auto"/>
          <w:highlight w:val="none"/>
          <w:lang w:val="en-US" w:eastAsia="zh-CN"/>
        </w:rPr>
        <w:t>3.加强污染综合治理，促进农业绿色发展。一是实施麦田杂草防除补助项目4000亩，达到科学防治杂草危害，减少药害；二是完成小麦“一喷三防”物化补助项目，发放物资磷酸二氢钾2600公斤；70%的吡虫啉148公斤；三是推广农产品质量安全合格证制度，截至目前已完成1500个样品检测，合格率100%；四是积极推动农业废弃物处理与利用，防止农业面源污染，建立农药包装废弃物回收站，截至目前查茨村、海迪克村已建立并投入使用；五是持续抓好耕地质量保护与提升项目建设工作。截至今年年底，我镇残膜回收项目累计回收农田残膜351吨；六是加强农作物秸秆、畜禽粪污综合利用，通过使用种养结合、秸秆还田、粪肥还田等方式促使利用率达到100%。</w:t>
      </w:r>
    </w:p>
    <w:p>
      <w:pPr>
        <w:snapToGrid w:val="0"/>
        <w:spacing w:line="520" w:lineRule="exact"/>
        <w:ind w:firstLine="560" w:firstLineChars="200"/>
        <w:rPr>
          <w:rFonts w:hint="eastAsia"/>
          <w:color w:val="auto"/>
          <w:highlight w:val="none"/>
          <w:lang w:val="en-US" w:eastAsia="zh-CN"/>
        </w:rPr>
      </w:pPr>
      <w:r>
        <w:rPr>
          <w:rFonts w:hint="eastAsia"/>
          <w:color w:val="auto"/>
          <w:highlight w:val="none"/>
          <w:lang w:val="en-US" w:eastAsia="zh-CN"/>
        </w:rPr>
        <w:t>4.紧盯牲畜健康发展，促进畜牧业产业发展。完成重大动物疫病强制免疫48.80万头（只），非强制免疫31.10万头（只），动物检疫4.20万头（只），黄牛改良820头，马传贫采集总数达1308匹次，非洲猪瘟排查数达65.07万头次。</w:t>
      </w:r>
    </w:p>
    <w:p>
      <w:pPr>
        <w:snapToGrid w:val="0"/>
        <w:spacing w:line="520" w:lineRule="exact"/>
        <w:ind w:firstLine="560" w:firstLineChars="200"/>
        <w:rPr>
          <w:rFonts w:hint="eastAsia"/>
          <w:color w:val="auto"/>
          <w:highlight w:val="none"/>
          <w:lang w:val="en-US" w:eastAsia="zh-CN"/>
        </w:rPr>
      </w:pPr>
      <w:r>
        <w:rPr>
          <w:rFonts w:hint="eastAsia"/>
          <w:color w:val="auto"/>
          <w:highlight w:val="none"/>
          <w:lang w:val="en-US" w:eastAsia="zh-CN"/>
        </w:rPr>
        <w:t>5.抓好林业工程建设，深入推进生态发展。大力抓好林业可持续发展，深入推进植树造林、退耕还林工程，严格落实河（湖）库长制、林长制。今年完成造林面积3714.8亩，其中防护林面积118.8亩，经济林3596亩。完成新造面积4亩，更新造林2503.3亩，补植面积1207.5亩。</w:t>
      </w:r>
    </w:p>
    <w:p>
      <w:pPr>
        <w:snapToGrid w:val="0"/>
        <w:spacing w:line="520" w:lineRule="exact"/>
        <w:ind w:firstLine="560" w:firstLineChars="200"/>
        <w:rPr>
          <w:rFonts w:hint="eastAsia"/>
          <w:color w:val="auto"/>
          <w:highlight w:val="none"/>
          <w:lang w:val="en-US" w:eastAsia="zh-CN"/>
        </w:rPr>
      </w:pPr>
      <w:r>
        <w:rPr>
          <w:rFonts w:hint="eastAsia"/>
          <w:color w:val="auto"/>
          <w:highlight w:val="none"/>
          <w:lang w:val="en-US" w:eastAsia="zh-CN"/>
        </w:rPr>
        <w:t>6.推进人居环境整治，提升乡村村容村貌。一是镇党委多次召开会议，对人居环境整治工作任务进行安排部署</w:t>
      </w:r>
      <w:r>
        <w:rPr>
          <w:rFonts w:hint="eastAsia"/>
          <w:color w:val="auto"/>
          <w:highlight w:val="none"/>
        </w:rPr>
        <w:t>。同时通过周一升旗仪式、农牧民夜校加大宣传力度，激发调动干部群众的积极性</w:t>
      </w:r>
      <w:r>
        <w:rPr>
          <w:rFonts w:hint="eastAsia"/>
          <w:color w:val="auto"/>
          <w:highlight w:val="none"/>
          <w:lang w:eastAsia="zh-CN"/>
        </w:rPr>
        <w:t>。</w:t>
      </w:r>
      <w:r>
        <w:rPr>
          <w:rFonts w:hint="eastAsia"/>
          <w:color w:val="auto"/>
          <w:highlight w:val="none"/>
          <w:lang w:val="en-US" w:eastAsia="zh-CN"/>
        </w:rPr>
        <w:t>二是大力实施“三清三改两提升”工程，全力整治庭院内部空间，累计拆除土围墙9公里，拆除土棚圈40余座。三是开展庭院“四区分离”工作，打造乡村振兴示范户，累计完成“四区分离”约260户。</w:t>
      </w:r>
    </w:p>
    <w:p>
      <w:pPr>
        <w:snapToGrid w:val="0"/>
        <w:spacing w:line="520" w:lineRule="exact"/>
        <w:ind w:firstLine="560" w:firstLineChars="200"/>
        <w:rPr>
          <w:rFonts w:hint="default"/>
          <w:color w:val="auto"/>
          <w:highlight w:val="none"/>
          <w:lang w:val="en-US" w:eastAsia="zh-CN"/>
        </w:rPr>
      </w:pPr>
      <w:r>
        <w:rPr>
          <w:rFonts w:hint="eastAsia"/>
          <w:color w:val="auto"/>
          <w:highlight w:val="none"/>
          <w:lang w:val="en-US" w:eastAsia="zh-CN"/>
        </w:rPr>
        <w:t>7.完善基础设施建设，提升群众居住幸福感。一是依托人居环境整治项目，安装路灯50盏，修建公共厕所1座，购买可移动式水冲式厕所1座，为村民的生产生活提供保障。二是住房安全有保障各项举措落实有力，截至目前20户抗震防灾房，已竣工18户，竣工率90</w:t>
      </w:r>
      <w:r>
        <w:rPr>
          <w:rFonts w:hint="default"/>
          <w:color w:val="auto"/>
          <w:highlight w:val="none"/>
          <w:lang w:val="en-US" w:eastAsia="zh-CN"/>
        </w:rPr>
        <w:t>％</w:t>
      </w:r>
      <w:r>
        <w:rPr>
          <w:rFonts w:hint="eastAsia"/>
          <w:color w:val="auto"/>
          <w:highlight w:val="none"/>
          <w:lang w:val="en-US" w:eastAsia="zh-CN"/>
        </w:rPr>
        <w:t>。三是保障乡村人口饮水安全，我镇联合水利局全面摸排全镇饮水情况，设计10个村1个社区，配合完成哈尔莫敦村饮水安全工程建设项目。四是申报实施粪污一体化建设项目，投入资金1700万元，实现哈尔莫敦村污水管网全覆盖，提高水冲式厕所覆盖率，推动“厕所革命”，解决村民“如厕难”问题，提升群众居住幸福感。</w:t>
      </w:r>
    </w:p>
    <w:p>
      <w:pPr>
        <w:snapToGrid w:val="0"/>
        <w:spacing w:line="520" w:lineRule="exact"/>
        <w:ind w:firstLine="560" w:firstLineChars="200"/>
        <w:rPr>
          <w:rFonts w:hint="eastAsia"/>
          <w:color w:val="auto"/>
          <w:highlight w:val="none"/>
          <w:lang w:val="en-US" w:eastAsia="zh-CN"/>
        </w:rPr>
      </w:pPr>
      <w:r>
        <w:rPr>
          <w:rFonts w:hint="eastAsia"/>
          <w:color w:val="auto"/>
          <w:highlight w:val="none"/>
          <w:lang w:val="en-US" w:eastAsia="zh-CN"/>
        </w:rPr>
        <w:t>8.规范项目建设程序，压实项目建设主体责任。2023年我镇申报实施衔接资金项目12个，包含中央提前告知衔接资金项目4个，涉及资金2072万元（其中少数民族发展资金项目1个，涉及资金85万元；以工代赈资金项目2个，涉及资金687万元）；自治区衔接资金项目3个，涉及资金781万元；自治州衔接资金项目1个，涉及资金215万元；中央第二批衔接资金项目1个，涉及资金287万元；自治区衔接资金项目1个，涉及资金47万元；水库移民资金项目2个，涉及资金62万元。</w:t>
      </w:r>
    </w:p>
    <w:p>
      <w:pPr>
        <w:snapToGrid w:val="0"/>
        <w:spacing w:line="520" w:lineRule="exact"/>
        <w:ind w:firstLine="560" w:firstLineChars="200"/>
        <w:rPr>
          <w:rFonts w:hint="eastAsia"/>
          <w:color w:val="auto"/>
          <w:highlight w:val="none"/>
          <w:lang w:val="en-US" w:eastAsia="zh-CN"/>
        </w:rPr>
      </w:pPr>
      <w:r>
        <w:rPr>
          <w:rFonts w:hint="eastAsia"/>
          <w:color w:val="auto"/>
          <w:highlight w:val="none"/>
          <w:lang w:val="en-US" w:eastAsia="zh-CN"/>
        </w:rPr>
        <w:t>9.提升乡风文明，强化精神文明建设。一是开展“听党话、感党恩、跟党走”宣传教育活动，宣讲次数88次，参与各项宣传活动2000余人次。二是组织全镇干部进行集中学习并开展12场6635人次文明新风志愿服务活动。三是全镇持续推进农村移风易俗活动，有效发挥村规民约，规范“四项”活动开展工作，不存在高价彩礼、大操大办等现象。</w:t>
      </w:r>
    </w:p>
    <w:p>
      <w:pPr>
        <w:pStyle w:val="4"/>
        <w:spacing w:before="156"/>
        <w:ind w:firstLine="643"/>
        <w:rPr>
          <w:rFonts w:hint="eastAsia"/>
          <w:color w:val="auto"/>
          <w:highlight w:val="none"/>
        </w:rPr>
      </w:pPr>
      <w:r>
        <w:rPr>
          <w:rFonts w:hint="eastAsia"/>
          <w:color w:val="auto"/>
          <w:highlight w:val="none"/>
        </w:rPr>
        <w:t>（三）部门单位整体预算规模及安排情况</w:t>
      </w:r>
    </w:p>
    <w:p>
      <w:pPr>
        <w:pStyle w:val="5"/>
        <w:rPr>
          <w:rFonts w:hint="eastAsia"/>
          <w:color w:val="auto"/>
          <w:highlight w:val="none"/>
          <w:lang w:val="en-US" w:eastAsia="zh-CN"/>
        </w:rPr>
      </w:pPr>
      <w:r>
        <w:rPr>
          <w:rFonts w:hint="eastAsia"/>
          <w:color w:val="auto"/>
          <w:highlight w:val="none"/>
          <w:lang w:val="en-US" w:eastAsia="zh-CN"/>
        </w:rPr>
        <w:t>1.预算执行情况</w:t>
      </w:r>
    </w:p>
    <w:p>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（1）年初预算执行情况</w:t>
      </w:r>
    </w:p>
    <w:p>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我单位年初预算数为</w:t>
      </w:r>
      <w:r>
        <w:rPr>
          <w:rFonts w:hint="eastAsia" w:ascii="Times New Roman" w:hAnsi="Times New Roman" w:cs="Times New Roman"/>
          <w:bCs/>
          <w:color w:val="auto"/>
          <w:highlight w:val="none"/>
          <w:lang w:val="en-US" w:eastAsia="zh-CN"/>
        </w:rPr>
        <w:t>5279.21</w:t>
      </w:r>
      <w:r>
        <w:rPr>
          <w:rFonts w:hint="eastAsia" w:ascii="Times New Roman" w:hAnsi="Times New Roman" w:cs="Times New Roman"/>
          <w:bCs/>
          <w:color w:val="auto"/>
          <w:highlight w:val="none"/>
        </w:rPr>
        <w:t>万元</w:t>
      </w:r>
      <w:r>
        <w:rPr>
          <w:rFonts w:hint="eastAsia" w:ascii="Times New Roman" w:hAnsi="Times New Roman" w:cs="Times New Roman"/>
          <w:bCs/>
          <w:color w:val="auto"/>
          <w:highlight w:val="none"/>
          <w:lang w:val="en-US" w:eastAsia="zh-CN"/>
        </w:rPr>
        <w:t>，</w:t>
      </w:r>
      <w:r>
        <w:rPr>
          <w:rFonts w:hint="eastAsia" w:ascii="Times New Roman" w:hAnsi="Times New Roman" w:cs="Times New Roman"/>
          <w:bCs/>
          <w:color w:val="auto"/>
          <w:highlight w:val="none"/>
        </w:rPr>
        <w:t>实际预算执行数</w:t>
      </w:r>
      <w:r>
        <w:rPr>
          <w:rFonts w:hint="eastAsia" w:ascii="Times New Roman" w:hAnsi="Times New Roman" w:cs="Times New Roman"/>
          <w:bCs/>
          <w:color w:val="auto"/>
          <w:highlight w:val="none"/>
          <w:lang w:val="en-US" w:eastAsia="zh-CN"/>
        </w:rPr>
        <w:t>5279.21万元</w:t>
      </w:r>
      <w:r>
        <w:rPr>
          <w:rFonts w:hint="eastAsia" w:ascii="Times New Roman" w:hAnsi="Times New Roman" w:cs="Times New Roman"/>
          <w:bCs/>
          <w:color w:val="auto"/>
          <w:highlight w:val="none"/>
        </w:rPr>
        <w:t>，预算执行率为</w:t>
      </w:r>
      <w:r>
        <w:rPr>
          <w:rFonts w:hint="eastAsia" w:ascii="Times New Roman" w:hAnsi="Times New Roman" w:cs="Times New Roman"/>
          <w:bCs/>
          <w:color w:val="auto"/>
          <w:highlight w:val="none"/>
          <w:lang w:val="en-US" w:eastAsia="zh-CN"/>
        </w:rPr>
        <w:t>100</w:t>
      </w:r>
      <w:r>
        <w:rPr>
          <w:rFonts w:hint="eastAsia" w:ascii="Times New Roman" w:hAnsi="Times New Roman" w:cs="Times New Roman"/>
          <w:bCs/>
          <w:color w:val="auto"/>
          <w:highlight w:val="none"/>
        </w:rPr>
        <w:t>%。</w:t>
      </w:r>
    </w:p>
    <w:p>
      <w:pPr>
        <w:numPr>
          <w:ilvl w:val="0"/>
          <w:numId w:val="1"/>
        </w:num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全年预算执行情况</w:t>
      </w:r>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560" w:firstLineChars="20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全年预算数为</w:t>
      </w:r>
      <w:r>
        <w:rPr>
          <w:rFonts w:hint="eastAsia" w:ascii="Times New Roman" w:hAnsi="Times New Roman" w:cs="Times New Roman"/>
          <w:bCs/>
          <w:color w:val="auto"/>
          <w:highlight w:val="none"/>
          <w:lang w:val="en-US" w:eastAsia="zh-CN"/>
        </w:rPr>
        <w:t>6596.43万元</w:t>
      </w:r>
      <w:r>
        <w:rPr>
          <w:rFonts w:hint="eastAsia" w:ascii="Times New Roman" w:hAnsi="Times New Roman" w:cs="Times New Roman"/>
          <w:bCs/>
          <w:color w:val="auto"/>
          <w:highlight w:val="none"/>
        </w:rPr>
        <w:t>，全年实际支出资金</w:t>
      </w:r>
      <w:r>
        <w:rPr>
          <w:rFonts w:hint="eastAsia" w:ascii="Times New Roman" w:hAnsi="Times New Roman" w:cs="Times New Roman"/>
          <w:bCs/>
          <w:color w:val="auto"/>
          <w:highlight w:val="none"/>
          <w:lang w:val="en-US" w:eastAsia="zh-CN"/>
        </w:rPr>
        <w:t>6596.43万元</w:t>
      </w:r>
      <w:r>
        <w:rPr>
          <w:rFonts w:hint="eastAsia" w:ascii="Times New Roman" w:hAnsi="Times New Roman" w:cs="Times New Roman"/>
          <w:bCs/>
          <w:color w:val="auto"/>
          <w:highlight w:val="none"/>
        </w:rPr>
        <w:t>，预算执行率为</w:t>
      </w:r>
      <w:r>
        <w:rPr>
          <w:rFonts w:hint="eastAsia" w:ascii="Times New Roman" w:hAnsi="Times New Roman" w:cs="Times New Roman"/>
          <w:bCs/>
          <w:color w:val="auto"/>
          <w:highlight w:val="none"/>
          <w:lang w:val="en-US" w:eastAsia="zh-CN"/>
        </w:rPr>
        <w:t>100</w:t>
      </w:r>
      <w:r>
        <w:rPr>
          <w:rFonts w:hint="eastAsia" w:ascii="Times New Roman" w:hAnsi="Times New Roman" w:cs="Times New Roman"/>
          <w:bCs/>
          <w:color w:val="auto"/>
          <w:highlight w:val="none"/>
        </w:rPr>
        <w:t>%。</w:t>
      </w:r>
    </w:p>
    <w:p>
      <w:pPr>
        <w:pStyle w:val="5"/>
        <w:rPr>
          <w:rFonts w:hint="eastAsia"/>
          <w:color w:val="auto"/>
          <w:highlight w:val="none"/>
          <w:lang w:val="en-US" w:eastAsia="zh-CN"/>
        </w:rPr>
      </w:pPr>
      <w:r>
        <w:rPr>
          <w:rFonts w:hint="eastAsia"/>
          <w:color w:val="auto"/>
          <w:highlight w:val="none"/>
          <w:lang w:val="en-US" w:eastAsia="zh-CN"/>
        </w:rPr>
        <w:t>2.预算调整（追加减）情况</w:t>
      </w:r>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560" w:firstLineChars="200"/>
        <w:rPr>
          <w:rFonts w:hint="eastAsia" w:ascii="Times New Roman" w:hAnsi="Times New Roman" w:eastAsia="仿宋" w:cs="Times New Roman"/>
          <w:bCs/>
          <w:color w:val="auto"/>
          <w:highlight w:val="none"/>
          <w:lang w:eastAsia="zh-CN"/>
        </w:rPr>
      </w:pPr>
      <w:r>
        <w:rPr>
          <w:rFonts w:hint="eastAsia" w:ascii="Times New Roman" w:hAnsi="Times New Roman" w:cs="Times New Roman"/>
          <w:bCs/>
          <w:color w:val="auto"/>
          <w:highlight w:val="none"/>
        </w:rPr>
        <w:t>我单位年初批复预算数</w:t>
      </w:r>
      <w:r>
        <w:rPr>
          <w:rFonts w:hint="eastAsia" w:ascii="Times New Roman" w:hAnsi="Times New Roman" w:cs="Times New Roman"/>
          <w:bCs/>
          <w:color w:val="auto"/>
          <w:highlight w:val="none"/>
          <w:lang w:val="en-US" w:eastAsia="zh-CN"/>
        </w:rPr>
        <w:t>5279.21</w:t>
      </w:r>
      <w:r>
        <w:rPr>
          <w:rFonts w:hint="eastAsia" w:ascii="Times New Roman" w:hAnsi="Times New Roman" w:cs="Times New Roman"/>
          <w:bCs/>
          <w:color w:val="auto"/>
          <w:highlight w:val="none"/>
        </w:rPr>
        <w:t>万元，年中调整数</w:t>
      </w:r>
      <w:r>
        <w:rPr>
          <w:rFonts w:hint="eastAsia" w:ascii="Times New Roman" w:hAnsi="Times New Roman" w:cs="Times New Roman"/>
          <w:bCs/>
          <w:color w:val="auto"/>
          <w:highlight w:val="none"/>
          <w:lang w:val="en-US" w:eastAsia="zh-CN"/>
        </w:rPr>
        <w:t>1317.22</w:t>
      </w:r>
      <w:r>
        <w:rPr>
          <w:rFonts w:hint="eastAsia" w:ascii="Times New Roman" w:hAnsi="Times New Roman" w:cs="Times New Roman"/>
          <w:bCs/>
          <w:color w:val="auto"/>
          <w:highlight w:val="none"/>
        </w:rPr>
        <w:t>万元，调整后全年预算数</w:t>
      </w:r>
      <w:r>
        <w:rPr>
          <w:rFonts w:hint="eastAsia" w:ascii="Times New Roman" w:hAnsi="Times New Roman" w:cs="Times New Roman"/>
          <w:bCs/>
          <w:color w:val="auto"/>
          <w:highlight w:val="none"/>
          <w:lang w:val="en-US" w:eastAsia="zh-CN"/>
        </w:rPr>
        <w:t>6596.43万元</w:t>
      </w:r>
      <w:r>
        <w:rPr>
          <w:rFonts w:hint="eastAsia" w:ascii="Times New Roman" w:hAnsi="Times New Roman" w:cs="Times New Roman"/>
          <w:bCs/>
          <w:color w:val="auto"/>
          <w:highlight w:val="none"/>
        </w:rPr>
        <w:t>，预算调整率</w:t>
      </w:r>
      <w:r>
        <w:rPr>
          <w:rFonts w:hint="eastAsia" w:ascii="Times New Roman" w:hAnsi="Times New Roman" w:cs="Times New Roman"/>
          <w:bCs/>
          <w:color w:val="auto"/>
          <w:highlight w:val="none"/>
          <w:lang w:val="en-US" w:eastAsia="zh-CN"/>
        </w:rPr>
        <w:t>124.94</w:t>
      </w:r>
      <w:r>
        <w:rPr>
          <w:rFonts w:hint="eastAsia" w:ascii="Times New Roman" w:hAnsi="Times New Roman" w:cs="Times New Roman"/>
          <w:bCs/>
          <w:color w:val="auto"/>
          <w:highlight w:val="none"/>
        </w:rPr>
        <w:t>%。（预算调整率=调整数/年初预算数*100%=</w:t>
      </w:r>
      <w:r>
        <w:rPr>
          <w:rFonts w:hint="eastAsia" w:ascii="Times New Roman" w:hAnsi="Times New Roman" w:cs="Times New Roman"/>
          <w:bCs/>
          <w:color w:val="auto"/>
          <w:highlight w:val="none"/>
          <w:lang w:val="en-US" w:eastAsia="zh-CN"/>
        </w:rPr>
        <w:t>124.94</w:t>
      </w:r>
      <w:r>
        <w:rPr>
          <w:rFonts w:hint="eastAsia" w:ascii="Times New Roman" w:hAnsi="Times New Roman" w:cs="Times New Roman"/>
          <w:bCs/>
          <w:color w:val="auto"/>
          <w:highlight w:val="none"/>
        </w:rPr>
        <w:t>%。</w:t>
      </w:r>
      <w:r>
        <w:rPr>
          <w:rFonts w:hint="eastAsia" w:ascii="Times New Roman" w:hAnsi="Times New Roman" w:cs="Times New Roman"/>
          <w:bCs/>
          <w:color w:val="auto"/>
          <w:highlight w:val="none"/>
          <w:lang w:eastAsia="zh-CN"/>
        </w:rPr>
        <w:t>）</w:t>
      </w:r>
    </w:p>
    <w:p>
      <w:pPr>
        <w:pStyle w:val="5"/>
        <w:rPr>
          <w:rFonts w:hint="eastAsia"/>
          <w:color w:val="auto"/>
          <w:highlight w:val="none"/>
          <w:lang w:val="en-US" w:eastAsia="zh-CN"/>
        </w:rPr>
      </w:pPr>
      <w:r>
        <w:rPr>
          <w:rFonts w:hint="eastAsia"/>
          <w:color w:val="auto"/>
          <w:highlight w:val="none"/>
          <w:lang w:val="en-US" w:eastAsia="zh-CN"/>
        </w:rPr>
        <w:t>3.资金使用主要内容、涉及的范围</w:t>
      </w:r>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560" w:firstLineChars="20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我单位2023年度部门整体支出为</w:t>
      </w:r>
      <w:r>
        <w:rPr>
          <w:rFonts w:hint="eastAsia" w:ascii="Times New Roman" w:hAnsi="Times New Roman" w:cs="Times New Roman"/>
          <w:bCs/>
          <w:color w:val="auto"/>
          <w:highlight w:val="none"/>
          <w:lang w:val="en-US" w:eastAsia="zh-CN"/>
        </w:rPr>
        <w:t>6596.43</w:t>
      </w:r>
      <w:r>
        <w:rPr>
          <w:rFonts w:hint="eastAsia" w:ascii="Times New Roman" w:hAnsi="Times New Roman" w:cs="Times New Roman"/>
          <w:bCs/>
          <w:color w:val="auto"/>
          <w:highlight w:val="none"/>
        </w:rPr>
        <w:t>万元，其中：基本支出</w:t>
      </w:r>
      <w:r>
        <w:rPr>
          <w:rFonts w:hint="eastAsia" w:ascii="Times New Roman" w:hAnsi="Times New Roman" w:cs="Times New Roman"/>
          <w:bCs/>
          <w:color w:val="auto"/>
          <w:highlight w:val="none"/>
          <w:lang w:val="en-US" w:eastAsia="zh-CN"/>
        </w:rPr>
        <w:t>2847.39</w:t>
      </w:r>
      <w:r>
        <w:rPr>
          <w:rFonts w:hint="eastAsia" w:ascii="Times New Roman" w:hAnsi="Times New Roman" w:cs="Times New Roman"/>
          <w:bCs/>
          <w:color w:val="auto"/>
          <w:highlight w:val="none"/>
        </w:rPr>
        <w:t>万元，资金的使用方向为我单位机关人员经费支出</w:t>
      </w:r>
      <w:r>
        <w:rPr>
          <w:rFonts w:hint="eastAsia" w:ascii="Times New Roman" w:hAnsi="Times New Roman" w:cs="Times New Roman"/>
          <w:bCs/>
          <w:color w:val="auto"/>
          <w:highlight w:val="none"/>
          <w:lang w:val="en-US" w:eastAsia="zh-CN"/>
        </w:rPr>
        <w:t>2800.86</w:t>
      </w:r>
      <w:r>
        <w:rPr>
          <w:rFonts w:hint="eastAsia" w:ascii="Times New Roman" w:hAnsi="Times New Roman" w:cs="Times New Roman"/>
          <w:bCs/>
          <w:color w:val="auto"/>
          <w:highlight w:val="none"/>
        </w:rPr>
        <w:t>万元</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rPr>
        <w:t>日常公用经费支出</w:t>
      </w:r>
      <w:r>
        <w:rPr>
          <w:rFonts w:hint="eastAsia" w:ascii="Times New Roman" w:hAnsi="Times New Roman" w:cs="Times New Roman"/>
          <w:bCs/>
          <w:color w:val="auto"/>
          <w:highlight w:val="none"/>
          <w:lang w:val="en-US" w:eastAsia="zh-CN"/>
        </w:rPr>
        <w:t>46.53</w:t>
      </w:r>
      <w:r>
        <w:rPr>
          <w:rFonts w:hint="eastAsia" w:ascii="Times New Roman" w:hAnsi="Times New Roman" w:cs="Times New Roman"/>
          <w:bCs/>
          <w:color w:val="auto"/>
          <w:highlight w:val="none"/>
        </w:rPr>
        <w:t>万元</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rPr>
        <w:t>主要用于保障人员工资及人员医保、社保、住房公积金等缴费，单位办公用品购买及车辆燃油费及维修等方面支出。</w:t>
      </w:r>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560" w:firstLineChars="20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项目支出共计</w:t>
      </w:r>
      <w:r>
        <w:rPr>
          <w:rFonts w:hint="eastAsia" w:ascii="Times New Roman" w:hAnsi="Times New Roman" w:cs="Times New Roman"/>
          <w:bCs/>
          <w:color w:val="auto"/>
          <w:highlight w:val="none"/>
          <w:lang w:val="en-US" w:eastAsia="zh-CN"/>
        </w:rPr>
        <w:t>3749.04</w:t>
      </w:r>
      <w:r>
        <w:rPr>
          <w:rFonts w:hint="eastAsia" w:ascii="Times New Roman" w:hAnsi="Times New Roman" w:cs="Times New Roman"/>
          <w:bCs/>
          <w:color w:val="auto"/>
          <w:highlight w:val="none"/>
        </w:rPr>
        <w:t>万元，主要用于保障</w:t>
      </w:r>
      <w:r>
        <w:rPr>
          <w:rFonts w:hint="eastAsia" w:ascii="Times New Roman" w:hAnsi="Times New Roman" w:cs="Times New Roman"/>
          <w:bCs/>
          <w:color w:val="auto"/>
          <w:highlight w:val="none"/>
          <w:lang w:eastAsia="zh-CN"/>
        </w:rPr>
        <w:t>2023年</w:t>
      </w:r>
      <w:r>
        <w:rPr>
          <w:rFonts w:hint="eastAsia" w:ascii="Times New Roman" w:hAnsi="Times New Roman" w:cs="Times New Roman"/>
          <w:bCs/>
          <w:color w:val="auto"/>
          <w:highlight w:val="none"/>
          <w:lang w:val="en-US" w:eastAsia="zh-CN"/>
        </w:rPr>
        <w:t>人大工作经费、</w:t>
      </w:r>
      <w:r>
        <w:rPr>
          <w:rFonts w:hint="eastAsia" w:ascii="Times New Roman" w:hAnsi="Times New Roman" w:cs="Times New Roman"/>
          <w:bCs/>
          <w:color w:val="auto"/>
          <w:highlight w:val="none"/>
        </w:rPr>
        <w:t>纪检监察转移支付资金项目</w:t>
      </w:r>
      <w:r>
        <w:rPr>
          <w:rFonts w:hint="eastAsia" w:ascii="Times New Roman" w:hAnsi="Times New Roman" w:cs="Times New Roman"/>
          <w:bCs/>
          <w:color w:val="auto"/>
          <w:highlight w:val="none"/>
          <w:lang w:val="en-US" w:eastAsia="zh-CN"/>
        </w:rPr>
        <w:t>、乡镇</w:t>
      </w:r>
      <w:r>
        <w:rPr>
          <w:rFonts w:hint="eastAsia" w:ascii="Times New Roman" w:hAnsi="Times New Roman" w:cs="Times New Roman"/>
          <w:bCs/>
          <w:color w:val="auto"/>
          <w:highlight w:val="none"/>
        </w:rPr>
        <w:t>文化</w:t>
      </w:r>
      <w:r>
        <w:rPr>
          <w:rFonts w:hint="eastAsia" w:ascii="Times New Roman" w:hAnsi="Times New Roman" w:cs="Times New Roman"/>
          <w:bCs/>
          <w:color w:val="auto"/>
          <w:highlight w:val="none"/>
          <w:lang w:val="en-US" w:eastAsia="zh-CN"/>
        </w:rPr>
        <w:t>站</w:t>
      </w:r>
      <w:r>
        <w:rPr>
          <w:rFonts w:hint="eastAsia" w:ascii="Times New Roman" w:hAnsi="Times New Roman" w:cs="Times New Roman"/>
          <w:bCs/>
          <w:color w:val="auto"/>
          <w:highlight w:val="none"/>
        </w:rPr>
        <w:t>免费开放补助</w:t>
      </w:r>
      <w:r>
        <w:rPr>
          <w:rFonts w:hint="eastAsia" w:ascii="Times New Roman" w:hAnsi="Times New Roman" w:cs="Times New Roman"/>
          <w:bCs/>
          <w:color w:val="auto"/>
          <w:highlight w:val="none"/>
          <w:lang w:val="en-US" w:eastAsia="zh-CN"/>
        </w:rPr>
        <w:t>项目</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rPr>
        <w:t>自治区就业补助资金</w:t>
      </w:r>
      <w:r>
        <w:rPr>
          <w:rFonts w:hint="eastAsia" w:ascii="Times New Roman" w:hAnsi="Times New Roman" w:cs="Times New Roman"/>
          <w:bCs/>
          <w:color w:val="auto"/>
          <w:highlight w:val="none"/>
          <w:lang w:val="en-US" w:eastAsia="zh-CN"/>
        </w:rPr>
        <w:t>项目</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rPr>
        <w:t>村级阵地标准化建设项目</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rPr>
        <w:t>人居环境整治项目</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rPr>
        <w:t>土坯房拆除项目</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rPr>
        <w:t>夏尔莫敦村水库移民洒水车建设项目</w:t>
      </w:r>
      <w:r>
        <w:rPr>
          <w:rFonts w:hint="eastAsia" w:ascii="Times New Roman" w:hAnsi="Times New Roman" w:cs="Times New Roman"/>
          <w:bCs/>
          <w:color w:val="auto"/>
          <w:highlight w:val="none"/>
          <w:lang w:val="en-US" w:eastAsia="zh-CN"/>
        </w:rPr>
        <w:t>、</w:t>
      </w:r>
      <w:r>
        <w:rPr>
          <w:rFonts w:hint="eastAsia" w:ascii="Times New Roman" w:hAnsi="Times New Roman" w:cs="Times New Roman"/>
          <w:bCs/>
          <w:color w:val="auto"/>
          <w:highlight w:val="none"/>
        </w:rPr>
        <w:t>哈尔莫敦村水库移民轮式装载机采购项</w:t>
      </w:r>
      <w:r>
        <w:rPr>
          <w:rFonts w:hint="eastAsia" w:ascii="Times New Roman" w:hAnsi="Times New Roman" w:cs="Times New Roman"/>
          <w:bCs/>
          <w:color w:val="auto"/>
          <w:highlight w:val="none"/>
          <w:lang w:val="en-US" w:eastAsia="zh-CN"/>
        </w:rPr>
        <w:t>目、哈尔莫敦村牲畜</w:t>
      </w:r>
      <w:r>
        <w:rPr>
          <w:rFonts w:hint="eastAsia" w:ascii="Times New Roman" w:hAnsi="Times New Roman" w:cs="Times New Roman"/>
          <w:bCs/>
          <w:color w:val="auto"/>
          <w:highlight w:val="none"/>
        </w:rPr>
        <w:t>养殖项目</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rPr>
        <w:t>哈尔莫敦村2023年农产品晾晒及仓库建设项目</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rPr>
        <w:t>哈尔莫敦村人居环境整治项目（一期）（二期）</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rPr>
        <w:t>夏尔莫敦村2023年防渗渠以工代赈项目（一期）</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rPr>
        <w:t>哈尔莫敦村路面硬化项目</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rPr>
        <w:t>哈尔莫敦村温室建设项目</w:t>
      </w:r>
      <w:r>
        <w:rPr>
          <w:rFonts w:hint="eastAsia" w:ascii="Times New Roman" w:hAnsi="Times New Roman" w:cs="Times New Roman"/>
          <w:bCs/>
          <w:color w:val="auto"/>
          <w:highlight w:val="none"/>
          <w:lang w:val="en-US" w:eastAsia="zh-CN"/>
        </w:rPr>
        <w:t>的实施</w:t>
      </w:r>
      <w:r>
        <w:rPr>
          <w:rFonts w:hint="eastAsia" w:ascii="Times New Roman" w:hAnsi="Times New Roman" w:cs="Times New Roman"/>
          <w:bCs/>
          <w:color w:val="auto"/>
          <w:highlight w:val="none"/>
        </w:rPr>
        <w:t>。</w:t>
      </w:r>
      <w:bookmarkStart w:id="1" w:name="_Toc32535_WPSOffice_Level1"/>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562" w:firstLineChars="200"/>
        <w:rPr>
          <w:rFonts w:hint="eastAsia"/>
          <w:b/>
          <w:bCs/>
          <w:color w:val="auto"/>
          <w:highlight w:val="none"/>
        </w:rPr>
      </w:pPr>
      <w:r>
        <w:rPr>
          <w:rFonts w:hint="eastAsia"/>
          <w:b/>
          <w:bCs/>
          <w:color w:val="auto"/>
          <w:highlight w:val="none"/>
          <w:lang w:eastAsia="zh-CN"/>
        </w:rPr>
        <w:t>二、</w:t>
      </w:r>
      <w:r>
        <w:rPr>
          <w:rFonts w:hint="eastAsia"/>
          <w:b/>
          <w:bCs/>
          <w:color w:val="auto"/>
          <w:highlight w:val="none"/>
        </w:rPr>
        <w:t>部门单位整体支出管理及使用情况</w:t>
      </w:r>
      <w:bookmarkEnd w:id="1"/>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562" w:firstLineChars="200"/>
        <w:rPr>
          <w:rFonts w:hint="eastAsia"/>
          <w:b/>
          <w:bCs/>
          <w:color w:val="auto"/>
          <w:highlight w:val="none"/>
          <w:lang w:eastAsia="zh-CN"/>
        </w:rPr>
      </w:pPr>
      <w:r>
        <w:rPr>
          <w:rFonts w:hint="eastAsia"/>
          <w:b/>
          <w:bCs/>
          <w:color w:val="auto"/>
          <w:highlight w:val="none"/>
          <w:lang w:eastAsia="zh-CN"/>
        </w:rPr>
        <w:t>（一）基本支出和使用情况</w:t>
      </w:r>
    </w:p>
    <w:p>
      <w:pPr>
        <w:ind w:firstLine="560"/>
        <w:rPr>
          <w:rFonts w:hint="eastAsia"/>
          <w:color w:val="auto"/>
          <w:highlight w:val="none"/>
        </w:rPr>
      </w:pPr>
      <w:r>
        <w:rPr>
          <w:rFonts w:hint="eastAsia"/>
          <w:color w:val="auto"/>
          <w:highlight w:val="none"/>
        </w:rPr>
        <w:t>基本支出预算是指为保障部门正常运转、完成日常工作任务而制定的本单位人员薪酬福利支出计划和日常办公经费支出计划，可分为人员经费支出和公用经费支出。2023年我单位基本支出全年预算总额</w:t>
      </w:r>
      <w:r>
        <w:rPr>
          <w:rFonts w:hint="eastAsia"/>
          <w:color w:val="auto"/>
          <w:highlight w:val="none"/>
          <w:lang w:val="en-US" w:eastAsia="zh-CN"/>
        </w:rPr>
        <w:t>2847.39</w:t>
      </w:r>
      <w:r>
        <w:rPr>
          <w:rFonts w:hint="eastAsia"/>
          <w:color w:val="auto"/>
          <w:highlight w:val="none"/>
        </w:rPr>
        <w:t>万元，全年实际支出</w:t>
      </w:r>
      <w:r>
        <w:rPr>
          <w:rFonts w:hint="eastAsia"/>
          <w:color w:val="auto"/>
          <w:highlight w:val="none"/>
          <w:lang w:val="en-US" w:eastAsia="zh-CN"/>
        </w:rPr>
        <w:t>2847.39</w:t>
      </w:r>
      <w:r>
        <w:rPr>
          <w:rFonts w:hint="eastAsia"/>
          <w:color w:val="auto"/>
          <w:highlight w:val="none"/>
        </w:rPr>
        <w:t>万元，资金执行率100%。基本支出严格按照财务管理制度执行，其中：人员经费支出</w:t>
      </w:r>
      <w:r>
        <w:rPr>
          <w:rFonts w:hint="eastAsia"/>
          <w:color w:val="auto"/>
          <w:highlight w:val="none"/>
          <w:lang w:val="en-US" w:eastAsia="zh-CN"/>
        </w:rPr>
        <w:t>2800.84</w:t>
      </w:r>
      <w:r>
        <w:rPr>
          <w:rFonts w:hint="eastAsia"/>
          <w:color w:val="auto"/>
          <w:highlight w:val="none"/>
        </w:rPr>
        <w:t>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ind w:firstLine="560"/>
        <w:rPr>
          <w:rFonts w:hint="eastAsia"/>
          <w:color w:val="auto"/>
          <w:highlight w:val="none"/>
        </w:rPr>
      </w:pPr>
      <w:r>
        <w:rPr>
          <w:rFonts w:hint="eastAsia"/>
          <w:color w:val="auto"/>
          <w:highlight w:val="none"/>
        </w:rPr>
        <w:t>公用经费支出</w:t>
      </w:r>
      <w:r>
        <w:rPr>
          <w:rFonts w:hint="eastAsia"/>
          <w:color w:val="auto"/>
          <w:highlight w:val="none"/>
          <w:lang w:val="en-US" w:eastAsia="zh-CN"/>
        </w:rPr>
        <w:t>46.55</w:t>
      </w:r>
      <w:r>
        <w:rPr>
          <w:rFonts w:hint="eastAsia"/>
          <w:color w:val="auto"/>
          <w:highlight w:val="none"/>
        </w:rPr>
        <w:t>万元，主要包括：办公费、印刷费、水费、电费、邮电费、取暖费、物业管理费、差旅费、培训费、公务接待费、工会经费、福利费、公务用车运行维护费、其他交通费用、其他商品和服务支出。</w:t>
      </w:r>
    </w:p>
    <w:p>
      <w:pPr>
        <w:pStyle w:val="4"/>
        <w:spacing w:before="156"/>
        <w:ind w:firstLine="643"/>
        <w:rPr>
          <w:color w:val="auto"/>
          <w:highlight w:val="none"/>
        </w:rPr>
      </w:pPr>
      <w:r>
        <w:rPr>
          <w:rFonts w:hint="eastAsia"/>
          <w:color w:val="auto"/>
          <w:highlight w:val="none"/>
        </w:rPr>
        <w:t>（二）政策、项目支出和使用情况</w:t>
      </w:r>
    </w:p>
    <w:p>
      <w:pPr>
        <w:pStyle w:val="5"/>
        <w:ind w:firstLine="602"/>
        <w:rPr>
          <w:color w:val="auto"/>
          <w:highlight w:val="none"/>
        </w:rPr>
      </w:pPr>
      <w:r>
        <w:rPr>
          <w:rFonts w:hint="eastAsia"/>
          <w:color w:val="auto"/>
          <w:highlight w:val="none"/>
        </w:rPr>
        <w:t>1.政策、项目支出的投入情况分析</w:t>
      </w:r>
    </w:p>
    <w:p>
      <w:pPr>
        <w:ind w:firstLine="560"/>
        <w:rPr>
          <w:rFonts w:hint="eastAsia"/>
          <w:color w:val="auto"/>
          <w:highlight w:val="none"/>
        </w:rPr>
      </w:pPr>
      <w:r>
        <w:rPr>
          <w:rFonts w:hint="eastAsia"/>
          <w:color w:val="auto"/>
          <w:highlight w:val="none"/>
        </w:rPr>
        <w:t>我单位2023年度共安排项目支出预算</w:t>
      </w:r>
      <w:r>
        <w:rPr>
          <w:rFonts w:hint="eastAsia"/>
          <w:color w:val="auto"/>
          <w:highlight w:val="none"/>
          <w:lang w:val="en-US" w:eastAsia="zh-CN"/>
        </w:rPr>
        <w:t>3749.03</w:t>
      </w:r>
      <w:r>
        <w:rPr>
          <w:rFonts w:hint="eastAsia"/>
          <w:color w:val="auto"/>
          <w:highlight w:val="none"/>
        </w:rPr>
        <w:t>万元，其中：上级专项资金</w:t>
      </w:r>
      <w:r>
        <w:rPr>
          <w:rFonts w:hint="eastAsia"/>
          <w:color w:val="auto"/>
          <w:highlight w:val="none"/>
          <w:lang w:val="en-US" w:eastAsia="zh-CN"/>
        </w:rPr>
        <w:t>3670.23</w:t>
      </w:r>
      <w:r>
        <w:rPr>
          <w:rFonts w:hint="eastAsia"/>
          <w:color w:val="auto"/>
          <w:highlight w:val="none"/>
        </w:rPr>
        <w:t>万元，本级财政资金</w:t>
      </w:r>
      <w:r>
        <w:rPr>
          <w:rFonts w:hint="eastAsia"/>
          <w:color w:val="auto"/>
          <w:highlight w:val="none"/>
          <w:lang w:val="en-US" w:eastAsia="zh-CN"/>
        </w:rPr>
        <w:t>78.8</w:t>
      </w:r>
      <w:r>
        <w:rPr>
          <w:rFonts w:hint="eastAsia"/>
          <w:color w:val="auto"/>
          <w:highlight w:val="none"/>
        </w:rPr>
        <w:t>万元。</w:t>
      </w:r>
    </w:p>
    <w:p>
      <w:pPr>
        <w:pStyle w:val="5"/>
        <w:ind w:firstLine="602"/>
        <w:rPr>
          <w:color w:val="auto"/>
          <w:highlight w:val="none"/>
        </w:rPr>
      </w:pPr>
      <w:r>
        <w:rPr>
          <w:rFonts w:hint="eastAsia"/>
          <w:color w:val="auto"/>
          <w:highlight w:val="none"/>
        </w:rPr>
        <w:t>2.政策、项目支出管理情况</w:t>
      </w:r>
    </w:p>
    <w:p>
      <w:pPr>
        <w:ind w:firstLine="843" w:firstLineChars="300"/>
        <w:rPr>
          <w:rFonts w:hint="eastAsia"/>
          <w:color w:val="auto"/>
          <w:highlight w:val="none"/>
        </w:rPr>
      </w:pPr>
      <w:r>
        <w:rPr>
          <w:rFonts w:hint="eastAsia"/>
          <w:b/>
          <w:bCs/>
          <w:color w:val="auto"/>
          <w:highlight w:val="none"/>
        </w:rPr>
        <w:t>（1）资金管理情况。</w:t>
      </w:r>
      <w:r>
        <w:rPr>
          <w:rFonts w:hint="eastAsia"/>
          <w:color w:val="auto"/>
          <w:highlight w:val="none"/>
        </w:rPr>
        <w:t>我单位项目资金全部按财政国库集中支付制度要求使用和拨付，通过财政直接支付方式拨给项目实施单位。在拨付过程中严把监督审核关，建立健全内部审批制度，财务做好项目</w:t>
      </w:r>
      <w:r>
        <w:rPr>
          <w:rFonts w:hint="eastAsia"/>
          <w:color w:val="auto"/>
          <w:highlight w:val="none"/>
          <w:lang w:eastAsia="zh-CN"/>
        </w:rPr>
        <w:t>专账</w:t>
      </w:r>
      <w:r>
        <w:rPr>
          <w:rFonts w:hint="eastAsia"/>
          <w:color w:val="auto"/>
          <w:highlight w:val="none"/>
        </w:rPr>
        <w:t>，严格实行专款专用，保证资金及时足额用到项目中。</w:t>
      </w:r>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560" w:firstLineChars="200"/>
        <w:rPr>
          <w:rFonts w:hint="eastAsia" w:ascii="Times New Roman" w:hAnsi="Times New Roman" w:cs="Times New Roman"/>
          <w:bCs/>
          <w:color w:val="auto"/>
          <w:highlight w:val="none"/>
        </w:rPr>
      </w:pPr>
      <w:r>
        <w:rPr>
          <w:rFonts w:hint="eastAsia"/>
          <w:color w:val="auto"/>
          <w:highlight w:val="none"/>
        </w:rPr>
        <w:t>2023年上级财政下达我单位专项资金</w:t>
      </w:r>
      <w:r>
        <w:rPr>
          <w:rFonts w:hint="eastAsia"/>
          <w:color w:val="auto"/>
          <w:highlight w:val="none"/>
          <w:lang w:val="en-US" w:eastAsia="zh-CN"/>
        </w:rPr>
        <w:t>3749.03</w:t>
      </w:r>
      <w:r>
        <w:rPr>
          <w:rFonts w:hint="eastAsia"/>
          <w:color w:val="auto"/>
          <w:highlight w:val="none"/>
        </w:rPr>
        <w:t>万元，其中</w:t>
      </w:r>
      <w:r>
        <w:rPr>
          <w:rFonts w:hint="eastAsia"/>
          <w:color w:val="auto"/>
          <w:highlight w:val="none"/>
          <w:lang w:eastAsia="zh-CN"/>
        </w:rPr>
        <w:t>：人大办公经费</w:t>
      </w:r>
      <w:r>
        <w:rPr>
          <w:rFonts w:hint="eastAsia"/>
          <w:color w:val="auto"/>
          <w:highlight w:val="none"/>
          <w:lang w:val="en-US" w:eastAsia="zh-CN"/>
        </w:rPr>
        <w:t>0.6834万元，</w:t>
      </w:r>
      <w:r>
        <w:rPr>
          <w:rFonts w:hint="eastAsia" w:ascii="Times New Roman" w:hAnsi="Times New Roman" w:cs="Times New Roman"/>
          <w:bCs/>
          <w:color w:val="auto"/>
          <w:highlight w:val="none"/>
        </w:rPr>
        <w:t>纪检监察事务经费</w:t>
      </w:r>
      <w:r>
        <w:rPr>
          <w:rFonts w:hint="eastAsia" w:ascii="Times New Roman" w:hAnsi="Times New Roman" w:cs="Times New Roman"/>
          <w:bCs/>
          <w:color w:val="auto"/>
          <w:highlight w:val="none"/>
          <w:lang w:val="en-US" w:eastAsia="zh-CN"/>
        </w:rPr>
        <w:t>1.5万</w:t>
      </w:r>
      <w:r>
        <w:rPr>
          <w:rFonts w:hint="eastAsia" w:ascii="Times New Roman" w:hAnsi="Times New Roman" w:cs="Times New Roman"/>
          <w:bCs/>
          <w:color w:val="auto"/>
          <w:highlight w:val="none"/>
        </w:rPr>
        <w:t>元</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rPr>
        <w:t>文化站免费开放经费</w:t>
      </w:r>
      <w:r>
        <w:rPr>
          <w:rFonts w:hint="eastAsia" w:ascii="Times New Roman" w:hAnsi="Times New Roman" w:cs="Times New Roman"/>
          <w:bCs/>
          <w:color w:val="auto"/>
          <w:highlight w:val="none"/>
          <w:lang w:val="en-US" w:eastAsia="zh-CN"/>
        </w:rPr>
        <w:t>0.432万</w:t>
      </w:r>
      <w:r>
        <w:rPr>
          <w:rFonts w:hint="eastAsia" w:ascii="Times New Roman" w:hAnsi="Times New Roman" w:cs="Times New Roman"/>
          <w:bCs/>
          <w:color w:val="auto"/>
          <w:highlight w:val="none"/>
        </w:rPr>
        <w:t>元</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lang w:val="en-US" w:eastAsia="zh-CN"/>
        </w:rPr>
        <w:t>就业补助资金4万</w:t>
      </w:r>
      <w:r>
        <w:rPr>
          <w:rFonts w:hint="eastAsia" w:ascii="Times New Roman" w:hAnsi="Times New Roman" w:cs="Times New Roman"/>
          <w:bCs/>
          <w:color w:val="auto"/>
          <w:highlight w:val="none"/>
        </w:rPr>
        <w:t>元，哈尔莫敦镇村级阵地标准化建设项目工程款</w:t>
      </w:r>
      <w:r>
        <w:rPr>
          <w:rFonts w:hint="eastAsia" w:ascii="Times New Roman" w:hAnsi="Times New Roman" w:cs="Times New Roman"/>
          <w:bCs/>
          <w:color w:val="auto"/>
          <w:highlight w:val="none"/>
          <w:lang w:val="en-US" w:eastAsia="zh-CN"/>
        </w:rPr>
        <w:t>165.52万</w:t>
      </w:r>
      <w:r>
        <w:rPr>
          <w:rFonts w:hint="eastAsia" w:ascii="Times New Roman" w:hAnsi="Times New Roman" w:cs="Times New Roman"/>
          <w:bCs/>
          <w:color w:val="auto"/>
          <w:highlight w:val="none"/>
        </w:rPr>
        <w:t>元</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rPr>
        <w:t>水库移民补助</w:t>
      </w:r>
      <w:r>
        <w:rPr>
          <w:rFonts w:hint="eastAsia" w:ascii="Times New Roman" w:hAnsi="Times New Roman" w:cs="Times New Roman"/>
          <w:bCs/>
          <w:color w:val="auto"/>
          <w:highlight w:val="none"/>
          <w:lang w:val="en-US" w:eastAsia="zh-CN"/>
        </w:rPr>
        <w:t>62万元</w:t>
      </w:r>
      <w:r>
        <w:rPr>
          <w:rFonts w:hint="eastAsia" w:ascii="Times New Roman" w:hAnsi="Times New Roman" w:cs="Times New Roman"/>
          <w:bCs/>
          <w:color w:val="auto"/>
          <w:highlight w:val="none"/>
          <w:lang w:eastAsia="zh-CN"/>
        </w:rPr>
        <w:t>，哈尔莫敦村牲畜养殖项目</w:t>
      </w:r>
      <w:r>
        <w:rPr>
          <w:rFonts w:hint="eastAsia" w:ascii="Times New Roman" w:hAnsi="Times New Roman" w:cs="Times New Roman"/>
          <w:bCs/>
          <w:color w:val="auto"/>
          <w:highlight w:val="none"/>
          <w:lang w:val="en-US" w:eastAsia="zh-CN"/>
        </w:rPr>
        <w:t>287万元，巴州和静县哈尔莫敦镇哈尔莫敦村2023年农村粪污一体化示范村试点项目（二期）2985.52万元，村社区运转经费及为民办实事经费99.38万元，2023年和静县哈尔莫敦镇哈尔莫敦村温室建设项目142.97万元，以上项目资金</w:t>
      </w:r>
      <w:r>
        <w:rPr>
          <w:rFonts w:hint="eastAsia"/>
          <w:color w:val="auto"/>
          <w:highlight w:val="none"/>
        </w:rPr>
        <w:t>全部按财政国库集中支</w:t>
      </w:r>
      <w:r>
        <w:rPr>
          <w:rFonts w:hint="eastAsia"/>
          <w:color w:val="auto"/>
          <w:highlight w:val="none"/>
          <w:lang w:eastAsia="zh-CN"/>
        </w:rPr>
        <w:t>付需</w:t>
      </w:r>
      <w:r>
        <w:rPr>
          <w:rFonts w:hint="eastAsia"/>
          <w:color w:val="auto"/>
          <w:highlight w:val="none"/>
        </w:rPr>
        <w:t>求使用和拨付，通过财政直接支付方式拨给项目实施单位</w:t>
      </w:r>
      <w:r>
        <w:rPr>
          <w:rFonts w:hint="eastAsia" w:ascii="Times New Roman" w:hAnsi="Times New Roman" w:cs="Times New Roman"/>
          <w:bCs/>
          <w:color w:val="auto"/>
          <w:highlight w:val="none"/>
        </w:rPr>
        <w:t>。</w:t>
      </w:r>
    </w:p>
    <w:p>
      <w:pPr>
        <w:ind w:firstLine="560"/>
        <w:rPr>
          <w:rFonts w:ascii="仿宋_GB2312" w:hAnsi="仿宋_GB2312" w:eastAsia="仿宋_GB2312" w:cs="仿宋_GB2312"/>
          <w:color w:val="auto"/>
          <w:kern w:val="1"/>
          <w:szCs w:val="28"/>
          <w:highlight w:val="none"/>
        </w:rPr>
      </w:pPr>
      <w:r>
        <w:rPr>
          <w:rFonts w:hint="eastAsia"/>
          <w:b/>
          <w:bCs/>
          <w:color w:val="auto"/>
          <w:highlight w:val="none"/>
        </w:rPr>
        <w:t>（2）</w:t>
      </w:r>
      <w:r>
        <w:rPr>
          <w:rFonts w:hint="eastAsia"/>
          <w:b/>
          <w:bCs/>
          <w:color w:val="auto"/>
          <w:highlight w:val="none"/>
          <w:lang w:val="en-US" w:eastAsia="zh-CN"/>
        </w:rPr>
        <w:t>项目实施组织管理情况。</w:t>
      </w:r>
      <w:r>
        <w:rPr>
          <w:rFonts w:hint="eastAsia"/>
          <w:color w:val="auto"/>
          <w:highlight w:val="none"/>
          <w:lang w:val="en-US" w:eastAsia="zh-CN"/>
        </w:rPr>
        <w:t>我单位项目实施和资金使用分配坚持集体决策。我镇对建设项目制定工作方案，明确时间节点，开展项目规划设计、部署工作，认真落实项目任务。工作中突出重点，高标准规划、精细设计，</w:t>
      </w:r>
      <w:r>
        <w:rPr>
          <w:rFonts w:hint="eastAsia" w:ascii="仿宋_GB2312" w:hAnsi="仿宋_GB2312" w:eastAsia="仿宋_GB2312" w:cs="仿宋_GB2312"/>
          <w:color w:val="auto"/>
          <w:kern w:val="1"/>
          <w:szCs w:val="28"/>
          <w:highlight w:val="none"/>
        </w:rPr>
        <w:t>严格遵守《会计法</w:t>
      </w:r>
      <w:r>
        <w:rPr>
          <w:rFonts w:hint="eastAsia" w:eastAsia="仿宋_GB2312" w:cs="仿宋_GB2312"/>
          <w:color w:val="auto"/>
          <w:kern w:val="1"/>
          <w:szCs w:val="28"/>
          <w:highlight w:val="none"/>
          <w:lang w:eastAsia="zh-CN"/>
        </w:rPr>
        <w:t>》《</w:t>
      </w:r>
      <w:r>
        <w:rPr>
          <w:rFonts w:hint="eastAsia" w:ascii="仿宋_GB2312" w:hAnsi="仿宋_GB2312" w:eastAsia="仿宋_GB2312" w:cs="仿宋_GB2312"/>
          <w:color w:val="auto"/>
          <w:kern w:val="1"/>
          <w:szCs w:val="28"/>
          <w:highlight w:val="none"/>
        </w:rPr>
        <w:t>预算法</w:t>
      </w:r>
      <w:r>
        <w:rPr>
          <w:rFonts w:hint="eastAsia" w:eastAsia="仿宋_GB2312" w:cs="仿宋_GB2312"/>
          <w:color w:val="auto"/>
          <w:kern w:val="1"/>
          <w:szCs w:val="28"/>
          <w:highlight w:val="none"/>
          <w:lang w:eastAsia="zh-CN"/>
        </w:rPr>
        <w:t>》《</w:t>
      </w:r>
      <w:r>
        <w:rPr>
          <w:rFonts w:hint="eastAsia" w:ascii="仿宋_GB2312" w:hAnsi="仿宋_GB2312" w:eastAsia="仿宋_GB2312" w:cs="仿宋_GB2312"/>
          <w:color w:val="auto"/>
          <w:kern w:val="1"/>
          <w:szCs w:val="28"/>
          <w:highlight w:val="none"/>
        </w:rPr>
        <w:t xml:space="preserve">行政单位财务规则》等法律和有关财政财务规章，规范财政资金管理，量入为出，统筹兼顾，突出重点，讲究实效，防范风险，合理使用各项资金，确保了我单位预算管理的成效，全年预算支出整体受控。 </w:t>
      </w:r>
    </w:p>
    <w:p>
      <w:pPr>
        <w:ind w:firstLine="560"/>
        <w:rPr>
          <w:rFonts w:hint="eastAsia" w:ascii="仿宋_GB2312" w:hAnsi="仿宋_GB2312" w:eastAsia="仿宋_GB2312" w:cs="仿宋_GB2312"/>
          <w:color w:val="auto"/>
          <w:kern w:val="1"/>
          <w:szCs w:val="28"/>
          <w:highlight w:val="none"/>
        </w:rPr>
      </w:pPr>
      <w:r>
        <w:rPr>
          <w:rFonts w:hint="eastAsia" w:ascii="仿宋_GB2312" w:hAnsi="仿宋_GB2312" w:eastAsia="仿宋_GB2312" w:cs="仿宋_GB2312"/>
          <w:color w:val="auto"/>
          <w:kern w:val="1"/>
          <w:szCs w:val="28"/>
          <w:highlight w:val="none"/>
          <w:rtl w:val="0"/>
          <w:lang w:val="en-US" w:eastAsia="zh-CN"/>
        </w:rPr>
        <w:t>哈尔莫敦镇哈尔莫敦村2023年农村粪污一体化示范村试点项目（</w:t>
      </w:r>
      <w:r>
        <w:rPr>
          <w:rFonts w:hint="eastAsia" w:eastAsia="仿宋_GB2312" w:cs="仿宋_GB2312"/>
          <w:color w:val="auto"/>
          <w:kern w:val="1"/>
          <w:szCs w:val="28"/>
          <w:highlight w:val="none"/>
          <w:rtl w:val="0"/>
          <w:lang w:val="en-US" w:eastAsia="zh-CN"/>
        </w:rPr>
        <w:t>一</w:t>
      </w:r>
      <w:r>
        <w:rPr>
          <w:rFonts w:hint="eastAsia" w:ascii="仿宋_GB2312" w:hAnsi="仿宋_GB2312" w:eastAsia="仿宋_GB2312" w:cs="仿宋_GB2312"/>
          <w:color w:val="auto"/>
          <w:kern w:val="1"/>
          <w:szCs w:val="28"/>
          <w:highlight w:val="none"/>
          <w:rtl w:val="0"/>
          <w:lang w:val="en-US" w:eastAsia="zh-CN"/>
        </w:rPr>
        <w:t>期）（二期）</w:t>
      </w:r>
      <w:r>
        <w:rPr>
          <w:rFonts w:hint="eastAsia" w:eastAsia="仿宋_GB2312" w:cs="仿宋_GB2312"/>
          <w:color w:val="auto"/>
          <w:kern w:val="1"/>
          <w:szCs w:val="28"/>
          <w:highlight w:val="none"/>
          <w:rtl w:val="0"/>
          <w:lang w:val="en-US" w:eastAsia="zh-CN"/>
        </w:rPr>
        <w:t>项目</w:t>
      </w:r>
      <w:r>
        <w:rPr>
          <w:rFonts w:hint="eastAsia" w:ascii="仿宋_GB2312" w:hAnsi="仿宋_GB2312" w:eastAsia="仿宋_GB2312" w:cs="仿宋_GB2312"/>
          <w:color w:val="auto"/>
          <w:kern w:val="1"/>
          <w:szCs w:val="28"/>
          <w:highlight w:val="none"/>
          <w:rtl w:val="0"/>
          <w:lang w:val="zh-CN" w:eastAsia="zh-CN"/>
        </w:rPr>
        <w:t>实施，强化监督管理责任，</w:t>
      </w:r>
      <w:r>
        <w:rPr>
          <w:rFonts w:hint="eastAsia" w:ascii="仿宋_GB2312" w:hAnsi="仿宋_GB2312" w:eastAsia="仿宋_GB2312" w:cs="仿宋_GB2312"/>
          <w:color w:val="auto"/>
          <w:kern w:val="1"/>
          <w:szCs w:val="28"/>
          <w:highlight w:val="none"/>
          <w:rtl w:val="0"/>
          <w:lang w:val="en-US" w:eastAsia="zh-CN"/>
        </w:rPr>
        <w:t>成立项目领导小组，组长全面负责项目的领导、协调、实施、督促、指导等工作，副组长负责现场监督管理，把好质量安全关，及时处理需要项目现场解决的突发问题，办公室主任负责监督、检查、资金审批及管理、组织开展项目验收、项目档案的归档等工作，明确了项目领导小组各成员的职责，制定了实施方案，建立健全了衔接资金项目资金管理、资产公开公示、定期巡查、绩效考核、结果反馈等检查机制并严格实施。通过加强与县财政局、县乡村振兴局、县农业农村局等部门联系，确保项目按计划进度有序推进，通过定期监督检查及联合验收确保项目的实施质量，按进度及时完成项目资金支付工作，确保项目完成预期目标，有效发挥项目效益</w:t>
      </w:r>
      <w:r>
        <w:rPr>
          <w:rFonts w:hint="eastAsia" w:eastAsia="仿宋_GB2312" w:cs="仿宋_GB2312"/>
          <w:color w:val="auto"/>
          <w:kern w:val="1"/>
          <w:szCs w:val="28"/>
          <w:highlight w:val="none"/>
          <w:rtl w:val="0"/>
          <w:lang w:val="en-US" w:eastAsia="zh-CN"/>
        </w:rPr>
        <w:t>，此</w:t>
      </w:r>
      <w:r>
        <w:rPr>
          <w:rFonts w:hint="eastAsia" w:ascii="仿宋_GB2312" w:hAnsi="仿宋_GB2312" w:eastAsia="仿宋_GB2312" w:cs="仿宋_GB2312"/>
          <w:color w:val="auto"/>
          <w:kern w:val="1"/>
          <w:szCs w:val="28"/>
          <w:highlight w:val="none"/>
          <w:rtl w:val="0"/>
          <w:lang w:val="en-US" w:eastAsia="zh-CN"/>
        </w:rPr>
        <w:t>项目完成污水管网铺设23.146公里，修建污水收集池100立方米，于2023年</w:t>
      </w:r>
      <w:r>
        <w:rPr>
          <w:rFonts w:hint="eastAsia" w:ascii="仿宋_GB2312" w:hAnsi="仿宋_GB2312" w:eastAsia="仿宋_GB2312" w:cs="仿宋_GB2312"/>
          <w:color w:val="auto"/>
          <w:kern w:val="1"/>
          <w:szCs w:val="28"/>
          <w:highlight w:val="none"/>
          <w:lang w:val="en-US" w:eastAsia="zh-CN"/>
        </w:rPr>
        <w:t>3</w:t>
      </w:r>
      <w:r>
        <w:rPr>
          <w:rFonts w:hint="eastAsia" w:ascii="仿宋_GB2312" w:hAnsi="仿宋_GB2312" w:eastAsia="仿宋_GB2312" w:cs="仿宋_GB2312"/>
          <w:color w:val="auto"/>
          <w:kern w:val="1"/>
          <w:szCs w:val="28"/>
          <w:highlight w:val="none"/>
          <w:rtl w:val="0"/>
          <w:lang w:val="en-US" w:eastAsia="zh-CN"/>
        </w:rPr>
        <w:t>月</w:t>
      </w:r>
      <w:r>
        <w:rPr>
          <w:rFonts w:hint="eastAsia" w:ascii="仿宋_GB2312" w:hAnsi="仿宋_GB2312" w:eastAsia="仿宋_GB2312" w:cs="仿宋_GB2312"/>
          <w:color w:val="auto"/>
          <w:kern w:val="1"/>
          <w:szCs w:val="28"/>
          <w:highlight w:val="none"/>
          <w:lang w:val="en-US" w:eastAsia="zh-CN"/>
        </w:rPr>
        <w:t>14</w:t>
      </w:r>
      <w:r>
        <w:rPr>
          <w:rFonts w:hint="eastAsia" w:ascii="仿宋_GB2312" w:hAnsi="仿宋_GB2312" w:eastAsia="仿宋_GB2312" w:cs="仿宋_GB2312"/>
          <w:color w:val="auto"/>
          <w:kern w:val="1"/>
          <w:szCs w:val="28"/>
          <w:highlight w:val="none"/>
          <w:rtl w:val="0"/>
          <w:lang w:val="en-US" w:eastAsia="zh-CN"/>
        </w:rPr>
        <w:t>日按照《中华人民共和国招标投标法》《招标投标法实施条例》等要求，编制了招标文件进行公开招标。该项目严格按照政府采购程序，确定新疆</w:t>
      </w:r>
      <w:r>
        <w:rPr>
          <w:rFonts w:hint="eastAsia" w:eastAsia="仿宋_GB2312" w:cs="仿宋_GB2312"/>
          <w:color w:val="auto"/>
          <w:kern w:val="1"/>
          <w:szCs w:val="28"/>
          <w:highlight w:val="none"/>
          <w:rtl w:val="0"/>
          <w:lang w:val="en-US" w:eastAsia="zh-CN"/>
        </w:rPr>
        <w:t>九州</w:t>
      </w:r>
      <w:r>
        <w:rPr>
          <w:rFonts w:hint="eastAsia" w:ascii="仿宋_GB2312" w:hAnsi="仿宋_GB2312" w:eastAsia="仿宋_GB2312" w:cs="仿宋_GB2312"/>
          <w:color w:val="auto"/>
          <w:kern w:val="1"/>
          <w:szCs w:val="28"/>
          <w:highlight w:val="none"/>
          <w:rtl w:val="0"/>
          <w:lang w:val="en-US" w:eastAsia="zh-CN"/>
        </w:rPr>
        <w:t>建设集团有限公司为中标单位，中标价为1119.656244万元，双方于2023年4月12日签订建筑工程总承包合同；确定新疆卓越工程项目管理有限公司为监理单位，中标价为20.8万元，双方于2023年4月13日签订监理合同；确定新疆有色冶金设计研究院有限公司库尔勒分公司为设计单位，中标价为18.75万元，双方于2023年4月19日签订设计合同；确定新疆恒信德工程项目管理有限公司为造价咨询单位，中标价为5.99万元，双方于2023年4月21日签订造价咨询合同；确定新疆予正水利工程有限公司为水保编制单位，中标价为4万元，双方于2023年4月19日签订水保编制合同；确定乌鲁木齐北斗星辰地矿工程技术有限公司为测绘单位，中标价为3万元，双方于2023年4月19日签订测绘合同；确定新疆长江岩土工程勘察设计研究院有限公司为勘察单位，中标价为12万元，双方于2023年4月19日签订测绘合同。该项目于2023年3月14日</w:t>
      </w:r>
      <w:r>
        <w:rPr>
          <w:rFonts w:hint="eastAsia" w:eastAsia="仿宋_GB2312" w:cs="仿宋_GB2312"/>
          <w:color w:val="auto"/>
          <w:kern w:val="1"/>
          <w:szCs w:val="28"/>
          <w:highlight w:val="none"/>
          <w:rtl w:val="0"/>
          <w:lang w:val="en-US" w:eastAsia="zh-CN"/>
        </w:rPr>
        <w:t>开始</w:t>
      </w:r>
      <w:r>
        <w:rPr>
          <w:rFonts w:hint="eastAsia" w:ascii="仿宋_GB2312" w:hAnsi="仿宋_GB2312" w:eastAsia="仿宋_GB2312" w:cs="仿宋_GB2312"/>
          <w:color w:val="auto"/>
          <w:kern w:val="1"/>
          <w:szCs w:val="28"/>
          <w:highlight w:val="none"/>
          <w:rtl w:val="0"/>
          <w:lang w:val="en-US" w:eastAsia="zh-CN"/>
        </w:rPr>
        <w:t>，于2023年9月12日完成县级联合验收，资金支付率达到100%，并对该项目制定该项目后期管护制度。通过本项目的实施，能够有效整治乡村环境，保护农田、水源，推动改厕革命进程，450户农户受益（包括66户165人脱贫户及三类户）全部受益。</w:t>
      </w:r>
    </w:p>
    <w:p>
      <w:pPr>
        <w:pStyle w:val="5"/>
        <w:ind w:firstLine="602"/>
        <w:rPr>
          <w:color w:val="auto"/>
          <w:highlight w:val="none"/>
        </w:rPr>
      </w:pPr>
      <w:r>
        <w:rPr>
          <w:rFonts w:hint="eastAsia"/>
          <w:color w:val="auto"/>
          <w:highlight w:val="none"/>
        </w:rPr>
        <w:t>3.政策、项目支出总体实际使用情况</w:t>
      </w:r>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840" w:firstLineChars="300"/>
        <w:rPr>
          <w:rFonts w:hint="eastAsia"/>
          <w:color w:val="auto"/>
          <w:highlight w:val="none"/>
        </w:rPr>
      </w:pPr>
      <w:r>
        <w:rPr>
          <w:rFonts w:hint="eastAsia"/>
          <w:color w:val="auto"/>
          <w:highlight w:val="none"/>
        </w:rPr>
        <w:t>我单位2023年度安排项目支出资金</w:t>
      </w:r>
      <w:r>
        <w:rPr>
          <w:rFonts w:hint="eastAsia"/>
          <w:color w:val="auto"/>
          <w:highlight w:val="none"/>
          <w:lang w:val="en-US" w:eastAsia="zh-CN"/>
        </w:rPr>
        <w:t>3749.03</w:t>
      </w:r>
      <w:r>
        <w:rPr>
          <w:rFonts w:hint="eastAsia"/>
          <w:color w:val="auto"/>
          <w:highlight w:val="none"/>
        </w:rPr>
        <w:t>万元，实际支出</w:t>
      </w:r>
      <w:r>
        <w:rPr>
          <w:rFonts w:hint="eastAsia"/>
          <w:color w:val="auto"/>
          <w:highlight w:val="none"/>
          <w:lang w:val="en-US" w:eastAsia="zh-CN"/>
        </w:rPr>
        <w:t>3749.03</w:t>
      </w:r>
      <w:r>
        <w:rPr>
          <w:rFonts w:hint="eastAsia"/>
          <w:color w:val="auto"/>
          <w:highlight w:val="none"/>
        </w:rPr>
        <w:t>万元</w:t>
      </w:r>
      <w:r>
        <w:rPr>
          <w:rFonts w:hint="eastAsia"/>
          <w:color w:val="auto"/>
          <w:highlight w:val="none"/>
          <w:lang w:eastAsia="zh-CN"/>
        </w:rPr>
        <w:t>，</w:t>
      </w:r>
      <w:r>
        <w:rPr>
          <w:rFonts w:hint="eastAsia"/>
          <w:color w:val="auto"/>
          <w:highlight w:val="none"/>
        </w:rPr>
        <w:t>其中：上级专项资金支出</w:t>
      </w:r>
      <w:r>
        <w:rPr>
          <w:rFonts w:hint="eastAsia"/>
          <w:color w:val="auto"/>
          <w:highlight w:val="none"/>
          <w:lang w:val="en-US" w:eastAsia="zh-CN"/>
        </w:rPr>
        <w:t>3670.23</w:t>
      </w:r>
      <w:r>
        <w:rPr>
          <w:rFonts w:hint="eastAsia"/>
          <w:color w:val="auto"/>
          <w:highlight w:val="none"/>
        </w:rPr>
        <w:t>万元，本级财政安排项目资金支出</w:t>
      </w:r>
      <w:r>
        <w:rPr>
          <w:rFonts w:hint="eastAsia"/>
          <w:color w:val="auto"/>
          <w:highlight w:val="none"/>
          <w:lang w:val="en-US" w:eastAsia="zh-CN"/>
        </w:rPr>
        <w:t>78.8</w:t>
      </w:r>
      <w:r>
        <w:rPr>
          <w:rFonts w:hint="eastAsia"/>
          <w:color w:val="auto"/>
          <w:highlight w:val="none"/>
        </w:rPr>
        <w:t>万元，项目预算资金执行率100%。</w:t>
      </w:r>
      <w:bookmarkStart w:id="2" w:name="_Toc1734_WPSOffice_Level1"/>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560" w:firstLineChars="200"/>
        <w:rPr>
          <w:rFonts w:hint="eastAsia" w:ascii="Times New Roman" w:hAnsi="Times New Roman" w:cs="Times New Roman"/>
          <w:bCs/>
          <w:color w:val="auto"/>
          <w:highlight w:val="none"/>
        </w:rPr>
      </w:pPr>
      <w:r>
        <w:rPr>
          <w:rFonts w:hint="eastAsia"/>
          <w:color w:val="auto"/>
          <w:highlight w:val="none"/>
        </w:rPr>
        <w:t>我单位2023年度支出主要内容</w:t>
      </w:r>
      <w:r>
        <w:rPr>
          <w:rFonts w:hint="eastAsia"/>
          <w:color w:val="auto"/>
          <w:highlight w:val="none"/>
          <w:lang w:eastAsia="zh-CN"/>
        </w:rPr>
        <w:t>（</w:t>
      </w:r>
      <w:r>
        <w:rPr>
          <w:rFonts w:hint="eastAsia"/>
          <w:color w:val="auto"/>
          <w:highlight w:val="none"/>
        </w:rPr>
        <w:t>按功能分类</w:t>
      </w:r>
      <w:r>
        <w:rPr>
          <w:rFonts w:hint="eastAsia"/>
          <w:color w:val="auto"/>
          <w:highlight w:val="none"/>
          <w:lang w:eastAsia="zh-CN"/>
        </w:rPr>
        <w:t>）：</w:t>
      </w:r>
      <w:r>
        <w:rPr>
          <w:rFonts w:hint="eastAsia"/>
          <w:color w:val="auto"/>
          <w:highlight w:val="none"/>
        </w:rPr>
        <w:t>包括</w:t>
      </w:r>
      <w:bookmarkEnd w:id="2"/>
      <w:bookmarkStart w:id="3" w:name="_Toc13582_WPSOffice_Level1"/>
      <w:r>
        <w:rPr>
          <w:rFonts w:hint="eastAsia" w:ascii="Times New Roman" w:hAnsi="Times New Roman" w:cs="Times New Roman"/>
          <w:bCs/>
          <w:color w:val="auto"/>
          <w:highlight w:val="none"/>
          <w:lang w:val="en-US" w:eastAsia="zh-CN"/>
        </w:rPr>
        <w:t>201一般公共服务支出2.1831万元、</w:t>
      </w:r>
      <w:r>
        <w:rPr>
          <w:rFonts w:hint="eastAsia" w:ascii="Times New Roman" w:hAnsi="Times New Roman" w:cs="Times New Roman"/>
          <w:bCs/>
          <w:color w:val="auto"/>
          <w:highlight w:val="none"/>
        </w:rPr>
        <w:t>2</w:t>
      </w:r>
      <w:r>
        <w:rPr>
          <w:rFonts w:hint="eastAsia" w:ascii="Times New Roman" w:hAnsi="Times New Roman" w:cs="Times New Roman"/>
          <w:bCs/>
          <w:color w:val="auto"/>
          <w:highlight w:val="none"/>
          <w:lang w:val="en-US" w:eastAsia="zh-CN"/>
        </w:rPr>
        <w:t>07</w:t>
      </w:r>
      <w:r>
        <w:rPr>
          <w:rFonts w:hint="eastAsia" w:ascii="Times New Roman" w:hAnsi="Times New Roman" w:cs="Times New Roman"/>
          <w:bCs/>
          <w:color w:val="auto"/>
          <w:highlight w:val="none"/>
        </w:rPr>
        <w:t>文化旅游体育与传媒支出</w:t>
      </w:r>
      <w:r>
        <w:rPr>
          <w:rFonts w:hint="eastAsia" w:ascii="Times New Roman" w:hAnsi="Times New Roman" w:cs="Times New Roman"/>
          <w:bCs/>
          <w:color w:val="auto"/>
          <w:highlight w:val="none"/>
          <w:lang w:val="en-US" w:eastAsia="zh-CN"/>
        </w:rPr>
        <w:t>0.432万</w:t>
      </w:r>
      <w:r>
        <w:rPr>
          <w:rFonts w:hint="eastAsia" w:ascii="Times New Roman" w:hAnsi="Times New Roman" w:cs="Times New Roman"/>
          <w:bCs/>
          <w:color w:val="auto"/>
          <w:highlight w:val="none"/>
        </w:rPr>
        <w:t>元</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rPr>
        <w:t>2</w:t>
      </w:r>
      <w:r>
        <w:rPr>
          <w:rFonts w:hint="eastAsia" w:ascii="Times New Roman" w:hAnsi="Times New Roman" w:cs="Times New Roman"/>
          <w:bCs/>
          <w:color w:val="auto"/>
          <w:highlight w:val="none"/>
          <w:lang w:val="en-US" w:eastAsia="zh-CN"/>
        </w:rPr>
        <w:t>08社会保障和就业支出4万</w:t>
      </w:r>
      <w:r>
        <w:rPr>
          <w:rFonts w:hint="eastAsia" w:ascii="Times New Roman" w:hAnsi="Times New Roman" w:cs="Times New Roman"/>
          <w:bCs/>
          <w:color w:val="auto"/>
          <w:highlight w:val="none"/>
        </w:rPr>
        <w:t>元</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lang w:val="en-US" w:eastAsia="zh-CN"/>
        </w:rPr>
        <w:t>21农林水支出3599.43万</w:t>
      </w:r>
      <w:r>
        <w:rPr>
          <w:rFonts w:hint="eastAsia" w:ascii="Times New Roman" w:hAnsi="Times New Roman" w:cs="Times New Roman"/>
          <w:bCs/>
          <w:color w:val="auto"/>
          <w:highlight w:val="none"/>
        </w:rPr>
        <w:t>元</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lang w:val="en-US" w:eastAsia="zh-CN"/>
        </w:rPr>
        <w:t>229其他支出142.97万</w:t>
      </w:r>
      <w:r>
        <w:rPr>
          <w:rFonts w:hint="eastAsia" w:ascii="Times New Roman" w:hAnsi="Times New Roman" w:cs="Times New Roman"/>
          <w:bCs/>
          <w:color w:val="auto"/>
          <w:highlight w:val="none"/>
        </w:rPr>
        <w:t>元。</w:t>
      </w:r>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562" w:firstLineChars="200"/>
        <w:rPr>
          <w:rFonts w:hint="eastAsia" w:ascii="宋体" w:hAnsi="宋体"/>
          <w:b/>
          <w:bCs/>
          <w:color w:val="auto"/>
          <w:highlight w:val="none"/>
        </w:rPr>
      </w:pPr>
      <w:r>
        <w:rPr>
          <w:rFonts w:hint="eastAsia" w:ascii="宋体" w:hAnsi="宋体"/>
          <w:b/>
          <w:bCs/>
          <w:color w:val="auto"/>
          <w:highlight w:val="none"/>
          <w:lang w:eastAsia="zh-CN"/>
        </w:rPr>
        <w:t>三、</w:t>
      </w:r>
      <w:r>
        <w:rPr>
          <w:rFonts w:hint="eastAsia" w:ascii="宋体" w:hAnsi="宋体"/>
          <w:b/>
          <w:bCs/>
          <w:color w:val="auto"/>
          <w:highlight w:val="none"/>
        </w:rPr>
        <w:t>部门单位整体支出绩效</w:t>
      </w:r>
      <w:bookmarkEnd w:id="3"/>
      <w:r>
        <w:rPr>
          <w:rFonts w:hint="eastAsia" w:ascii="宋体" w:hAnsi="宋体"/>
          <w:b/>
          <w:bCs/>
          <w:color w:val="auto"/>
          <w:highlight w:val="none"/>
        </w:rPr>
        <w:t>分析</w:t>
      </w:r>
    </w:p>
    <w:p>
      <w:pPr>
        <w:numPr>
          <w:ilvl w:val="0"/>
          <w:numId w:val="0"/>
        </w:numPr>
        <w:pBdr>
          <w:top w:val="none" w:color="000000" w:sz="0" w:space="0"/>
          <w:left w:val="none" w:color="000000" w:sz="0" w:space="0"/>
          <w:bottom w:val="none" w:color="000000" w:sz="0" w:space="31"/>
          <w:right w:val="none" w:color="000000" w:sz="0" w:space="11"/>
        </w:pBdr>
        <w:tabs>
          <w:tab w:val="left" w:pos="2410"/>
        </w:tabs>
        <w:autoSpaceDN w:val="0"/>
        <w:ind w:firstLine="560" w:firstLineChars="200"/>
        <w:rPr>
          <w:rFonts w:hint="eastAsia"/>
          <w:color w:val="auto"/>
          <w:highlight w:val="none"/>
        </w:rPr>
      </w:pPr>
      <w:r>
        <w:rPr>
          <w:rFonts w:hint="eastAsia"/>
          <w:color w:val="auto"/>
          <w:highlight w:val="none"/>
        </w:rPr>
        <w:t>我单位2023年度部门整体支出绩效目标，共设置一级指标5个，二级指标</w:t>
      </w:r>
      <w:r>
        <w:rPr>
          <w:rFonts w:hint="eastAsia"/>
          <w:color w:val="auto"/>
          <w:highlight w:val="none"/>
          <w:lang w:val="en-US" w:eastAsia="zh-CN"/>
        </w:rPr>
        <w:t>7</w:t>
      </w:r>
      <w:r>
        <w:rPr>
          <w:rFonts w:hint="eastAsia"/>
          <w:color w:val="auto"/>
          <w:highlight w:val="none"/>
        </w:rPr>
        <w:t>个，三级指标7个，其中已完成三级指标7个，指标完成率为100%。部门整体支出绩效情况如下：</w:t>
      </w:r>
    </w:p>
    <w:p>
      <w:pPr>
        <w:pStyle w:val="4"/>
        <w:spacing w:before="156"/>
        <w:ind w:left="0" w:leftChars="0" w:firstLine="321" w:firstLineChars="100"/>
        <w:rPr>
          <w:color w:val="auto"/>
          <w:highlight w:val="none"/>
        </w:rPr>
      </w:pPr>
      <w:r>
        <w:rPr>
          <w:rFonts w:hint="eastAsia"/>
          <w:color w:val="auto"/>
          <w:highlight w:val="none"/>
        </w:rPr>
        <w:t>（一）项目支出预算执行率指标完成情况分析</w:t>
      </w:r>
    </w:p>
    <w:p>
      <w:pPr>
        <w:ind w:firstLine="560"/>
        <w:rPr>
          <w:color w:val="auto"/>
          <w:highlight w:val="none"/>
        </w:rPr>
      </w:pPr>
      <w:r>
        <w:rPr>
          <w:rFonts w:hint="eastAsia"/>
          <w:color w:val="auto"/>
          <w:highlight w:val="none"/>
        </w:rPr>
        <w:t>项目支出预算执行率指标年初设定目标是=100%，年中绩效运行监控时完成值</w:t>
      </w:r>
      <w:r>
        <w:rPr>
          <w:rFonts w:hint="eastAsia"/>
          <w:color w:val="auto"/>
          <w:highlight w:val="none"/>
          <w:lang w:val="en-US" w:eastAsia="zh-CN"/>
        </w:rPr>
        <w:t>55.07</w:t>
      </w:r>
      <w:r>
        <w:rPr>
          <w:rFonts w:hint="eastAsia"/>
          <w:color w:val="auto"/>
          <w:highlight w:val="none"/>
        </w:rPr>
        <w:t>%，年终实际完成值是100%，指标完成率是100%，</w:t>
      </w:r>
      <w:r>
        <w:rPr>
          <w:rFonts w:hint="eastAsia"/>
          <w:color w:val="auto"/>
          <w:highlight w:val="none"/>
          <w:lang w:val="en-US" w:eastAsia="zh-CN"/>
        </w:rPr>
        <w:t>达到项目资金支出专人</w:t>
      </w:r>
      <w:r>
        <w:rPr>
          <w:rFonts w:hint="eastAsia"/>
          <w:color w:val="auto"/>
          <w:highlight w:val="none"/>
          <w:lang w:val="zh-TW" w:eastAsia="zh-TW"/>
        </w:rPr>
        <w:t>负责落实责任</w:t>
      </w:r>
      <w:r>
        <w:rPr>
          <w:rFonts w:hint="eastAsia"/>
          <w:color w:val="auto"/>
          <w:highlight w:val="none"/>
          <w:lang w:val="zh-TW" w:eastAsia="zh-CN"/>
        </w:rPr>
        <w:t>，</w:t>
      </w:r>
      <w:r>
        <w:rPr>
          <w:rFonts w:hint="eastAsia"/>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w:t>
      </w:r>
      <w:r>
        <w:rPr>
          <w:rFonts w:hint="eastAsia"/>
          <w:color w:val="auto"/>
          <w:highlight w:val="none"/>
        </w:rPr>
        <w:t>。偏差原因：无偏差。</w:t>
      </w:r>
    </w:p>
    <w:p>
      <w:pPr>
        <w:pStyle w:val="4"/>
        <w:spacing w:before="156"/>
        <w:ind w:firstLine="643"/>
        <w:rPr>
          <w:color w:val="auto"/>
          <w:highlight w:val="none"/>
        </w:rPr>
      </w:pPr>
      <w:r>
        <w:rPr>
          <w:rFonts w:hint="eastAsia"/>
          <w:color w:val="auto"/>
          <w:highlight w:val="none"/>
        </w:rPr>
        <w:t>（</w:t>
      </w:r>
      <w:r>
        <w:rPr>
          <w:rFonts w:hint="eastAsia"/>
          <w:color w:val="auto"/>
          <w:highlight w:val="none"/>
          <w:lang w:val="en-US" w:eastAsia="zh-CN"/>
        </w:rPr>
        <w:t>二</w:t>
      </w:r>
      <w:r>
        <w:rPr>
          <w:rFonts w:hint="eastAsia"/>
          <w:color w:val="auto"/>
          <w:highlight w:val="none"/>
        </w:rPr>
        <w:t>）“三公经费”控制率指标完成情况分析</w:t>
      </w:r>
    </w:p>
    <w:p>
      <w:pPr>
        <w:ind w:firstLine="560"/>
        <w:rPr>
          <w:color w:val="auto"/>
          <w:highlight w:val="none"/>
        </w:rPr>
      </w:pPr>
      <w:r>
        <w:rPr>
          <w:rFonts w:hint="eastAsia"/>
          <w:color w:val="auto"/>
          <w:highlight w:val="none"/>
        </w:rPr>
        <w:t>“三公经费”控制率年初设定目标是=100%，年中绩效运行监控时完成值</w:t>
      </w:r>
      <w:r>
        <w:rPr>
          <w:rFonts w:hint="eastAsia"/>
          <w:color w:val="auto"/>
          <w:highlight w:val="none"/>
          <w:lang w:val="en-US" w:eastAsia="zh-CN"/>
        </w:rPr>
        <w:t>50</w:t>
      </w:r>
      <w:r>
        <w:rPr>
          <w:rFonts w:hint="eastAsia"/>
          <w:color w:val="auto"/>
          <w:highlight w:val="none"/>
        </w:rPr>
        <w:t>%，年终实际完成值是100%，指标完成率是100%，</w:t>
      </w:r>
      <w:r>
        <w:rPr>
          <w:rFonts w:hint="eastAsia"/>
          <w:color w:val="auto"/>
          <w:highlight w:val="none"/>
          <w:lang w:val="en-US" w:eastAsia="zh-CN"/>
        </w:rPr>
        <w:t>达到保障公车正常运转的预期目标</w:t>
      </w:r>
      <w:r>
        <w:rPr>
          <w:rFonts w:hint="eastAsia"/>
          <w:color w:val="auto"/>
          <w:highlight w:val="none"/>
        </w:rPr>
        <w:t>。偏差原因：无偏差。</w:t>
      </w:r>
    </w:p>
    <w:p>
      <w:pPr>
        <w:pStyle w:val="4"/>
        <w:numPr>
          <w:ilvl w:val="0"/>
          <w:numId w:val="0"/>
        </w:numPr>
        <w:bidi w:val="0"/>
        <w:ind w:leftChars="200"/>
        <w:rPr>
          <w:color w:val="auto"/>
          <w:highlight w:val="none"/>
        </w:rPr>
      </w:pPr>
      <w:r>
        <w:rPr>
          <w:rFonts w:hint="eastAsia"/>
          <w:color w:val="auto"/>
          <w:highlight w:val="none"/>
          <w:lang w:eastAsia="zh-CN"/>
        </w:rPr>
        <w:t>（</w:t>
      </w:r>
      <w:r>
        <w:rPr>
          <w:rFonts w:hint="eastAsia"/>
          <w:color w:val="auto"/>
          <w:highlight w:val="none"/>
          <w:lang w:val="en-US" w:eastAsia="zh-CN"/>
        </w:rPr>
        <w:t>三）项目实施及时率指标完成情况分析</w:t>
      </w:r>
    </w:p>
    <w:p>
      <w:pPr>
        <w:ind w:firstLine="560"/>
        <w:rPr>
          <w:rFonts w:hint="eastAsia"/>
          <w:color w:val="auto"/>
          <w:highlight w:val="none"/>
        </w:rPr>
      </w:pPr>
      <w:r>
        <w:rPr>
          <w:rFonts w:hint="eastAsia"/>
          <w:color w:val="auto"/>
          <w:highlight w:val="none"/>
        </w:rPr>
        <w:t>项目实施及时率年初设定目标是≥95%，年中绩效运行监控时完成值</w:t>
      </w:r>
      <w:r>
        <w:rPr>
          <w:rFonts w:hint="eastAsia"/>
          <w:color w:val="auto"/>
          <w:highlight w:val="none"/>
          <w:lang w:val="en-US" w:eastAsia="zh-CN"/>
        </w:rPr>
        <w:t>60</w:t>
      </w:r>
      <w:r>
        <w:rPr>
          <w:rFonts w:hint="eastAsia"/>
          <w:color w:val="auto"/>
          <w:highlight w:val="none"/>
        </w:rPr>
        <w:t>%，年终实际完成值是</w:t>
      </w:r>
      <w:r>
        <w:rPr>
          <w:rFonts w:hint="eastAsia"/>
          <w:color w:val="auto"/>
          <w:highlight w:val="none"/>
          <w:lang w:val="en-US" w:eastAsia="zh-CN"/>
        </w:rPr>
        <w:t>95</w:t>
      </w:r>
      <w:r>
        <w:rPr>
          <w:rFonts w:hint="eastAsia"/>
          <w:color w:val="auto"/>
          <w:highlight w:val="none"/>
        </w:rPr>
        <w:t>%，指标完成率是100%，</w:t>
      </w:r>
      <w:r>
        <w:rPr>
          <w:rFonts w:hint="eastAsia"/>
          <w:color w:val="auto"/>
          <w:highlight w:val="none"/>
          <w:lang w:val="en-US" w:eastAsia="zh-CN"/>
        </w:rPr>
        <w:t>达到项目及时实施，能按期完成的预期目标</w:t>
      </w:r>
      <w:r>
        <w:rPr>
          <w:rFonts w:hint="eastAsia"/>
          <w:color w:val="auto"/>
          <w:highlight w:val="none"/>
        </w:rPr>
        <w:t>。偏差原因：无偏差。</w:t>
      </w:r>
    </w:p>
    <w:p>
      <w:pPr>
        <w:pStyle w:val="4"/>
        <w:numPr>
          <w:ilvl w:val="0"/>
          <w:numId w:val="0"/>
        </w:numPr>
        <w:bidi w:val="0"/>
        <w:ind w:leftChars="20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四）保障职工数量指标完成</w:t>
      </w:r>
      <w:r>
        <w:rPr>
          <w:rFonts w:hint="eastAsia"/>
          <w:color w:val="auto"/>
          <w:highlight w:val="none"/>
          <w:lang w:eastAsia="zh-CN"/>
        </w:rPr>
        <w:t>情况分析</w:t>
      </w:r>
    </w:p>
    <w:p>
      <w:pPr>
        <w:ind w:firstLine="560"/>
        <w:rPr>
          <w:rFonts w:hint="eastAsia"/>
          <w:bCs/>
          <w:color w:val="auto"/>
          <w:highlight w:val="none"/>
        </w:rPr>
      </w:pPr>
      <w:r>
        <w:rPr>
          <w:rFonts w:hint="eastAsia"/>
          <w:bCs/>
          <w:color w:val="auto"/>
          <w:highlight w:val="none"/>
        </w:rPr>
        <w:t>保障职工数量年初设定目标是≥</w:t>
      </w:r>
      <w:r>
        <w:rPr>
          <w:rFonts w:hint="eastAsia"/>
          <w:bCs/>
          <w:color w:val="auto"/>
          <w:highlight w:val="none"/>
          <w:lang w:val="en-US" w:eastAsia="zh-CN"/>
        </w:rPr>
        <w:t>200</w:t>
      </w:r>
      <w:r>
        <w:rPr>
          <w:rFonts w:hint="eastAsia"/>
          <w:bCs/>
          <w:color w:val="auto"/>
          <w:highlight w:val="none"/>
        </w:rPr>
        <w:t>人，年中绩效运行监控时完成值</w:t>
      </w:r>
      <w:r>
        <w:rPr>
          <w:rFonts w:hint="eastAsia"/>
          <w:bCs/>
          <w:color w:val="auto"/>
          <w:highlight w:val="none"/>
          <w:lang w:val="en-US" w:eastAsia="zh-CN"/>
        </w:rPr>
        <w:t>200</w:t>
      </w:r>
      <w:r>
        <w:rPr>
          <w:rFonts w:hint="eastAsia"/>
          <w:bCs/>
          <w:color w:val="auto"/>
          <w:highlight w:val="none"/>
        </w:rPr>
        <w:t>人，年终实际完成值是</w:t>
      </w:r>
      <w:r>
        <w:rPr>
          <w:rFonts w:hint="eastAsia"/>
          <w:bCs/>
          <w:color w:val="auto"/>
          <w:highlight w:val="none"/>
          <w:lang w:val="en-US" w:eastAsia="zh-CN"/>
        </w:rPr>
        <w:t>200</w:t>
      </w:r>
      <w:r>
        <w:rPr>
          <w:rFonts w:hint="eastAsia"/>
          <w:bCs/>
          <w:color w:val="auto"/>
          <w:highlight w:val="none"/>
        </w:rPr>
        <w:t>人，指标完成率是100%，</w:t>
      </w:r>
      <w:r>
        <w:rPr>
          <w:rFonts w:hint="eastAsia"/>
          <w:color w:val="auto"/>
          <w:highlight w:val="none"/>
          <w:lang w:val="en-US" w:eastAsia="zh-CN"/>
        </w:rPr>
        <w:t>达到了单位在职职工工资的按时足额发放，单位的正常运转，广大干部职工工作积极性提高的预期目标</w:t>
      </w:r>
      <w:r>
        <w:rPr>
          <w:rFonts w:hint="eastAsia"/>
          <w:bCs/>
          <w:color w:val="auto"/>
          <w:highlight w:val="none"/>
        </w:rPr>
        <w:t>。偏差原因：无偏差。</w:t>
      </w:r>
    </w:p>
    <w:p>
      <w:pPr>
        <w:pStyle w:val="4"/>
        <w:numPr>
          <w:ilvl w:val="0"/>
          <w:numId w:val="0"/>
        </w:numPr>
        <w:bidi w:val="0"/>
        <w:ind w:leftChars="200"/>
        <w:rPr>
          <w:rFonts w:hint="default" w:eastAsia="仿宋"/>
          <w:color w:val="auto"/>
          <w:highlight w:val="none"/>
          <w:lang w:val="en-US" w:eastAsia="zh-CN"/>
        </w:rPr>
      </w:pPr>
      <w:r>
        <w:rPr>
          <w:rFonts w:hint="eastAsia"/>
          <w:bCs/>
          <w:color w:val="auto"/>
          <w:highlight w:val="none"/>
          <w:lang w:eastAsia="zh-CN"/>
        </w:rPr>
        <w:t>（</w:t>
      </w:r>
      <w:r>
        <w:rPr>
          <w:rFonts w:hint="eastAsia"/>
          <w:bCs/>
          <w:color w:val="auto"/>
          <w:highlight w:val="none"/>
          <w:lang w:val="en-US" w:eastAsia="zh-CN"/>
        </w:rPr>
        <w:t>五）</w:t>
      </w:r>
      <w:r>
        <w:rPr>
          <w:rFonts w:hint="eastAsia"/>
          <w:color w:val="auto"/>
          <w:highlight w:val="none"/>
          <w:lang w:val="en-US" w:eastAsia="zh-CN"/>
        </w:rPr>
        <w:t>为民办实事件事指标完成情况分析</w:t>
      </w:r>
    </w:p>
    <w:p>
      <w:pPr>
        <w:ind w:firstLine="560"/>
        <w:rPr>
          <w:bCs/>
          <w:color w:val="auto"/>
          <w:highlight w:val="none"/>
        </w:rPr>
      </w:pPr>
      <w:r>
        <w:rPr>
          <w:rFonts w:hint="eastAsia"/>
          <w:bCs/>
          <w:color w:val="auto"/>
          <w:highlight w:val="none"/>
        </w:rPr>
        <w:t>为民</w:t>
      </w:r>
      <w:r>
        <w:rPr>
          <w:rFonts w:hint="eastAsia"/>
          <w:bCs/>
          <w:color w:val="auto"/>
          <w:highlight w:val="none"/>
          <w:lang w:eastAsia="zh-CN"/>
        </w:rPr>
        <w:t>办实事</w:t>
      </w:r>
      <w:r>
        <w:rPr>
          <w:rFonts w:hint="eastAsia"/>
          <w:bCs/>
          <w:color w:val="auto"/>
          <w:highlight w:val="none"/>
        </w:rPr>
        <w:t>数量年初设定目标是≥</w:t>
      </w:r>
      <w:r>
        <w:rPr>
          <w:rFonts w:hint="eastAsia"/>
          <w:bCs/>
          <w:color w:val="auto"/>
          <w:highlight w:val="none"/>
          <w:lang w:val="en-US" w:eastAsia="zh-CN"/>
        </w:rPr>
        <w:t>11</w:t>
      </w:r>
      <w:r>
        <w:rPr>
          <w:rFonts w:hint="eastAsia"/>
          <w:bCs/>
          <w:color w:val="auto"/>
          <w:highlight w:val="none"/>
        </w:rPr>
        <w:t>件，年中绩效运行监控时完成值</w:t>
      </w:r>
      <w:r>
        <w:rPr>
          <w:rFonts w:hint="eastAsia"/>
          <w:bCs/>
          <w:color w:val="auto"/>
          <w:highlight w:val="none"/>
          <w:lang w:val="en-US" w:eastAsia="zh-CN"/>
        </w:rPr>
        <w:t>11</w:t>
      </w:r>
      <w:r>
        <w:rPr>
          <w:rFonts w:hint="eastAsia"/>
          <w:bCs/>
          <w:color w:val="auto"/>
          <w:highlight w:val="none"/>
        </w:rPr>
        <w:t>件，年终实际完成值是</w:t>
      </w:r>
      <w:r>
        <w:rPr>
          <w:rFonts w:hint="eastAsia"/>
          <w:bCs/>
          <w:color w:val="auto"/>
          <w:highlight w:val="none"/>
          <w:lang w:val="en-US" w:eastAsia="zh-CN"/>
        </w:rPr>
        <w:t>11</w:t>
      </w:r>
      <w:r>
        <w:rPr>
          <w:rFonts w:hint="eastAsia"/>
          <w:bCs/>
          <w:color w:val="auto"/>
          <w:highlight w:val="none"/>
        </w:rPr>
        <w:t>件，指标完成率是</w:t>
      </w:r>
      <w:r>
        <w:rPr>
          <w:rFonts w:hint="eastAsia"/>
          <w:bCs/>
          <w:color w:val="auto"/>
          <w:highlight w:val="none"/>
          <w:lang w:val="en-US" w:eastAsia="zh-CN"/>
        </w:rPr>
        <w:t>100</w:t>
      </w:r>
      <w:r>
        <w:rPr>
          <w:rFonts w:hint="eastAsia"/>
          <w:bCs/>
          <w:color w:val="auto"/>
          <w:highlight w:val="none"/>
        </w:rPr>
        <w:t>%，</w:t>
      </w:r>
      <w:r>
        <w:rPr>
          <w:rFonts w:hint="eastAsia"/>
          <w:b w:val="0"/>
          <w:bCs w:val="0"/>
          <w:color w:val="auto"/>
          <w:highlight w:val="none"/>
          <w:lang w:val="en-US" w:eastAsia="zh-CN"/>
        </w:rPr>
        <w:t>达到了提升村、社区党组织服务群众能力，减轻农民负担</w:t>
      </w:r>
      <w:r>
        <w:rPr>
          <w:rFonts w:hint="eastAsia"/>
          <w:color w:val="auto"/>
          <w:highlight w:val="none"/>
          <w:lang w:val="en-US" w:eastAsia="zh-CN"/>
        </w:rPr>
        <w:t>预期目标</w:t>
      </w:r>
      <w:r>
        <w:rPr>
          <w:rFonts w:hint="eastAsia"/>
          <w:bCs/>
          <w:color w:val="auto"/>
          <w:highlight w:val="none"/>
        </w:rPr>
        <w:t>。偏差原因：无偏差。</w:t>
      </w:r>
    </w:p>
    <w:p>
      <w:pPr>
        <w:numPr>
          <w:ilvl w:val="0"/>
          <w:numId w:val="0"/>
        </w:numPr>
        <w:ind w:firstLine="643" w:firstLineChars="200"/>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lang w:val="en-US" w:eastAsia="zh-CN"/>
        </w:rPr>
        <w:t>六）</w:t>
      </w:r>
      <w:r>
        <w:rPr>
          <w:rFonts w:hint="eastAsia" w:ascii="楷体_GB2312" w:hAnsi="楷体_GB2312" w:eastAsia="楷体_GB2312" w:cs="楷体_GB2312"/>
          <w:b/>
          <w:bCs/>
          <w:color w:val="auto"/>
          <w:sz w:val="32"/>
          <w:szCs w:val="32"/>
          <w:highlight w:val="none"/>
        </w:rPr>
        <w:t>农牧民夜校受益人数指标完成情况分析</w:t>
      </w:r>
    </w:p>
    <w:p>
      <w:pPr>
        <w:ind w:firstLine="560"/>
        <w:rPr>
          <w:bCs/>
          <w:color w:val="auto"/>
          <w:highlight w:val="none"/>
        </w:rPr>
      </w:pPr>
      <w:r>
        <w:rPr>
          <w:rFonts w:hint="eastAsia"/>
          <w:bCs/>
          <w:color w:val="auto"/>
          <w:highlight w:val="none"/>
        </w:rPr>
        <w:t>农牧民夜校受益人数年初设定目标是≥</w:t>
      </w:r>
      <w:r>
        <w:rPr>
          <w:rFonts w:hint="eastAsia"/>
          <w:bCs/>
          <w:color w:val="auto"/>
          <w:highlight w:val="none"/>
          <w:lang w:val="en-US" w:eastAsia="zh-CN"/>
        </w:rPr>
        <w:t>1000</w:t>
      </w:r>
      <w:r>
        <w:rPr>
          <w:rFonts w:hint="eastAsia"/>
          <w:bCs/>
          <w:color w:val="auto"/>
          <w:highlight w:val="none"/>
        </w:rPr>
        <w:t>人，年中绩效运行监控时完成值</w:t>
      </w:r>
      <w:r>
        <w:rPr>
          <w:rFonts w:hint="eastAsia"/>
          <w:bCs/>
          <w:color w:val="auto"/>
          <w:highlight w:val="none"/>
          <w:lang w:val="en-US" w:eastAsia="zh-CN"/>
        </w:rPr>
        <w:t>600</w:t>
      </w:r>
      <w:r>
        <w:rPr>
          <w:rFonts w:hint="eastAsia"/>
          <w:bCs/>
          <w:color w:val="auto"/>
          <w:highlight w:val="none"/>
        </w:rPr>
        <w:t>人，年终实际完成值是</w:t>
      </w:r>
      <w:r>
        <w:rPr>
          <w:rFonts w:hint="eastAsia"/>
          <w:bCs/>
          <w:color w:val="auto"/>
          <w:highlight w:val="none"/>
          <w:lang w:val="en-US" w:eastAsia="zh-CN"/>
        </w:rPr>
        <w:t>1000</w:t>
      </w:r>
      <w:r>
        <w:rPr>
          <w:rFonts w:hint="eastAsia"/>
          <w:bCs/>
          <w:color w:val="auto"/>
          <w:highlight w:val="none"/>
        </w:rPr>
        <w:t>人，指标完成率是100%，达到</w:t>
      </w:r>
      <w:r>
        <w:rPr>
          <w:rFonts w:hint="eastAsia"/>
          <w:bCs/>
          <w:color w:val="auto"/>
          <w:highlight w:val="none"/>
          <w:lang w:val="en-US" w:eastAsia="zh-CN"/>
        </w:rPr>
        <w:t>牧民国语水平提高，法律意识，自我保护意识增强的</w:t>
      </w:r>
      <w:r>
        <w:rPr>
          <w:rFonts w:hint="eastAsia"/>
          <w:bCs/>
          <w:color w:val="auto"/>
          <w:highlight w:val="none"/>
        </w:rPr>
        <w:t>目标。偏差原因：无偏差。</w:t>
      </w:r>
    </w:p>
    <w:p>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（七）干部职工满意度指标完成情况分析</w:t>
      </w:r>
    </w:p>
    <w:p>
      <w:pPr>
        <w:ind w:firstLine="560"/>
        <w:rPr>
          <w:bCs/>
          <w:color w:val="auto"/>
          <w:highlight w:val="none"/>
        </w:rPr>
      </w:pPr>
      <w:r>
        <w:rPr>
          <w:rFonts w:hint="eastAsia"/>
          <w:bCs/>
          <w:color w:val="auto"/>
          <w:highlight w:val="none"/>
        </w:rPr>
        <w:t>干部职工满意度年初设定目标是≥95%，年中绩效运行监控时完成值未达监控节点，年终实际完成值是</w:t>
      </w:r>
      <w:r>
        <w:rPr>
          <w:rFonts w:hint="eastAsia"/>
          <w:bCs/>
          <w:color w:val="auto"/>
          <w:highlight w:val="none"/>
          <w:lang w:val="en-US" w:eastAsia="zh-CN"/>
        </w:rPr>
        <w:t>100</w:t>
      </w:r>
      <w:r>
        <w:rPr>
          <w:rFonts w:hint="eastAsia"/>
          <w:bCs/>
          <w:color w:val="auto"/>
          <w:highlight w:val="none"/>
        </w:rPr>
        <w:t>%，指标完成率是100%，</w:t>
      </w:r>
      <w:r>
        <w:rPr>
          <w:rFonts w:hint="eastAsia"/>
          <w:color w:val="auto"/>
          <w:highlight w:val="none"/>
          <w:lang w:val="en-US" w:eastAsia="zh-CN"/>
        </w:rPr>
        <w:t>达到提高干部职工满意度，调动干部职工积极性预期目标</w:t>
      </w:r>
      <w:r>
        <w:rPr>
          <w:rFonts w:hint="eastAsia"/>
          <w:bCs/>
          <w:color w:val="auto"/>
          <w:highlight w:val="none"/>
        </w:rPr>
        <w:t>。偏差原因：无偏差。</w:t>
      </w:r>
    </w:p>
    <w:p>
      <w:pPr>
        <w:pStyle w:val="3"/>
        <w:ind w:left="560" w:leftChars="200" w:firstLine="0" w:firstLineChars="0"/>
        <w:rPr>
          <w:color w:val="auto"/>
          <w:highlight w:val="none"/>
        </w:rPr>
      </w:pPr>
      <w:r>
        <w:rPr>
          <w:rFonts w:hint="eastAsia"/>
          <w:color w:val="auto"/>
          <w:highlight w:val="none"/>
        </w:rPr>
        <w:t>四、评价结论</w:t>
      </w:r>
    </w:p>
    <w:p>
      <w:pPr>
        <w:ind w:firstLine="560"/>
        <w:rPr>
          <w:rFonts w:ascii="Times New Roman" w:hAnsi="Times New Roman" w:cs="Times New Roman"/>
          <w:color w:val="auto"/>
          <w:highlight w:val="none"/>
        </w:rPr>
      </w:pPr>
      <w:r>
        <w:rPr>
          <w:rFonts w:hint="eastAsia"/>
          <w:color w:val="auto"/>
          <w:highlight w:val="none"/>
        </w:rPr>
        <w:t>我单位2023年度部门整体支出绩效自评综合得分100分，评价结果为“优”。</w:t>
      </w:r>
      <w:r>
        <w:rPr>
          <w:rFonts w:hint="eastAsia" w:ascii="Times New Roman" w:hAnsi="Times New Roman" w:cs="Times New Roman"/>
          <w:color w:val="auto"/>
          <w:highlight w:val="none"/>
        </w:rPr>
        <w:t>我</w:t>
      </w:r>
      <w:r>
        <w:rPr>
          <w:rFonts w:ascii="Times New Roman" w:hAnsi="Times New Roman" w:cs="Times New Roman"/>
          <w:color w:val="auto"/>
          <w:highlight w:val="none"/>
        </w:rPr>
        <w:t>单位202</w:t>
      </w:r>
      <w:r>
        <w:rPr>
          <w:rFonts w:hint="eastAsia" w:ascii="Times New Roman" w:hAnsi="Times New Roman" w:cs="Times New Roman"/>
          <w:color w:val="auto"/>
          <w:highlight w:val="none"/>
        </w:rPr>
        <w:t>3</w:t>
      </w:r>
      <w:r>
        <w:rPr>
          <w:rFonts w:ascii="Times New Roman" w:hAnsi="Times New Roman" w:cs="Times New Roman"/>
          <w:color w:val="auto"/>
          <w:highlight w:val="none"/>
        </w:rPr>
        <w:t>年部门履职效果良好，</w:t>
      </w:r>
      <w:r>
        <w:rPr>
          <w:rFonts w:hint="eastAsia" w:ascii="Times New Roman" w:hAnsi="Times New Roman" w:cs="Times New Roman"/>
          <w:color w:val="auto"/>
          <w:highlight w:val="none"/>
        </w:rPr>
        <w:t>主要体现在：</w:t>
      </w:r>
    </w:p>
    <w:p>
      <w:pPr>
        <w:ind w:firstLine="840" w:firstLineChars="300"/>
        <w:rPr>
          <w:rFonts w:hint="default"/>
          <w:bCs/>
          <w:color w:val="auto"/>
          <w:highlight w:val="none"/>
          <w:lang w:val="en-US" w:eastAsia="zh-CN"/>
        </w:rPr>
      </w:pPr>
      <w:bookmarkStart w:id="4" w:name="_Toc22800_WPSOffice_Level1"/>
      <w:r>
        <w:rPr>
          <w:rFonts w:hint="default"/>
          <w:bCs/>
          <w:color w:val="auto"/>
          <w:highlight w:val="none"/>
          <w:lang w:val="en-US" w:eastAsia="zh-CN"/>
        </w:rPr>
        <w:t>一是强化组织保障。先后召开党委会议、巩固拓展脱贫攻坚与乡村振兴领导小组会议7次，对乡村振兴工作进行安排部署。落实镇、村“两级书记”一起抓机制，明确工作任务，压实各级责任。为镇乡村振兴办配备人员，</w:t>
      </w:r>
      <w:r>
        <w:rPr>
          <w:rFonts w:hint="eastAsia"/>
          <w:bCs/>
          <w:color w:val="auto"/>
          <w:highlight w:val="none"/>
          <w:lang w:val="en-US" w:eastAsia="zh-CN"/>
        </w:rPr>
        <w:t>各个</w:t>
      </w:r>
      <w:bookmarkStart w:id="6" w:name="_GoBack"/>
      <w:bookmarkEnd w:id="6"/>
      <w:r>
        <w:rPr>
          <w:rFonts w:hint="default"/>
          <w:bCs/>
          <w:color w:val="auto"/>
          <w:highlight w:val="none"/>
          <w:lang w:val="en-US" w:eastAsia="zh-CN"/>
        </w:rPr>
        <w:t>村均成立了乡村振兴站。</w:t>
      </w:r>
    </w:p>
    <w:p>
      <w:pPr>
        <w:ind w:firstLine="840" w:firstLineChars="300"/>
        <w:rPr>
          <w:rFonts w:hint="default"/>
          <w:bCs/>
          <w:color w:val="auto"/>
          <w:highlight w:val="none"/>
          <w:lang w:val="en-US" w:eastAsia="zh-CN"/>
        </w:rPr>
      </w:pPr>
      <w:r>
        <w:rPr>
          <w:rFonts w:hint="default"/>
          <w:bCs/>
          <w:color w:val="auto"/>
          <w:highlight w:val="none"/>
          <w:lang w:val="en-US" w:eastAsia="zh-CN"/>
        </w:rPr>
        <w:t>二是将防返贫动态监测帮扶工作抓在平时、严在日常，组织开展专项培训</w:t>
      </w:r>
      <w:r>
        <w:rPr>
          <w:rFonts w:hint="eastAsia"/>
          <w:bCs/>
          <w:color w:val="auto"/>
          <w:highlight w:val="none"/>
          <w:lang w:val="en-US" w:eastAsia="zh-CN"/>
        </w:rPr>
        <w:t>10</w:t>
      </w:r>
      <w:r>
        <w:rPr>
          <w:rFonts w:hint="default"/>
          <w:bCs/>
          <w:color w:val="auto"/>
          <w:highlight w:val="none"/>
          <w:lang w:val="en-US" w:eastAsia="zh-CN"/>
        </w:rPr>
        <w:t>次。聚焦“一收入、两不愁、三保障、一饮水安全”等重要指标，全覆盖入户走访摸排，利用升国旗、微信群、显眼位置张贴宣传单等多种形式宣传防返贫动态监测和帮扶工作，张贴《防止返贫</w:t>
      </w:r>
      <w:r>
        <w:rPr>
          <w:rFonts w:hint="eastAsia"/>
          <w:bCs/>
          <w:color w:val="auto"/>
          <w:highlight w:val="none"/>
          <w:lang w:val="en-US" w:eastAsia="zh-CN"/>
        </w:rPr>
        <w:t>监测</w:t>
      </w:r>
      <w:r>
        <w:rPr>
          <w:rFonts w:hint="default"/>
          <w:bCs/>
          <w:color w:val="auto"/>
          <w:highlight w:val="none"/>
          <w:lang w:val="en-US" w:eastAsia="zh-CN"/>
        </w:rPr>
        <w:t>对象申报政策明白卡》</w:t>
      </w:r>
      <w:r>
        <w:rPr>
          <w:rFonts w:hint="eastAsia"/>
          <w:bCs/>
          <w:color w:val="auto"/>
          <w:highlight w:val="none"/>
          <w:lang w:val="en-US" w:eastAsia="zh-CN"/>
        </w:rPr>
        <w:t>10</w:t>
      </w:r>
      <w:r>
        <w:rPr>
          <w:rFonts w:hint="default"/>
          <w:bCs/>
          <w:color w:val="auto"/>
          <w:highlight w:val="none"/>
          <w:lang w:val="en-US" w:eastAsia="zh-CN"/>
        </w:rPr>
        <w:t>张。</w:t>
      </w:r>
    </w:p>
    <w:p>
      <w:pPr>
        <w:ind w:firstLine="840" w:firstLineChars="300"/>
        <w:rPr>
          <w:rFonts w:hint="default"/>
          <w:bCs/>
          <w:color w:val="auto"/>
          <w:highlight w:val="none"/>
          <w:lang w:val="en-US" w:eastAsia="zh-CN"/>
        </w:rPr>
      </w:pPr>
      <w:r>
        <w:rPr>
          <w:rFonts w:hint="default"/>
          <w:bCs/>
          <w:color w:val="auto"/>
          <w:highlight w:val="none"/>
          <w:lang w:val="en-US" w:eastAsia="zh-CN"/>
        </w:rPr>
        <w:t>三是广泛宣传小额信贷，使脱贫人口掌握贷款相关政策。四是落实水库移民后期扶持政策。定期组织镇、村两级干部对水库移民进行入户走访，积极向移民宣传党和国家的移民后期扶持政策。按照相关要求按时发放新疆维吾尔自治区大中型水库移民后期扶持资金1.08万元。</w:t>
      </w:r>
      <w:r>
        <w:rPr>
          <w:rFonts w:hint="eastAsia"/>
          <w:bCs/>
          <w:color w:val="auto"/>
          <w:highlight w:val="none"/>
          <w:lang w:val="en-US" w:eastAsia="zh-CN"/>
        </w:rPr>
        <w:t>哈尔莫敦镇</w:t>
      </w:r>
      <w:r>
        <w:rPr>
          <w:rFonts w:hint="default"/>
          <w:bCs/>
          <w:color w:val="auto"/>
          <w:highlight w:val="none"/>
          <w:lang w:val="en-US" w:eastAsia="zh-CN"/>
        </w:rPr>
        <w:t>现有水库移民</w:t>
      </w:r>
      <w:r>
        <w:rPr>
          <w:rFonts w:hint="eastAsia"/>
          <w:bCs/>
          <w:color w:val="auto"/>
          <w:highlight w:val="none"/>
          <w:lang w:val="en-US" w:eastAsia="zh-CN"/>
        </w:rPr>
        <w:t>21</w:t>
      </w:r>
      <w:r>
        <w:rPr>
          <w:rFonts w:hint="default"/>
          <w:bCs/>
          <w:color w:val="auto"/>
          <w:highlight w:val="none"/>
          <w:lang w:val="en-US" w:eastAsia="zh-CN"/>
        </w:rPr>
        <w:t>人。</w:t>
      </w:r>
    </w:p>
    <w:p>
      <w:pPr>
        <w:ind w:firstLine="840" w:firstLineChars="300"/>
        <w:rPr>
          <w:rFonts w:hint="default"/>
          <w:bCs/>
          <w:color w:val="auto"/>
          <w:highlight w:val="none"/>
          <w:lang w:val="en-US" w:eastAsia="zh-CN"/>
        </w:rPr>
      </w:pPr>
      <w:r>
        <w:rPr>
          <w:rFonts w:hint="eastAsia"/>
          <w:bCs/>
          <w:color w:val="auto"/>
          <w:highlight w:val="none"/>
          <w:lang w:val="en-US" w:eastAsia="zh-CN"/>
        </w:rPr>
        <w:t>四</w:t>
      </w:r>
      <w:r>
        <w:rPr>
          <w:rFonts w:hint="default"/>
          <w:bCs/>
          <w:color w:val="auto"/>
          <w:highlight w:val="none"/>
          <w:lang w:val="en-US" w:eastAsia="zh-CN"/>
        </w:rPr>
        <w:t>是扎实做好学生资助工作。六是持续推进卫生厕改工作</w:t>
      </w:r>
      <w:r>
        <w:rPr>
          <w:rFonts w:hint="eastAsia"/>
          <w:bCs/>
          <w:color w:val="auto"/>
          <w:highlight w:val="none"/>
          <w:lang w:val="en-US" w:eastAsia="zh-CN"/>
        </w:rPr>
        <w:t>，</w:t>
      </w:r>
      <w:r>
        <w:rPr>
          <w:rFonts w:hint="default"/>
          <w:bCs/>
          <w:color w:val="auto"/>
          <w:highlight w:val="none"/>
          <w:lang w:val="en-US" w:eastAsia="zh-CN"/>
        </w:rPr>
        <w:t>乡村振兴办及领导小组对各村问题排查整改工作进展情况进行实地巡查督导。</w:t>
      </w:r>
      <w:r>
        <w:rPr>
          <w:rFonts w:hint="eastAsia"/>
          <w:bCs/>
          <w:color w:val="auto"/>
          <w:highlight w:val="none"/>
          <w:lang w:val="en-US" w:eastAsia="zh-CN"/>
        </w:rPr>
        <w:t>七</w:t>
      </w:r>
      <w:r>
        <w:rPr>
          <w:rFonts w:hint="default"/>
          <w:bCs/>
          <w:color w:val="auto"/>
          <w:highlight w:val="none"/>
          <w:lang w:val="en-US" w:eastAsia="zh-CN"/>
        </w:rPr>
        <w:t>是加强扶贫资产管理。建立《2013年</w:t>
      </w:r>
      <w:r>
        <w:rPr>
          <w:rFonts w:hint="eastAsia"/>
          <w:bCs/>
          <w:color w:val="auto"/>
          <w:highlight w:val="none"/>
          <w:lang w:val="en-US" w:eastAsia="zh-CN"/>
        </w:rPr>
        <w:t>—</w:t>
      </w:r>
      <w:r>
        <w:rPr>
          <w:rFonts w:hint="default"/>
          <w:bCs/>
          <w:color w:val="auto"/>
          <w:highlight w:val="none"/>
          <w:lang w:val="en-US" w:eastAsia="zh-CN"/>
        </w:rPr>
        <w:t>2022年项目统计台账》，按照经营性、公益性、到户类资产，分类建立资产台账，并根据项目具体情况建立运营方案、风险防控方案、收益分配方案、后期管护方案，对经营性资产加强运营管理，完善公益类、到户类资产后期管护制度。</w:t>
      </w:r>
    </w:p>
    <w:p>
      <w:pPr>
        <w:pStyle w:val="3"/>
        <w:ind w:firstLine="480" w:firstLineChars="150"/>
        <w:rPr>
          <w:color w:val="auto"/>
          <w:highlight w:val="none"/>
        </w:rPr>
      </w:pPr>
      <w:r>
        <w:rPr>
          <w:rFonts w:hint="eastAsia"/>
          <w:color w:val="auto"/>
          <w:highlight w:val="none"/>
        </w:rPr>
        <w:t>五、存在的主要问题</w:t>
      </w:r>
      <w:bookmarkEnd w:id="4"/>
      <w:r>
        <w:rPr>
          <w:rFonts w:hint="eastAsia"/>
          <w:color w:val="auto"/>
          <w:highlight w:val="none"/>
        </w:rPr>
        <w:t>及原因分析</w:t>
      </w:r>
    </w:p>
    <w:p>
      <w:pPr>
        <w:bidi w:val="0"/>
        <w:rPr>
          <w:rFonts w:hint="eastAsia"/>
          <w:color w:val="auto"/>
          <w:highlight w:val="none"/>
          <w:lang w:val="en-US" w:eastAsia="zh-CN"/>
        </w:rPr>
      </w:pPr>
      <w:bookmarkStart w:id="5" w:name="_Toc29546_WPSOffice_Level1"/>
      <w:r>
        <w:rPr>
          <w:rFonts w:hint="eastAsia"/>
          <w:color w:val="auto"/>
          <w:highlight w:val="none"/>
          <w:lang w:val="en-US" w:eastAsia="zh-CN"/>
        </w:rPr>
        <w:t>1.绩效指标目标值的设定有待进一步合理化，在分解总体绩效目标中，产出指标中的质量指标设置为“项目完成率”不能很好地反馈该项目实施的质量；此外时效指标设置为“项目持续时间”太过笼统，也不能很好体现项目是否及时开展。</w:t>
      </w:r>
    </w:p>
    <w:p>
      <w:pPr>
        <w:bidi w:val="0"/>
        <w:rPr>
          <w:rFonts w:hint="eastAsia"/>
          <w:color w:val="auto"/>
          <w:highlight w:val="none"/>
          <w:lang w:val="en-US" w:eastAsia="zh-CN"/>
        </w:rPr>
      </w:pPr>
      <w:r>
        <w:rPr>
          <w:rFonts w:hint="eastAsia"/>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pP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六、改进措施和建议</w:t>
      </w:r>
      <w:bookmarkEnd w:id="5"/>
    </w:p>
    <w:p>
      <w:pPr>
        <w:bidi w:val="0"/>
        <w:rPr>
          <w:rFonts w:hint="eastAsia"/>
          <w:color w:val="auto"/>
          <w:highlight w:val="none"/>
          <w:lang w:val="en-US" w:eastAsia="zh-CN"/>
        </w:rPr>
      </w:pPr>
      <w:r>
        <w:rPr>
          <w:rFonts w:hint="eastAsia"/>
          <w:color w:val="auto"/>
          <w:highlight w:val="none"/>
          <w:lang w:val="en-US" w:eastAsia="zh-CN"/>
        </w:rPr>
        <w:t>1、一是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pPr>
        <w:bidi w:val="0"/>
        <w:rPr>
          <w:rFonts w:hint="default"/>
          <w:color w:val="auto"/>
          <w:highlight w:val="none"/>
          <w:lang w:val="en-US" w:eastAsia="zh-CN"/>
        </w:rPr>
      </w:pPr>
      <w:r>
        <w:rPr>
          <w:rFonts w:hint="eastAsia"/>
          <w:color w:val="auto"/>
          <w:highlight w:val="none"/>
          <w:lang w:val="en-US" w:eastAsia="zh-CN"/>
        </w:rPr>
        <w:t>2、我单位严格遵守《会计法》《预算法》《行政单位财务规则》等法律和有关财政财务规章，规范财政资金管理，量入为出，统筹兼顾，突出重点，讲究实效，防范风险，合理使用各项资金，确保了我单位预算管理的成效，全年预算支出整体受控。 一是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二是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三是强化流程管理。推进全面流程化管理，在专项资金分配、预算编制、财务审批和报销、资产管理、经济合同管理及政府采购等方面，都实施流程化、规范化管理模式，编制了财务管理操作流程，全面提高单位内部管理水平。四是强化集中采购。树立全面节约意识，严控一般性经费支出。特别是在办公设备购置和办公用品使用方面，配合相关科室，按照厉行节约、统筹调剂、合理使用的原则加强审核，严控支出，并逐步取得了一定成效。</w:t>
      </w:r>
    </w:p>
    <w:p>
      <w:pPr>
        <w:pStyle w:val="3"/>
        <w:rPr>
          <w:color w:val="auto"/>
          <w:highlight w:val="none"/>
        </w:rPr>
      </w:pPr>
      <w:r>
        <w:rPr>
          <w:rFonts w:hint="eastAsia"/>
          <w:color w:val="auto"/>
          <w:highlight w:val="none"/>
        </w:rPr>
        <w:t>七、附件上传</w:t>
      </w:r>
    </w:p>
    <w:p>
      <w:pPr>
        <w:bidi w:val="0"/>
        <w:rPr>
          <w:rFonts w:hint="eastAsia"/>
          <w:color w:val="auto"/>
          <w:highlight w:val="none"/>
          <w:lang w:val="en-US" w:eastAsia="zh-CN"/>
        </w:rPr>
      </w:pPr>
      <w:r>
        <w:rPr>
          <w:rFonts w:hint="eastAsia"/>
          <w:color w:val="auto"/>
          <w:highlight w:val="none"/>
          <w:lang w:val="en-US" w:eastAsia="zh-CN"/>
        </w:rPr>
        <w:t>2023年预算公开</w:t>
      </w:r>
    </w:p>
    <w:p>
      <w:pPr>
        <w:bidi w:val="0"/>
        <w:rPr>
          <w:rFonts w:hint="eastAsia"/>
          <w:color w:val="auto"/>
          <w:highlight w:val="none"/>
          <w:lang w:val="en-US" w:eastAsia="zh-CN"/>
        </w:rPr>
      </w:pPr>
      <w:r>
        <w:rPr>
          <w:rFonts w:hint="eastAsia"/>
          <w:color w:val="auto"/>
          <w:highlight w:val="none"/>
          <w:lang w:val="en-US" w:eastAsia="zh-CN"/>
        </w:rPr>
        <w:t>2023年决算表</w:t>
      </w:r>
    </w:p>
    <w:p>
      <w:pPr>
        <w:bidi w:val="0"/>
        <w:rPr>
          <w:rFonts w:hint="default"/>
          <w:color w:val="auto"/>
          <w:highlight w:val="none"/>
          <w:lang w:val="en-US" w:eastAsia="zh-CN"/>
        </w:rPr>
      </w:pPr>
      <w:r>
        <w:rPr>
          <w:rFonts w:hint="eastAsia"/>
          <w:color w:val="auto"/>
          <w:highlight w:val="none"/>
          <w:lang w:val="en-US" w:eastAsia="zh-CN"/>
        </w:rPr>
        <w:t>2023年工作总结</w:t>
      </w: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240" w:lineRule="auto"/>
      <w:ind w:firstLine="0" w:firstLineChars="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461B58"/>
    <w:multiLevelType w:val="singleLevel"/>
    <w:tmpl w:val="9A461B5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97DF7"/>
    <w:rsid w:val="001C1E1D"/>
    <w:rsid w:val="001E750D"/>
    <w:rsid w:val="0022744B"/>
    <w:rsid w:val="00234372"/>
    <w:rsid w:val="00292A50"/>
    <w:rsid w:val="002939FF"/>
    <w:rsid w:val="002F7CCD"/>
    <w:rsid w:val="003F0DB2"/>
    <w:rsid w:val="00424A01"/>
    <w:rsid w:val="00491D09"/>
    <w:rsid w:val="004E1483"/>
    <w:rsid w:val="0054132C"/>
    <w:rsid w:val="00551AAA"/>
    <w:rsid w:val="005B1250"/>
    <w:rsid w:val="006258B7"/>
    <w:rsid w:val="00627E6B"/>
    <w:rsid w:val="00633862"/>
    <w:rsid w:val="00643BE3"/>
    <w:rsid w:val="00650F85"/>
    <w:rsid w:val="00675481"/>
    <w:rsid w:val="006B4CDA"/>
    <w:rsid w:val="006C5BED"/>
    <w:rsid w:val="006C5D3A"/>
    <w:rsid w:val="006D4FCD"/>
    <w:rsid w:val="006F7865"/>
    <w:rsid w:val="00702D4A"/>
    <w:rsid w:val="007115C8"/>
    <w:rsid w:val="00722C79"/>
    <w:rsid w:val="00724F4D"/>
    <w:rsid w:val="007E7E99"/>
    <w:rsid w:val="00822441"/>
    <w:rsid w:val="00825D99"/>
    <w:rsid w:val="0089387B"/>
    <w:rsid w:val="008E7E52"/>
    <w:rsid w:val="009304D8"/>
    <w:rsid w:val="0093778D"/>
    <w:rsid w:val="0095018A"/>
    <w:rsid w:val="0097614B"/>
    <w:rsid w:val="0099431C"/>
    <w:rsid w:val="009A7605"/>
    <w:rsid w:val="009F5A38"/>
    <w:rsid w:val="00AA5126"/>
    <w:rsid w:val="00AD16CD"/>
    <w:rsid w:val="00B5590F"/>
    <w:rsid w:val="00B86B60"/>
    <w:rsid w:val="00BA13C5"/>
    <w:rsid w:val="00BA3B12"/>
    <w:rsid w:val="00BD7AB3"/>
    <w:rsid w:val="00BF62C2"/>
    <w:rsid w:val="00C52A34"/>
    <w:rsid w:val="00C77007"/>
    <w:rsid w:val="00CD2F35"/>
    <w:rsid w:val="00CD5A03"/>
    <w:rsid w:val="00D5678F"/>
    <w:rsid w:val="00D61D20"/>
    <w:rsid w:val="00D775E8"/>
    <w:rsid w:val="00D82401"/>
    <w:rsid w:val="00D9126A"/>
    <w:rsid w:val="00D93262"/>
    <w:rsid w:val="00D9637F"/>
    <w:rsid w:val="00DB1085"/>
    <w:rsid w:val="00EB1FFE"/>
    <w:rsid w:val="00ED5986"/>
    <w:rsid w:val="00F326C7"/>
    <w:rsid w:val="00F84215"/>
    <w:rsid w:val="00FF2ACD"/>
    <w:rsid w:val="012008EE"/>
    <w:rsid w:val="01396E1E"/>
    <w:rsid w:val="01453A14"/>
    <w:rsid w:val="015E6884"/>
    <w:rsid w:val="01941124"/>
    <w:rsid w:val="01CC583F"/>
    <w:rsid w:val="01D95F0B"/>
    <w:rsid w:val="01E23011"/>
    <w:rsid w:val="01E50D53"/>
    <w:rsid w:val="02117D9A"/>
    <w:rsid w:val="02151639"/>
    <w:rsid w:val="021A09FD"/>
    <w:rsid w:val="022E26FA"/>
    <w:rsid w:val="02337D11"/>
    <w:rsid w:val="027A149C"/>
    <w:rsid w:val="02994018"/>
    <w:rsid w:val="02BE582C"/>
    <w:rsid w:val="02C40969"/>
    <w:rsid w:val="02DC3F04"/>
    <w:rsid w:val="02EE3C38"/>
    <w:rsid w:val="02FE3E7B"/>
    <w:rsid w:val="03127926"/>
    <w:rsid w:val="03323B24"/>
    <w:rsid w:val="034F2928"/>
    <w:rsid w:val="03547F3F"/>
    <w:rsid w:val="035F68A1"/>
    <w:rsid w:val="036503CA"/>
    <w:rsid w:val="037979A5"/>
    <w:rsid w:val="03887BE8"/>
    <w:rsid w:val="038A570F"/>
    <w:rsid w:val="03922815"/>
    <w:rsid w:val="03B94246"/>
    <w:rsid w:val="03D34078"/>
    <w:rsid w:val="03E47515"/>
    <w:rsid w:val="03EC3BBD"/>
    <w:rsid w:val="03F434D0"/>
    <w:rsid w:val="03F86B1C"/>
    <w:rsid w:val="040570E2"/>
    <w:rsid w:val="040C5477"/>
    <w:rsid w:val="044955CA"/>
    <w:rsid w:val="0458580D"/>
    <w:rsid w:val="045C354F"/>
    <w:rsid w:val="046E3282"/>
    <w:rsid w:val="047B14FB"/>
    <w:rsid w:val="048E1AEE"/>
    <w:rsid w:val="04A708EC"/>
    <w:rsid w:val="04DB4953"/>
    <w:rsid w:val="04FF0482"/>
    <w:rsid w:val="05062887"/>
    <w:rsid w:val="051200B1"/>
    <w:rsid w:val="05355B4E"/>
    <w:rsid w:val="05464D81"/>
    <w:rsid w:val="05900FD6"/>
    <w:rsid w:val="059C5BCD"/>
    <w:rsid w:val="05CD3FD8"/>
    <w:rsid w:val="05D709B3"/>
    <w:rsid w:val="05F70F85"/>
    <w:rsid w:val="05FE0636"/>
    <w:rsid w:val="0607573C"/>
    <w:rsid w:val="060C68AF"/>
    <w:rsid w:val="06112117"/>
    <w:rsid w:val="06547701"/>
    <w:rsid w:val="066309FF"/>
    <w:rsid w:val="066761DB"/>
    <w:rsid w:val="066B5CCB"/>
    <w:rsid w:val="068B011B"/>
    <w:rsid w:val="06950CBD"/>
    <w:rsid w:val="06D118A6"/>
    <w:rsid w:val="06D25D4A"/>
    <w:rsid w:val="06F2019A"/>
    <w:rsid w:val="0712477A"/>
    <w:rsid w:val="072B19D6"/>
    <w:rsid w:val="073360BD"/>
    <w:rsid w:val="073A569E"/>
    <w:rsid w:val="07724E37"/>
    <w:rsid w:val="079254DA"/>
    <w:rsid w:val="07CF5DE6"/>
    <w:rsid w:val="07F817E1"/>
    <w:rsid w:val="0828199A"/>
    <w:rsid w:val="084208C4"/>
    <w:rsid w:val="084E1401"/>
    <w:rsid w:val="08A92ADB"/>
    <w:rsid w:val="08AA0601"/>
    <w:rsid w:val="08AE00F1"/>
    <w:rsid w:val="08BF40AC"/>
    <w:rsid w:val="08C47915"/>
    <w:rsid w:val="08DF7DFF"/>
    <w:rsid w:val="08E25FED"/>
    <w:rsid w:val="08E91129"/>
    <w:rsid w:val="08F04266"/>
    <w:rsid w:val="08FA6E92"/>
    <w:rsid w:val="09012917"/>
    <w:rsid w:val="09886B94"/>
    <w:rsid w:val="098A3C0A"/>
    <w:rsid w:val="09A24E4E"/>
    <w:rsid w:val="09CB082F"/>
    <w:rsid w:val="09D75426"/>
    <w:rsid w:val="09F74FB3"/>
    <w:rsid w:val="0A232E58"/>
    <w:rsid w:val="0A2F7010"/>
    <w:rsid w:val="0A5151D8"/>
    <w:rsid w:val="0A622F41"/>
    <w:rsid w:val="0A7315F2"/>
    <w:rsid w:val="0A9A7091"/>
    <w:rsid w:val="0AB94B2B"/>
    <w:rsid w:val="0AFA13CC"/>
    <w:rsid w:val="0B0C7351"/>
    <w:rsid w:val="0B896BF3"/>
    <w:rsid w:val="0B8D0492"/>
    <w:rsid w:val="0B93537C"/>
    <w:rsid w:val="0BBC2B25"/>
    <w:rsid w:val="0BE856C8"/>
    <w:rsid w:val="0BE91440"/>
    <w:rsid w:val="0BFE6C9A"/>
    <w:rsid w:val="0C14454E"/>
    <w:rsid w:val="0C6738B8"/>
    <w:rsid w:val="0CBB2DDD"/>
    <w:rsid w:val="0CD520F0"/>
    <w:rsid w:val="0D0A2755"/>
    <w:rsid w:val="0D3112F1"/>
    <w:rsid w:val="0D5F5E5E"/>
    <w:rsid w:val="0DDC300B"/>
    <w:rsid w:val="0E082052"/>
    <w:rsid w:val="0E2A6584"/>
    <w:rsid w:val="0E2F5830"/>
    <w:rsid w:val="0E39045D"/>
    <w:rsid w:val="0E3A5F83"/>
    <w:rsid w:val="0E545BA0"/>
    <w:rsid w:val="0E7D784C"/>
    <w:rsid w:val="0EA37FCC"/>
    <w:rsid w:val="0ECA5559"/>
    <w:rsid w:val="0F7F4595"/>
    <w:rsid w:val="0FB511CF"/>
    <w:rsid w:val="0FB81855"/>
    <w:rsid w:val="0FDD12BC"/>
    <w:rsid w:val="0FE97C61"/>
    <w:rsid w:val="0FEF171B"/>
    <w:rsid w:val="10156CA8"/>
    <w:rsid w:val="101E5B5C"/>
    <w:rsid w:val="10300946"/>
    <w:rsid w:val="10354C54"/>
    <w:rsid w:val="104A6951"/>
    <w:rsid w:val="1081433D"/>
    <w:rsid w:val="10E5667A"/>
    <w:rsid w:val="10E723F2"/>
    <w:rsid w:val="10FE60D7"/>
    <w:rsid w:val="11292A0B"/>
    <w:rsid w:val="11390774"/>
    <w:rsid w:val="11471F43"/>
    <w:rsid w:val="115F467E"/>
    <w:rsid w:val="118063A3"/>
    <w:rsid w:val="11F823DD"/>
    <w:rsid w:val="11FF551A"/>
    <w:rsid w:val="1209283C"/>
    <w:rsid w:val="12631F4C"/>
    <w:rsid w:val="129817C1"/>
    <w:rsid w:val="12E017EF"/>
    <w:rsid w:val="12E56E05"/>
    <w:rsid w:val="130F79DE"/>
    <w:rsid w:val="13107532"/>
    <w:rsid w:val="134C29E0"/>
    <w:rsid w:val="134F7771"/>
    <w:rsid w:val="137361BF"/>
    <w:rsid w:val="13985C26"/>
    <w:rsid w:val="13B011C1"/>
    <w:rsid w:val="13E513B9"/>
    <w:rsid w:val="14157276"/>
    <w:rsid w:val="1436472A"/>
    <w:rsid w:val="146752C6"/>
    <w:rsid w:val="1494463F"/>
    <w:rsid w:val="149F4D92"/>
    <w:rsid w:val="14AD5701"/>
    <w:rsid w:val="14C30A80"/>
    <w:rsid w:val="14C447F8"/>
    <w:rsid w:val="14F54CB6"/>
    <w:rsid w:val="14F90946"/>
    <w:rsid w:val="14FB646C"/>
    <w:rsid w:val="14FD24F4"/>
    <w:rsid w:val="1505553D"/>
    <w:rsid w:val="15437E13"/>
    <w:rsid w:val="15485429"/>
    <w:rsid w:val="155A7193"/>
    <w:rsid w:val="158C5316"/>
    <w:rsid w:val="159B19FD"/>
    <w:rsid w:val="15B904C0"/>
    <w:rsid w:val="15CC605B"/>
    <w:rsid w:val="15D1541F"/>
    <w:rsid w:val="15E96C0C"/>
    <w:rsid w:val="16070E41"/>
    <w:rsid w:val="165C118C"/>
    <w:rsid w:val="168E3310"/>
    <w:rsid w:val="168E50BE"/>
    <w:rsid w:val="16EA49EA"/>
    <w:rsid w:val="16FE0496"/>
    <w:rsid w:val="17005FBC"/>
    <w:rsid w:val="1715758D"/>
    <w:rsid w:val="172D035F"/>
    <w:rsid w:val="17345C65"/>
    <w:rsid w:val="175C51BC"/>
    <w:rsid w:val="175D58E3"/>
    <w:rsid w:val="1763654B"/>
    <w:rsid w:val="1767428D"/>
    <w:rsid w:val="17800EAB"/>
    <w:rsid w:val="17A41529"/>
    <w:rsid w:val="17C074F9"/>
    <w:rsid w:val="17E21B65"/>
    <w:rsid w:val="17FB49D5"/>
    <w:rsid w:val="18061B60"/>
    <w:rsid w:val="1818081B"/>
    <w:rsid w:val="18253800"/>
    <w:rsid w:val="18455C50"/>
    <w:rsid w:val="18491BE4"/>
    <w:rsid w:val="185C77E5"/>
    <w:rsid w:val="186D58D3"/>
    <w:rsid w:val="187F73B4"/>
    <w:rsid w:val="18952734"/>
    <w:rsid w:val="18CD0120"/>
    <w:rsid w:val="18D314AE"/>
    <w:rsid w:val="18F338FE"/>
    <w:rsid w:val="190C3DF8"/>
    <w:rsid w:val="19157D18"/>
    <w:rsid w:val="191C2E55"/>
    <w:rsid w:val="1934019F"/>
    <w:rsid w:val="196F11D7"/>
    <w:rsid w:val="19AA4D08"/>
    <w:rsid w:val="19D27F27"/>
    <w:rsid w:val="19D674A8"/>
    <w:rsid w:val="19DB686C"/>
    <w:rsid w:val="19F142E2"/>
    <w:rsid w:val="19F83E30"/>
    <w:rsid w:val="19FE255B"/>
    <w:rsid w:val="1A136006"/>
    <w:rsid w:val="1A305695"/>
    <w:rsid w:val="1A530AF8"/>
    <w:rsid w:val="1A642D06"/>
    <w:rsid w:val="1AB8095B"/>
    <w:rsid w:val="1AFF658A"/>
    <w:rsid w:val="1B1A1616"/>
    <w:rsid w:val="1B403139"/>
    <w:rsid w:val="1B5944E3"/>
    <w:rsid w:val="1B8A22F8"/>
    <w:rsid w:val="1B9A4611"/>
    <w:rsid w:val="1BD01CD5"/>
    <w:rsid w:val="1BD057A8"/>
    <w:rsid w:val="1BED0AD9"/>
    <w:rsid w:val="1C024584"/>
    <w:rsid w:val="1C4F3541"/>
    <w:rsid w:val="1C5B1EE6"/>
    <w:rsid w:val="1C6D319F"/>
    <w:rsid w:val="1C7B4336"/>
    <w:rsid w:val="1CA613B3"/>
    <w:rsid w:val="1CE912A0"/>
    <w:rsid w:val="1D1A58FD"/>
    <w:rsid w:val="1D24677C"/>
    <w:rsid w:val="1D384A93"/>
    <w:rsid w:val="1D3F5364"/>
    <w:rsid w:val="1D4D74D6"/>
    <w:rsid w:val="1D554B87"/>
    <w:rsid w:val="1D594678"/>
    <w:rsid w:val="1D750D86"/>
    <w:rsid w:val="1DE32CFD"/>
    <w:rsid w:val="1E05035C"/>
    <w:rsid w:val="1E0F2F88"/>
    <w:rsid w:val="1E150277"/>
    <w:rsid w:val="1E286889"/>
    <w:rsid w:val="1E5A13A3"/>
    <w:rsid w:val="1E6908EA"/>
    <w:rsid w:val="1E9A6CF6"/>
    <w:rsid w:val="1EB4768C"/>
    <w:rsid w:val="1EDD4E34"/>
    <w:rsid w:val="1EE241F9"/>
    <w:rsid w:val="1EE461C3"/>
    <w:rsid w:val="1EE532A1"/>
    <w:rsid w:val="1F1A602A"/>
    <w:rsid w:val="1F262338"/>
    <w:rsid w:val="1F2854B6"/>
    <w:rsid w:val="1F417171"/>
    <w:rsid w:val="1F4D1FBA"/>
    <w:rsid w:val="1F5A46D7"/>
    <w:rsid w:val="1F6F0182"/>
    <w:rsid w:val="1FDE2C46"/>
    <w:rsid w:val="1FF97A4C"/>
    <w:rsid w:val="200A1C59"/>
    <w:rsid w:val="201E3957"/>
    <w:rsid w:val="20370574"/>
    <w:rsid w:val="20670E5A"/>
    <w:rsid w:val="2072720E"/>
    <w:rsid w:val="20855784"/>
    <w:rsid w:val="20880DD0"/>
    <w:rsid w:val="20D8583F"/>
    <w:rsid w:val="20E40888"/>
    <w:rsid w:val="20E908C1"/>
    <w:rsid w:val="20FA3A7C"/>
    <w:rsid w:val="21224D81"/>
    <w:rsid w:val="217001E2"/>
    <w:rsid w:val="217D20CE"/>
    <w:rsid w:val="218E68BA"/>
    <w:rsid w:val="219679F4"/>
    <w:rsid w:val="21A460DD"/>
    <w:rsid w:val="21C67E02"/>
    <w:rsid w:val="21C768CD"/>
    <w:rsid w:val="21EA1495"/>
    <w:rsid w:val="220A02FF"/>
    <w:rsid w:val="222B5EB7"/>
    <w:rsid w:val="222F3BF9"/>
    <w:rsid w:val="2237485C"/>
    <w:rsid w:val="22623FCE"/>
    <w:rsid w:val="226338A3"/>
    <w:rsid w:val="226F3FF6"/>
    <w:rsid w:val="22AF6AE8"/>
    <w:rsid w:val="22B660C8"/>
    <w:rsid w:val="22C73E32"/>
    <w:rsid w:val="22E14253"/>
    <w:rsid w:val="22F369D5"/>
    <w:rsid w:val="22F4099F"/>
    <w:rsid w:val="22F56BF1"/>
    <w:rsid w:val="23201794"/>
    <w:rsid w:val="234E00AF"/>
    <w:rsid w:val="23931BB2"/>
    <w:rsid w:val="23D22A8E"/>
    <w:rsid w:val="23D74548"/>
    <w:rsid w:val="23E9602A"/>
    <w:rsid w:val="23F209A3"/>
    <w:rsid w:val="2403516E"/>
    <w:rsid w:val="246758CC"/>
    <w:rsid w:val="24975A86"/>
    <w:rsid w:val="24E0567E"/>
    <w:rsid w:val="24E94533"/>
    <w:rsid w:val="24F353B2"/>
    <w:rsid w:val="2503311B"/>
    <w:rsid w:val="251B66B7"/>
    <w:rsid w:val="25457290"/>
    <w:rsid w:val="256A2A9E"/>
    <w:rsid w:val="25783B09"/>
    <w:rsid w:val="25B05051"/>
    <w:rsid w:val="25BF5294"/>
    <w:rsid w:val="26467763"/>
    <w:rsid w:val="264D464E"/>
    <w:rsid w:val="265579A6"/>
    <w:rsid w:val="26760048"/>
    <w:rsid w:val="269404CF"/>
    <w:rsid w:val="27391076"/>
    <w:rsid w:val="27402404"/>
    <w:rsid w:val="274A5031"/>
    <w:rsid w:val="27734588"/>
    <w:rsid w:val="27870033"/>
    <w:rsid w:val="27C76682"/>
    <w:rsid w:val="27E86D24"/>
    <w:rsid w:val="27F7226E"/>
    <w:rsid w:val="2805537E"/>
    <w:rsid w:val="285F3901"/>
    <w:rsid w:val="286B34B1"/>
    <w:rsid w:val="286E4D4F"/>
    <w:rsid w:val="287560DE"/>
    <w:rsid w:val="288527C5"/>
    <w:rsid w:val="289437EE"/>
    <w:rsid w:val="289E5635"/>
    <w:rsid w:val="28B135BA"/>
    <w:rsid w:val="28B210E0"/>
    <w:rsid w:val="28BC1F5F"/>
    <w:rsid w:val="28F811E9"/>
    <w:rsid w:val="28FA6206"/>
    <w:rsid w:val="29135539"/>
    <w:rsid w:val="294B20EF"/>
    <w:rsid w:val="29712D49"/>
    <w:rsid w:val="29785E86"/>
    <w:rsid w:val="297873DB"/>
    <w:rsid w:val="297E0FC2"/>
    <w:rsid w:val="29824F56"/>
    <w:rsid w:val="29B50E88"/>
    <w:rsid w:val="29EC0622"/>
    <w:rsid w:val="29EE439A"/>
    <w:rsid w:val="29F319B0"/>
    <w:rsid w:val="29F35E61"/>
    <w:rsid w:val="2A281798"/>
    <w:rsid w:val="2A285817"/>
    <w:rsid w:val="2A41096D"/>
    <w:rsid w:val="2A707CA5"/>
    <w:rsid w:val="2A944F41"/>
    <w:rsid w:val="2AC5334C"/>
    <w:rsid w:val="2AD6555A"/>
    <w:rsid w:val="2AEB08D9"/>
    <w:rsid w:val="2AED2D78"/>
    <w:rsid w:val="2B0D0850"/>
    <w:rsid w:val="2B1157DF"/>
    <w:rsid w:val="2B14398C"/>
    <w:rsid w:val="2B147E30"/>
    <w:rsid w:val="2B27540F"/>
    <w:rsid w:val="2B430715"/>
    <w:rsid w:val="2B5E554F"/>
    <w:rsid w:val="2B6F150A"/>
    <w:rsid w:val="2B97636B"/>
    <w:rsid w:val="2B9B40AD"/>
    <w:rsid w:val="2BB533C1"/>
    <w:rsid w:val="2BB557CB"/>
    <w:rsid w:val="2BC51751"/>
    <w:rsid w:val="2BDA4BD6"/>
    <w:rsid w:val="2BDB094E"/>
    <w:rsid w:val="2BDE2BF8"/>
    <w:rsid w:val="2BFB0579"/>
    <w:rsid w:val="2C084F08"/>
    <w:rsid w:val="2C161986"/>
    <w:rsid w:val="2C583D4C"/>
    <w:rsid w:val="2C772424"/>
    <w:rsid w:val="2C8608B9"/>
    <w:rsid w:val="2CA60F5C"/>
    <w:rsid w:val="2CCA2E9C"/>
    <w:rsid w:val="2D157E8F"/>
    <w:rsid w:val="2D166684"/>
    <w:rsid w:val="2D1E6D44"/>
    <w:rsid w:val="2D6C3F53"/>
    <w:rsid w:val="2D7C5689"/>
    <w:rsid w:val="2D93642F"/>
    <w:rsid w:val="2D9B2E27"/>
    <w:rsid w:val="2DA336ED"/>
    <w:rsid w:val="2DCF44E2"/>
    <w:rsid w:val="2DD1025A"/>
    <w:rsid w:val="2DFB7085"/>
    <w:rsid w:val="2E163EBF"/>
    <w:rsid w:val="2E2E1209"/>
    <w:rsid w:val="2E2E2FB7"/>
    <w:rsid w:val="2E2E745B"/>
    <w:rsid w:val="2E3D58F0"/>
    <w:rsid w:val="2E514EF7"/>
    <w:rsid w:val="2E7F1A64"/>
    <w:rsid w:val="2EBF757D"/>
    <w:rsid w:val="2EC15BD9"/>
    <w:rsid w:val="2F126434"/>
    <w:rsid w:val="2F364819"/>
    <w:rsid w:val="2F972FE7"/>
    <w:rsid w:val="2FA31782"/>
    <w:rsid w:val="2FED0C50"/>
    <w:rsid w:val="30185CCC"/>
    <w:rsid w:val="302C20AC"/>
    <w:rsid w:val="303A48E0"/>
    <w:rsid w:val="30405223"/>
    <w:rsid w:val="305F38FB"/>
    <w:rsid w:val="307B625B"/>
    <w:rsid w:val="308415B4"/>
    <w:rsid w:val="3095556F"/>
    <w:rsid w:val="30963095"/>
    <w:rsid w:val="30A13F14"/>
    <w:rsid w:val="30BF083E"/>
    <w:rsid w:val="30FA3624"/>
    <w:rsid w:val="30FF0C3A"/>
    <w:rsid w:val="312468F3"/>
    <w:rsid w:val="313A1C72"/>
    <w:rsid w:val="31927D00"/>
    <w:rsid w:val="319A122D"/>
    <w:rsid w:val="31AE39CE"/>
    <w:rsid w:val="31B83F5F"/>
    <w:rsid w:val="31E16592"/>
    <w:rsid w:val="320F4EAD"/>
    <w:rsid w:val="325431BF"/>
    <w:rsid w:val="3276317E"/>
    <w:rsid w:val="328E2AB6"/>
    <w:rsid w:val="329B12EA"/>
    <w:rsid w:val="32C739DA"/>
    <w:rsid w:val="32E12CEE"/>
    <w:rsid w:val="32FB1A54"/>
    <w:rsid w:val="33105381"/>
    <w:rsid w:val="3321758E"/>
    <w:rsid w:val="33291F9F"/>
    <w:rsid w:val="335015B0"/>
    <w:rsid w:val="33723946"/>
    <w:rsid w:val="33A83F87"/>
    <w:rsid w:val="33B2468A"/>
    <w:rsid w:val="33E800AC"/>
    <w:rsid w:val="340D2D0F"/>
    <w:rsid w:val="341669C7"/>
    <w:rsid w:val="341E7629"/>
    <w:rsid w:val="347B0F20"/>
    <w:rsid w:val="34853B4C"/>
    <w:rsid w:val="348F1A9E"/>
    <w:rsid w:val="34A43FD3"/>
    <w:rsid w:val="34BF705E"/>
    <w:rsid w:val="34E46AC5"/>
    <w:rsid w:val="353A0493"/>
    <w:rsid w:val="353A66E5"/>
    <w:rsid w:val="355C2B3F"/>
    <w:rsid w:val="356B4AF0"/>
    <w:rsid w:val="356C2617"/>
    <w:rsid w:val="359202CF"/>
    <w:rsid w:val="35CF1523"/>
    <w:rsid w:val="35F12468"/>
    <w:rsid w:val="36050AA1"/>
    <w:rsid w:val="36105698"/>
    <w:rsid w:val="36453593"/>
    <w:rsid w:val="36820344"/>
    <w:rsid w:val="36851B5C"/>
    <w:rsid w:val="36D06322"/>
    <w:rsid w:val="37215DAE"/>
    <w:rsid w:val="37313D2D"/>
    <w:rsid w:val="374970B3"/>
    <w:rsid w:val="37661A13"/>
    <w:rsid w:val="376D0FF4"/>
    <w:rsid w:val="37895702"/>
    <w:rsid w:val="379540A7"/>
    <w:rsid w:val="379871D0"/>
    <w:rsid w:val="37BA58BB"/>
    <w:rsid w:val="37CD3840"/>
    <w:rsid w:val="37D360CA"/>
    <w:rsid w:val="37D83F93"/>
    <w:rsid w:val="37EB016A"/>
    <w:rsid w:val="37FE0B1D"/>
    <w:rsid w:val="38390ED6"/>
    <w:rsid w:val="385C6972"/>
    <w:rsid w:val="38910D12"/>
    <w:rsid w:val="389B56ED"/>
    <w:rsid w:val="38CB5066"/>
    <w:rsid w:val="38E054C9"/>
    <w:rsid w:val="38F512A1"/>
    <w:rsid w:val="39202096"/>
    <w:rsid w:val="396957EB"/>
    <w:rsid w:val="397303B7"/>
    <w:rsid w:val="39BC3B6C"/>
    <w:rsid w:val="39CB3DB0"/>
    <w:rsid w:val="39CE38A0"/>
    <w:rsid w:val="39D23390"/>
    <w:rsid w:val="3A3556CD"/>
    <w:rsid w:val="3A4B3142"/>
    <w:rsid w:val="3A565DE9"/>
    <w:rsid w:val="3AA60379"/>
    <w:rsid w:val="3AAA60BB"/>
    <w:rsid w:val="3AB900AC"/>
    <w:rsid w:val="3AC36A27"/>
    <w:rsid w:val="3AE07D2F"/>
    <w:rsid w:val="3AEA4709"/>
    <w:rsid w:val="3AFA0DF0"/>
    <w:rsid w:val="3AFB06C4"/>
    <w:rsid w:val="3B07350D"/>
    <w:rsid w:val="3B307FFB"/>
    <w:rsid w:val="3B567FF1"/>
    <w:rsid w:val="3B7346FF"/>
    <w:rsid w:val="3B8D7896"/>
    <w:rsid w:val="3B950B19"/>
    <w:rsid w:val="3B984165"/>
    <w:rsid w:val="3BB80364"/>
    <w:rsid w:val="3BDF7FE6"/>
    <w:rsid w:val="3C37397E"/>
    <w:rsid w:val="3C6A5B02"/>
    <w:rsid w:val="3C9F32D2"/>
    <w:rsid w:val="3CD94A35"/>
    <w:rsid w:val="3CE31410"/>
    <w:rsid w:val="3D006466"/>
    <w:rsid w:val="3D0777F5"/>
    <w:rsid w:val="3D0A1093"/>
    <w:rsid w:val="3D0A2E41"/>
    <w:rsid w:val="3D0F0457"/>
    <w:rsid w:val="3D1C44F4"/>
    <w:rsid w:val="3D255ECD"/>
    <w:rsid w:val="3D2C725B"/>
    <w:rsid w:val="3D85696B"/>
    <w:rsid w:val="3D9077EA"/>
    <w:rsid w:val="3D931088"/>
    <w:rsid w:val="3D9F7A2D"/>
    <w:rsid w:val="3E4E4FAF"/>
    <w:rsid w:val="3E5E3444"/>
    <w:rsid w:val="3E6622F9"/>
    <w:rsid w:val="3E7964D0"/>
    <w:rsid w:val="3E8250E7"/>
    <w:rsid w:val="3F116709"/>
    <w:rsid w:val="3F301058"/>
    <w:rsid w:val="3F577E93"/>
    <w:rsid w:val="3FA23805"/>
    <w:rsid w:val="3FAF7CCF"/>
    <w:rsid w:val="3FB5178A"/>
    <w:rsid w:val="3FBD419A"/>
    <w:rsid w:val="3FC92B3F"/>
    <w:rsid w:val="3FE30398"/>
    <w:rsid w:val="40077B0C"/>
    <w:rsid w:val="40104C12"/>
    <w:rsid w:val="402B1A4C"/>
    <w:rsid w:val="405368AD"/>
    <w:rsid w:val="407A652F"/>
    <w:rsid w:val="408D6263"/>
    <w:rsid w:val="410127AD"/>
    <w:rsid w:val="41083B3B"/>
    <w:rsid w:val="41586871"/>
    <w:rsid w:val="417A34F9"/>
    <w:rsid w:val="418810F4"/>
    <w:rsid w:val="41886A2A"/>
    <w:rsid w:val="418D4040"/>
    <w:rsid w:val="41A37673"/>
    <w:rsid w:val="41AF2209"/>
    <w:rsid w:val="41C45CB4"/>
    <w:rsid w:val="42183E6E"/>
    <w:rsid w:val="422E312E"/>
    <w:rsid w:val="42503F5E"/>
    <w:rsid w:val="42552DB0"/>
    <w:rsid w:val="4286740D"/>
    <w:rsid w:val="429C09DF"/>
    <w:rsid w:val="42C30950"/>
    <w:rsid w:val="43030A5E"/>
    <w:rsid w:val="430D5439"/>
    <w:rsid w:val="43302ED5"/>
    <w:rsid w:val="43686B13"/>
    <w:rsid w:val="43911BC6"/>
    <w:rsid w:val="43C006FD"/>
    <w:rsid w:val="43CE64CC"/>
    <w:rsid w:val="43E50164"/>
    <w:rsid w:val="443F5AC6"/>
    <w:rsid w:val="44476729"/>
    <w:rsid w:val="44511355"/>
    <w:rsid w:val="445A645C"/>
    <w:rsid w:val="44A1052F"/>
    <w:rsid w:val="44A122DD"/>
    <w:rsid w:val="44B71B00"/>
    <w:rsid w:val="44BC2C73"/>
    <w:rsid w:val="44D81A76"/>
    <w:rsid w:val="459B4F7E"/>
    <w:rsid w:val="45A65C7F"/>
    <w:rsid w:val="45B44292"/>
    <w:rsid w:val="45CD0EAF"/>
    <w:rsid w:val="45D87F80"/>
    <w:rsid w:val="45F13359"/>
    <w:rsid w:val="45FD7339"/>
    <w:rsid w:val="46405B25"/>
    <w:rsid w:val="46560EA5"/>
    <w:rsid w:val="46582E6F"/>
    <w:rsid w:val="468C2A4A"/>
    <w:rsid w:val="469814BD"/>
    <w:rsid w:val="46AD2493"/>
    <w:rsid w:val="46CB1893"/>
    <w:rsid w:val="46EC7F14"/>
    <w:rsid w:val="47176886"/>
    <w:rsid w:val="474A045B"/>
    <w:rsid w:val="47633AB5"/>
    <w:rsid w:val="47C6205A"/>
    <w:rsid w:val="47C87B80"/>
    <w:rsid w:val="47CA1B4A"/>
    <w:rsid w:val="47CA7D9C"/>
    <w:rsid w:val="47DB3D58"/>
    <w:rsid w:val="47E0136E"/>
    <w:rsid w:val="48194880"/>
    <w:rsid w:val="483D40CA"/>
    <w:rsid w:val="483F42E6"/>
    <w:rsid w:val="48AF4C7F"/>
    <w:rsid w:val="49042E3A"/>
    <w:rsid w:val="491017DF"/>
    <w:rsid w:val="49727B7F"/>
    <w:rsid w:val="497F3411"/>
    <w:rsid w:val="49804BB7"/>
    <w:rsid w:val="49830203"/>
    <w:rsid w:val="49883A6B"/>
    <w:rsid w:val="49891591"/>
    <w:rsid w:val="49926698"/>
    <w:rsid w:val="49B77EAC"/>
    <w:rsid w:val="49C63EF3"/>
    <w:rsid w:val="49C820BA"/>
    <w:rsid w:val="49C83E68"/>
    <w:rsid w:val="49E113CD"/>
    <w:rsid w:val="4A17094B"/>
    <w:rsid w:val="4A1B668D"/>
    <w:rsid w:val="4A203CA4"/>
    <w:rsid w:val="4A3E05CE"/>
    <w:rsid w:val="4A45195C"/>
    <w:rsid w:val="4A4A6F73"/>
    <w:rsid w:val="4A5B46DD"/>
    <w:rsid w:val="4A6F6A56"/>
    <w:rsid w:val="4A81677A"/>
    <w:rsid w:val="4AA541A9"/>
    <w:rsid w:val="4AC97E97"/>
    <w:rsid w:val="4AEC002A"/>
    <w:rsid w:val="4AF869CF"/>
    <w:rsid w:val="4AFE3E0E"/>
    <w:rsid w:val="4B0215FB"/>
    <w:rsid w:val="4B1A6945"/>
    <w:rsid w:val="4B3B5348"/>
    <w:rsid w:val="4B555BCF"/>
    <w:rsid w:val="4B5736F5"/>
    <w:rsid w:val="4B771FE9"/>
    <w:rsid w:val="4C235CCD"/>
    <w:rsid w:val="4C5902E9"/>
    <w:rsid w:val="4C7B1665"/>
    <w:rsid w:val="4C87625C"/>
    <w:rsid w:val="4C982217"/>
    <w:rsid w:val="4CA010CC"/>
    <w:rsid w:val="4CAC7A71"/>
    <w:rsid w:val="4CD945DE"/>
    <w:rsid w:val="4CDB2104"/>
    <w:rsid w:val="4CFC6DD8"/>
    <w:rsid w:val="4D2717ED"/>
    <w:rsid w:val="4D4E6D7A"/>
    <w:rsid w:val="4D5A127B"/>
    <w:rsid w:val="4D5A74CD"/>
    <w:rsid w:val="4D896004"/>
    <w:rsid w:val="4D926C66"/>
    <w:rsid w:val="4DA177B2"/>
    <w:rsid w:val="4DA370C6"/>
    <w:rsid w:val="4DCD4142"/>
    <w:rsid w:val="4DF36D4F"/>
    <w:rsid w:val="4E01203E"/>
    <w:rsid w:val="4E0F6509"/>
    <w:rsid w:val="4E1E674C"/>
    <w:rsid w:val="4E30022D"/>
    <w:rsid w:val="4E3917D8"/>
    <w:rsid w:val="4E485577"/>
    <w:rsid w:val="4E4E3733"/>
    <w:rsid w:val="4E6D76D3"/>
    <w:rsid w:val="4ECC7F56"/>
    <w:rsid w:val="4EDD2163"/>
    <w:rsid w:val="4EE2777A"/>
    <w:rsid w:val="4EE96D5A"/>
    <w:rsid w:val="4EFD53C3"/>
    <w:rsid w:val="4F133DD7"/>
    <w:rsid w:val="4F2558B8"/>
    <w:rsid w:val="4F280F96"/>
    <w:rsid w:val="4F3668E0"/>
    <w:rsid w:val="4F3E697A"/>
    <w:rsid w:val="4F55619D"/>
    <w:rsid w:val="4F610FE6"/>
    <w:rsid w:val="4F6463E1"/>
    <w:rsid w:val="4F8D643F"/>
    <w:rsid w:val="4F9C201E"/>
    <w:rsid w:val="4FA40ED3"/>
    <w:rsid w:val="4FA964E9"/>
    <w:rsid w:val="4FB54E8E"/>
    <w:rsid w:val="4FD73056"/>
    <w:rsid w:val="4FD86DCF"/>
    <w:rsid w:val="4FE6773D"/>
    <w:rsid w:val="500B0F52"/>
    <w:rsid w:val="50107F18"/>
    <w:rsid w:val="5012408F"/>
    <w:rsid w:val="50185F11"/>
    <w:rsid w:val="501B7C76"/>
    <w:rsid w:val="50281B04"/>
    <w:rsid w:val="504D5CCF"/>
    <w:rsid w:val="507408A5"/>
    <w:rsid w:val="508D2AE9"/>
    <w:rsid w:val="509C604E"/>
    <w:rsid w:val="50F73284"/>
    <w:rsid w:val="50FE4613"/>
    <w:rsid w:val="511A2CA6"/>
    <w:rsid w:val="51200A2D"/>
    <w:rsid w:val="51B3364F"/>
    <w:rsid w:val="51BC0756"/>
    <w:rsid w:val="51D75590"/>
    <w:rsid w:val="521E31BF"/>
    <w:rsid w:val="52304CA0"/>
    <w:rsid w:val="525E7A5F"/>
    <w:rsid w:val="52707792"/>
    <w:rsid w:val="52770B21"/>
    <w:rsid w:val="527A416D"/>
    <w:rsid w:val="527C7EE5"/>
    <w:rsid w:val="527D03E3"/>
    <w:rsid w:val="527E3C5D"/>
    <w:rsid w:val="52831274"/>
    <w:rsid w:val="528F5E6A"/>
    <w:rsid w:val="52C60767"/>
    <w:rsid w:val="52C673B2"/>
    <w:rsid w:val="530F0D59"/>
    <w:rsid w:val="5311687F"/>
    <w:rsid w:val="532A571B"/>
    <w:rsid w:val="533A7469"/>
    <w:rsid w:val="533B56AA"/>
    <w:rsid w:val="533E33EC"/>
    <w:rsid w:val="53513120"/>
    <w:rsid w:val="53526129"/>
    <w:rsid w:val="53762B86"/>
    <w:rsid w:val="538B4CD8"/>
    <w:rsid w:val="5394300C"/>
    <w:rsid w:val="53A21BCD"/>
    <w:rsid w:val="53A70F92"/>
    <w:rsid w:val="53C25DCC"/>
    <w:rsid w:val="53C86899"/>
    <w:rsid w:val="542645AC"/>
    <w:rsid w:val="542D76E9"/>
    <w:rsid w:val="54394F3D"/>
    <w:rsid w:val="54534C76"/>
    <w:rsid w:val="547846DC"/>
    <w:rsid w:val="54A4596D"/>
    <w:rsid w:val="54AD25D8"/>
    <w:rsid w:val="54B020C8"/>
    <w:rsid w:val="5519761B"/>
    <w:rsid w:val="552A1E7A"/>
    <w:rsid w:val="553B7BE4"/>
    <w:rsid w:val="554F7B33"/>
    <w:rsid w:val="55967510"/>
    <w:rsid w:val="55A27C63"/>
    <w:rsid w:val="55EA33B8"/>
    <w:rsid w:val="55EE4C56"/>
    <w:rsid w:val="55F45FE4"/>
    <w:rsid w:val="563A433F"/>
    <w:rsid w:val="56443668"/>
    <w:rsid w:val="565F61A9"/>
    <w:rsid w:val="566D0271"/>
    <w:rsid w:val="568B6949"/>
    <w:rsid w:val="569C0B56"/>
    <w:rsid w:val="56A417B8"/>
    <w:rsid w:val="56AD4B11"/>
    <w:rsid w:val="56B91708"/>
    <w:rsid w:val="56BE0ACC"/>
    <w:rsid w:val="56BE6D1E"/>
    <w:rsid w:val="56E83D9B"/>
    <w:rsid w:val="56F97D56"/>
    <w:rsid w:val="57232FC4"/>
    <w:rsid w:val="572D2326"/>
    <w:rsid w:val="57365691"/>
    <w:rsid w:val="5737087F"/>
    <w:rsid w:val="57743881"/>
    <w:rsid w:val="57A53A3A"/>
    <w:rsid w:val="57A557E8"/>
    <w:rsid w:val="57FB5D50"/>
    <w:rsid w:val="580746F5"/>
    <w:rsid w:val="58296419"/>
    <w:rsid w:val="58490869"/>
    <w:rsid w:val="58A957AC"/>
    <w:rsid w:val="58B77EC9"/>
    <w:rsid w:val="58C425E6"/>
    <w:rsid w:val="58C83E84"/>
    <w:rsid w:val="58F85DEC"/>
    <w:rsid w:val="5919648E"/>
    <w:rsid w:val="59266DFD"/>
    <w:rsid w:val="5939268C"/>
    <w:rsid w:val="594554D5"/>
    <w:rsid w:val="59576FB6"/>
    <w:rsid w:val="59684D1F"/>
    <w:rsid w:val="59926240"/>
    <w:rsid w:val="59EE1E48"/>
    <w:rsid w:val="59F36CDF"/>
    <w:rsid w:val="59F760A3"/>
    <w:rsid w:val="5A490F5C"/>
    <w:rsid w:val="5A673229"/>
    <w:rsid w:val="5AC42429"/>
    <w:rsid w:val="5AE34FA5"/>
    <w:rsid w:val="5B1F3B03"/>
    <w:rsid w:val="5B805E16"/>
    <w:rsid w:val="5B841BB9"/>
    <w:rsid w:val="5B8F47E5"/>
    <w:rsid w:val="5BA069F2"/>
    <w:rsid w:val="5BA109BC"/>
    <w:rsid w:val="5BA504AD"/>
    <w:rsid w:val="5BD21464"/>
    <w:rsid w:val="5BDE2B83"/>
    <w:rsid w:val="5BDE576D"/>
    <w:rsid w:val="5BE014E5"/>
    <w:rsid w:val="5C777282"/>
    <w:rsid w:val="5C9B365E"/>
    <w:rsid w:val="5CEC5C67"/>
    <w:rsid w:val="5CF27722"/>
    <w:rsid w:val="5D245401"/>
    <w:rsid w:val="5D2E6280"/>
    <w:rsid w:val="5DA86032"/>
    <w:rsid w:val="5DB26EB1"/>
    <w:rsid w:val="5DB93D9B"/>
    <w:rsid w:val="5E452D31"/>
    <w:rsid w:val="5E5E4943"/>
    <w:rsid w:val="5E624433"/>
    <w:rsid w:val="5E895E64"/>
    <w:rsid w:val="5E8C325E"/>
    <w:rsid w:val="5F1F2324"/>
    <w:rsid w:val="5F2931A3"/>
    <w:rsid w:val="5F441D8B"/>
    <w:rsid w:val="5F544A55"/>
    <w:rsid w:val="5F7F7267"/>
    <w:rsid w:val="5F814D8D"/>
    <w:rsid w:val="5F8646A4"/>
    <w:rsid w:val="5FC25E26"/>
    <w:rsid w:val="5FFB4B3F"/>
    <w:rsid w:val="603E4A2C"/>
    <w:rsid w:val="6042276E"/>
    <w:rsid w:val="60D1764E"/>
    <w:rsid w:val="60D84E80"/>
    <w:rsid w:val="60E455D3"/>
    <w:rsid w:val="61044220"/>
    <w:rsid w:val="6155202D"/>
    <w:rsid w:val="61635F72"/>
    <w:rsid w:val="618606C5"/>
    <w:rsid w:val="61972646"/>
    <w:rsid w:val="61C64CD9"/>
    <w:rsid w:val="620852F1"/>
    <w:rsid w:val="620D6DAC"/>
    <w:rsid w:val="6224402D"/>
    <w:rsid w:val="62410803"/>
    <w:rsid w:val="625642AF"/>
    <w:rsid w:val="629E7A04"/>
    <w:rsid w:val="62BD60DC"/>
    <w:rsid w:val="62DA4EE0"/>
    <w:rsid w:val="62E96ED1"/>
    <w:rsid w:val="63185A08"/>
    <w:rsid w:val="63402869"/>
    <w:rsid w:val="63411336"/>
    <w:rsid w:val="63534C92"/>
    <w:rsid w:val="6356208C"/>
    <w:rsid w:val="63576530"/>
    <w:rsid w:val="6384067A"/>
    <w:rsid w:val="6384309D"/>
    <w:rsid w:val="638D125E"/>
    <w:rsid w:val="6396333E"/>
    <w:rsid w:val="63D35B85"/>
    <w:rsid w:val="63DF02D4"/>
    <w:rsid w:val="63E114D3"/>
    <w:rsid w:val="6401024A"/>
    <w:rsid w:val="642108EC"/>
    <w:rsid w:val="648275DD"/>
    <w:rsid w:val="64B4350F"/>
    <w:rsid w:val="64D27AC2"/>
    <w:rsid w:val="651B533C"/>
    <w:rsid w:val="65270184"/>
    <w:rsid w:val="65586590"/>
    <w:rsid w:val="655B1BDC"/>
    <w:rsid w:val="65750EF0"/>
    <w:rsid w:val="65766A16"/>
    <w:rsid w:val="65D26342"/>
    <w:rsid w:val="65FE7137"/>
    <w:rsid w:val="66124991"/>
    <w:rsid w:val="66344907"/>
    <w:rsid w:val="66391F1D"/>
    <w:rsid w:val="667747F4"/>
    <w:rsid w:val="66855163"/>
    <w:rsid w:val="66894F0B"/>
    <w:rsid w:val="66C750FD"/>
    <w:rsid w:val="67024A05"/>
    <w:rsid w:val="674F751F"/>
    <w:rsid w:val="675D5A5B"/>
    <w:rsid w:val="67650123"/>
    <w:rsid w:val="676E209B"/>
    <w:rsid w:val="677B0314"/>
    <w:rsid w:val="67AA29A7"/>
    <w:rsid w:val="67C63C85"/>
    <w:rsid w:val="67DF6AF4"/>
    <w:rsid w:val="680B5B3B"/>
    <w:rsid w:val="6817628E"/>
    <w:rsid w:val="681A5D7E"/>
    <w:rsid w:val="684F3C7A"/>
    <w:rsid w:val="68701E42"/>
    <w:rsid w:val="68CD2DF1"/>
    <w:rsid w:val="68DB64BA"/>
    <w:rsid w:val="68EF5F6C"/>
    <w:rsid w:val="68F0088D"/>
    <w:rsid w:val="69470EC3"/>
    <w:rsid w:val="694806C9"/>
    <w:rsid w:val="695B03FD"/>
    <w:rsid w:val="6964746C"/>
    <w:rsid w:val="697D0373"/>
    <w:rsid w:val="69A753F0"/>
    <w:rsid w:val="69EC374B"/>
    <w:rsid w:val="6A107439"/>
    <w:rsid w:val="6A696B49"/>
    <w:rsid w:val="6A883473"/>
    <w:rsid w:val="6AB73D58"/>
    <w:rsid w:val="6AC344AB"/>
    <w:rsid w:val="6ACD532A"/>
    <w:rsid w:val="6AD46D46"/>
    <w:rsid w:val="6AE0505D"/>
    <w:rsid w:val="6AEC0549"/>
    <w:rsid w:val="6AF723A7"/>
    <w:rsid w:val="6B07083C"/>
    <w:rsid w:val="6B52582F"/>
    <w:rsid w:val="6B623CC4"/>
    <w:rsid w:val="6B6C65E0"/>
    <w:rsid w:val="6B6D2669"/>
    <w:rsid w:val="6B741C4A"/>
    <w:rsid w:val="6B7B6FD4"/>
    <w:rsid w:val="6B8579B3"/>
    <w:rsid w:val="6B87372B"/>
    <w:rsid w:val="6BB40298"/>
    <w:rsid w:val="6BD36970"/>
    <w:rsid w:val="6C021003"/>
    <w:rsid w:val="6C0C1E82"/>
    <w:rsid w:val="6C2B67AC"/>
    <w:rsid w:val="6C411B2C"/>
    <w:rsid w:val="6CC85DA9"/>
    <w:rsid w:val="6D042B59"/>
    <w:rsid w:val="6D2A0812"/>
    <w:rsid w:val="6D6F26C8"/>
    <w:rsid w:val="6D723F67"/>
    <w:rsid w:val="6DAC1227"/>
    <w:rsid w:val="6DB30807"/>
    <w:rsid w:val="6DE07909"/>
    <w:rsid w:val="6DFD1A82"/>
    <w:rsid w:val="6DFD7CD4"/>
    <w:rsid w:val="6E3B25AB"/>
    <w:rsid w:val="6E58438A"/>
    <w:rsid w:val="6E7066F8"/>
    <w:rsid w:val="6E9D5508"/>
    <w:rsid w:val="6EB760D5"/>
    <w:rsid w:val="6F451933"/>
    <w:rsid w:val="6F4F55E2"/>
    <w:rsid w:val="6F871359"/>
    <w:rsid w:val="6FBC771B"/>
    <w:rsid w:val="6FC266E0"/>
    <w:rsid w:val="6FC313AA"/>
    <w:rsid w:val="6FF43359"/>
    <w:rsid w:val="703431BA"/>
    <w:rsid w:val="703D6AAE"/>
    <w:rsid w:val="70447D89"/>
    <w:rsid w:val="70480FAF"/>
    <w:rsid w:val="706109EE"/>
    <w:rsid w:val="70787AE6"/>
    <w:rsid w:val="70BD199D"/>
    <w:rsid w:val="70DD5B9B"/>
    <w:rsid w:val="70DF5DB7"/>
    <w:rsid w:val="711B7F18"/>
    <w:rsid w:val="713F0604"/>
    <w:rsid w:val="715F2A54"/>
    <w:rsid w:val="71881FAB"/>
    <w:rsid w:val="71C254BD"/>
    <w:rsid w:val="71E573FD"/>
    <w:rsid w:val="71EB22B3"/>
    <w:rsid w:val="72010FA6"/>
    <w:rsid w:val="722E4900"/>
    <w:rsid w:val="7238577F"/>
    <w:rsid w:val="724203AC"/>
    <w:rsid w:val="728F1117"/>
    <w:rsid w:val="72B56DCF"/>
    <w:rsid w:val="72D66D46"/>
    <w:rsid w:val="72DD1E82"/>
    <w:rsid w:val="73320420"/>
    <w:rsid w:val="733F48EB"/>
    <w:rsid w:val="7358775B"/>
    <w:rsid w:val="735D3FB1"/>
    <w:rsid w:val="738467A2"/>
    <w:rsid w:val="73942BF4"/>
    <w:rsid w:val="73A806E2"/>
    <w:rsid w:val="73E95DE4"/>
    <w:rsid w:val="73F13D5B"/>
    <w:rsid w:val="74033B6B"/>
    <w:rsid w:val="74212849"/>
    <w:rsid w:val="743E4331"/>
    <w:rsid w:val="744C1D4E"/>
    <w:rsid w:val="745B5755"/>
    <w:rsid w:val="747E63D7"/>
    <w:rsid w:val="748922C2"/>
    <w:rsid w:val="748A4F72"/>
    <w:rsid w:val="748D1686"/>
    <w:rsid w:val="74961819"/>
    <w:rsid w:val="74BB4445"/>
    <w:rsid w:val="74C720CA"/>
    <w:rsid w:val="74DA0D6F"/>
    <w:rsid w:val="74FE723F"/>
    <w:rsid w:val="750202C6"/>
    <w:rsid w:val="75363ACC"/>
    <w:rsid w:val="75664078"/>
    <w:rsid w:val="75907680"/>
    <w:rsid w:val="75DA55C9"/>
    <w:rsid w:val="761E4132"/>
    <w:rsid w:val="76530DD9"/>
    <w:rsid w:val="765468FF"/>
    <w:rsid w:val="769211D6"/>
    <w:rsid w:val="769F401E"/>
    <w:rsid w:val="76AD7DBE"/>
    <w:rsid w:val="76B92C06"/>
    <w:rsid w:val="76EC6B38"/>
    <w:rsid w:val="76F53C3E"/>
    <w:rsid w:val="770B3462"/>
    <w:rsid w:val="770E4D00"/>
    <w:rsid w:val="771F1E4D"/>
    <w:rsid w:val="772C5186"/>
    <w:rsid w:val="77456248"/>
    <w:rsid w:val="775A1CF3"/>
    <w:rsid w:val="776E1C43"/>
    <w:rsid w:val="77701517"/>
    <w:rsid w:val="77B27D81"/>
    <w:rsid w:val="77F75794"/>
    <w:rsid w:val="77F959B0"/>
    <w:rsid w:val="78061A79"/>
    <w:rsid w:val="78153E6C"/>
    <w:rsid w:val="78362761"/>
    <w:rsid w:val="7851759A"/>
    <w:rsid w:val="785B3F75"/>
    <w:rsid w:val="785E5813"/>
    <w:rsid w:val="7863107C"/>
    <w:rsid w:val="788A2AAC"/>
    <w:rsid w:val="78C733B9"/>
    <w:rsid w:val="79181486"/>
    <w:rsid w:val="79450070"/>
    <w:rsid w:val="797057FE"/>
    <w:rsid w:val="79741B07"/>
    <w:rsid w:val="79DC2E94"/>
    <w:rsid w:val="79F91C98"/>
    <w:rsid w:val="7A3507F6"/>
    <w:rsid w:val="7A4B626B"/>
    <w:rsid w:val="7AAE4D15"/>
    <w:rsid w:val="7AB931D5"/>
    <w:rsid w:val="7ACA3634"/>
    <w:rsid w:val="7AFE508C"/>
    <w:rsid w:val="7B2561EC"/>
    <w:rsid w:val="7B5178B1"/>
    <w:rsid w:val="7B8B2DC3"/>
    <w:rsid w:val="7BB10DED"/>
    <w:rsid w:val="7BC003CA"/>
    <w:rsid w:val="7BC660B1"/>
    <w:rsid w:val="7BE349AD"/>
    <w:rsid w:val="7BE91898"/>
    <w:rsid w:val="7BEA77B5"/>
    <w:rsid w:val="7C19674F"/>
    <w:rsid w:val="7C211BE0"/>
    <w:rsid w:val="7C815F74"/>
    <w:rsid w:val="7CBF4BB4"/>
    <w:rsid w:val="7CCA16C9"/>
    <w:rsid w:val="7CD51E1C"/>
    <w:rsid w:val="7D3B25C7"/>
    <w:rsid w:val="7D3E3E65"/>
    <w:rsid w:val="7D44147C"/>
    <w:rsid w:val="7D567401"/>
    <w:rsid w:val="7DB61C4E"/>
    <w:rsid w:val="7DBB54B6"/>
    <w:rsid w:val="7DBF0B02"/>
    <w:rsid w:val="7DF764EE"/>
    <w:rsid w:val="7DF82266"/>
    <w:rsid w:val="7E030AED"/>
    <w:rsid w:val="7E0D5D12"/>
    <w:rsid w:val="7E154BC6"/>
    <w:rsid w:val="7E17093E"/>
    <w:rsid w:val="7E3239CA"/>
    <w:rsid w:val="7E4131DC"/>
    <w:rsid w:val="7E4234E1"/>
    <w:rsid w:val="7E470AF8"/>
    <w:rsid w:val="7E53749D"/>
    <w:rsid w:val="7E5D346D"/>
    <w:rsid w:val="7E5E47BF"/>
    <w:rsid w:val="7E7A0ECD"/>
    <w:rsid w:val="7E891110"/>
    <w:rsid w:val="7E8D625D"/>
    <w:rsid w:val="7EAB72D9"/>
    <w:rsid w:val="7EEB3B79"/>
    <w:rsid w:val="7F0C5FC9"/>
    <w:rsid w:val="7F313C82"/>
    <w:rsid w:val="7F5D6825"/>
    <w:rsid w:val="7F7B4EFD"/>
    <w:rsid w:val="7F875650"/>
    <w:rsid w:val="7F89761A"/>
    <w:rsid w:val="7F945FBF"/>
    <w:rsid w:val="7FB87EFF"/>
    <w:rsid w:val="7FDB1E88"/>
    <w:rsid w:val="7FEB7AEC"/>
    <w:rsid w:val="7FF627D5"/>
    <w:rsid w:val="FFDF9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Lines="50"/>
      <w:outlineLvl w:val="1"/>
    </w:pPr>
    <w:rPr>
      <w:rFonts w:ascii="Arial" w:hAnsi="Arial" w:eastAsia="楷体_GB2312"/>
      <w:b/>
      <w:sz w:val="32"/>
    </w:rPr>
  </w:style>
  <w:style w:type="paragraph" w:styleId="5">
    <w:name w:val="heading 3"/>
    <w:basedOn w:val="1"/>
    <w:next w:val="1"/>
    <w:unhideWhenUsed/>
    <w:qFormat/>
    <w:uiPriority w:val="9"/>
    <w:pPr>
      <w:keepNext/>
      <w:keepLines/>
      <w:spacing w:before="140"/>
      <w:outlineLvl w:val="2"/>
    </w:pPr>
    <w:rPr>
      <w:b/>
      <w:bCs/>
      <w:sz w:val="30"/>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cs="Arial"/>
      <w:b/>
      <w:bCs/>
      <w:sz w:val="32"/>
      <w:szCs w:val="32"/>
    </w:r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jc w:val="center"/>
    </w:pPr>
    <w:rPr>
      <w:b/>
      <w:sz w:val="44"/>
    </w:rPr>
  </w:style>
  <w:style w:type="paragraph" w:styleId="10">
    <w:name w:val="Balloon Text"/>
    <w:basedOn w:val="1"/>
    <w:link w:val="30"/>
    <w:semiHidden/>
    <w:unhideWhenUsed/>
    <w:qFormat/>
    <w:uiPriority w:val="99"/>
    <w:pPr>
      <w:spacing w:line="240" w:lineRule="auto"/>
    </w:pPr>
    <w:rPr>
      <w:sz w:val="18"/>
      <w:szCs w:val="18"/>
    </w:rPr>
  </w:style>
  <w:style w:type="paragraph" w:styleId="11">
    <w:name w:val="footer"/>
    <w:basedOn w:val="1"/>
    <w:link w:val="26"/>
    <w:unhideWhenUsed/>
    <w:qFormat/>
    <w:uiPriority w:val="99"/>
    <w:pPr>
      <w:tabs>
        <w:tab w:val="center" w:pos="4153"/>
        <w:tab w:val="right" w:pos="8306"/>
      </w:tabs>
      <w:jc w:val="left"/>
    </w:pPr>
    <w:rPr>
      <w:sz w:val="18"/>
      <w:szCs w:val="18"/>
    </w:rPr>
  </w:style>
  <w:style w:type="paragraph" w:styleId="12">
    <w:name w:val="header"/>
    <w:basedOn w:val="1"/>
    <w:link w:val="27"/>
    <w:unhideWhenUsed/>
    <w:qFormat/>
    <w:uiPriority w:val="99"/>
    <w:pPr>
      <w:pBdr>
        <w:bottom w:val="single" w:color="auto" w:sz="6" w:space="1"/>
      </w:pBdr>
      <w:tabs>
        <w:tab w:val="center" w:pos="4153"/>
        <w:tab w:val="right" w:pos="8306"/>
      </w:tabs>
      <w:jc w:val="center"/>
    </w:pPr>
    <w:rPr>
      <w:sz w:val="18"/>
      <w:szCs w:val="18"/>
    </w:rPr>
  </w:style>
  <w:style w:type="paragraph" w:styleId="13">
    <w:name w:val="footnote text"/>
    <w:basedOn w:val="1"/>
    <w:next w:val="14"/>
    <w:qFormat/>
    <w:uiPriority w:val="0"/>
    <w:pPr>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99"/>
    <w:pPr>
      <w:spacing w:before="100" w:beforeAutospacing="1" w:after="100" w:afterAutospacing="1"/>
      <w:jc w:val="left"/>
    </w:pPr>
    <w:rPr>
      <w:rFonts w:cs="Times New Roman"/>
      <w:sz w:val="24"/>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basedOn w:val="20"/>
    <w:qFormat/>
    <w:uiPriority w:val="0"/>
    <w:rPr>
      <w:b/>
      <w:bCs/>
    </w:rPr>
  </w:style>
  <w:style w:type="character" w:styleId="22">
    <w:name w:val="page number"/>
    <w:basedOn w:val="20"/>
    <w:qFormat/>
    <w:uiPriority w:val="0"/>
  </w:style>
  <w:style w:type="character" w:styleId="23">
    <w:name w:val="Hyperlink"/>
    <w:basedOn w:val="20"/>
    <w:qFormat/>
    <w:uiPriority w:val="0"/>
    <w:rPr>
      <w:color w:val="5B677D"/>
      <w:u w:val="none"/>
    </w:rPr>
  </w:style>
  <w:style w:type="character" w:styleId="24">
    <w:name w:val="annotation reference"/>
    <w:basedOn w:val="20"/>
    <w:semiHidden/>
    <w:unhideWhenUsed/>
    <w:qFormat/>
    <w:uiPriority w:val="99"/>
    <w:rPr>
      <w:sz w:val="21"/>
      <w:szCs w:val="21"/>
    </w:rPr>
  </w:style>
  <w:style w:type="paragraph" w:customStyle="1" w:styleId="25">
    <w:name w:val="列出段落1"/>
    <w:basedOn w:val="1"/>
    <w:unhideWhenUsed/>
    <w:qFormat/>
    <w:uiPriority w:val="99"/>
    <w:pPr>
      <w:ind w:firstLine="420"/>
    </w:pPr>
  </w:style>
  <w:style w:type="character" w:customStyle="1" w:styleId="26">
    <w:name w:val="页脚 Char"/>
    <w:basedOn w:val="20"/>
    <w:link w:val="11"/>
    <w:qFormat/>
    <w:uiPriority w:val="99"/>
    <w:rPr>
      <w:sz w:val="18"/>
      <w:szCs w:val="18"/>
    </w:rPr>
  </w:style>
  <w:style w:type="character" w:customStyle="1" w:styleId="27">
    <w:name w:val="页眉 Char"/>
    <w:basedOn w:val="20"/>
    <w:link w:val="12"/>
    <w:qFormat/>
    <w:uiPriority w:val="99"/>
    <w:rPr>
      <w:sz w:val="18"/>
      <w:szCs w:val="18"/>
    </w:rPr>
  </w:style>
  <w:style w:type="paragraph" w:customStyle="1" w:styleId="28">
    <w:name w:val="WPSOffice手动目录 1"/>
    <w:qFormat/>
    <w:uiPriority w:val="0"/>
    <w:rPr>
      <w:rFonts w:asciiTheme="minorHAnsi" w:hAnsiTheme="minorHAnsi" w:eastAsiaTheme="minorEastAsia" w:cstheme="minorBidi"/>
      <w:lang w:val="en-US" w:eastAsia="zh-CN" w:bidi="ar-SA"/>
    </w:rPr>
  </w:style>
  <w:style w:type="paragraph" w:customStyle="1" w:styleId="29">
    <w:name w:val="闻政-正文段落文字"/>
    <w:basedOn w:val="1"/>
    <w:qFormat/>
    <w:uiPriority w:val="3"/>
    <w:pPr>
      <w:spacing w:line="500" w:lineRule="exact"/>
      <w:ind w:firstLine="200"/>
    </w:pPr>
    <w:rPr>
      <w:rFonts w:ascii="Times New Roman" w:hAnsi="Times New Roman" w:cs="Times New Roman"/>
      <w:kern w:val="0"/>
      <w:szCs w:val="28"/>
    </w:rPr>
  </w:style>
  <w:style w:type="character" w:customStyle="1" w:styleId="30">
    <w:name w:val="批注框文本 Char"/>
    <w:basedOn w:val="20"/>
    <w:link w:val="10"/>
    <w:semiHidden/>
    <w:qFormat/>
    <w:uiPriority w:val="99"/>
    <w:rPr>
      <w:rFonts w:ascii="仿宋_GB2312" w:hAnsi="仿宋_GB2312" w:eastAsia="仿宋" w:cs="仿宋_GB2312"/>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市直单位</Company>
  <Pages>14</Pages>
  <Words>7457</Words>
  <Characters>8283</Characters>
  <Lines>57</Lines>
  <Paragraphs>16</Paragraphs>
  <TotalTime>4</TotalTime>
  <ScaleCrop>false</ScaleCrop>
  <LinksUpToDate>false</LinksUpToDate>
  <CharactersWithSpaces>8285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2024-08-11T08:38:09Z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F0B0C63C7B244D62844338B8F6345EEC_13</vt:lpwstr>
  </property>
</Properties>
</file>