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和静县哈尔莫敦镇中心卫生院部门单位整体支出绩效自评报告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szCs w:val="28"/>
          <w:highlight w:val="none"/>
        </w:rPr>
      </w:pPr>
      <w:r>
        <w:rPr>
          <w:rFonts w:hint="eastAsia"/>
          <w:color w:val="auto"/>
          <w:szCs w:val="28"/>
          <w:highlight w:val="none"/>
          <w:lang w:val="en-US" w:eastAsia="zh-CN"/>
        </w:rPr>
        <w:t>和静县哈尔莫敦镇中心卫生院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color w:val="auto"/>
          <w:highlight w:val="none"/>
          <w:lang w:val="en-US" w:eastAsia="zh-CN"/>
        </w:rPr>
      </w:pPr>
      <w:r>
        <w:rPr>
          <w:rFonts w:hint="eastAsia" w:ascii="仿宋_GB2312" w:hAnsi="仿宋" w:eastAsia="仿宋_GB2312" w:cs="仿宋"/>
          <w:color w:val="auto"/>
          <w:kern w:val="0"/>
          <w:sz w:val="28"/>
          <w:szCs w:val="28"/>
          <w:highlight w:val="none"/>
          <w:lang w:val="en-US" w:eastAsia="zh-CN"/>
        </w:rPr>
        <w:t>和静县哈尔莫敦镇中心卫生院是全额拨款事业单位，无下属预算单位，下设8个科室，分别是：门诊部，住院部，药房，收费室，财务室、公共卫生科、防疫科、体检科等和静县哈尔莫敦镇中心卫生院编制数共35人，其中：行政编制0人，事业编制35人，工勤0人。年初预算实有在职人员36，事业岗人员7人，退休人员7人，遗属人员0人。年末实有在职人数35人，事业岗人员7人，退休人员7人，遗属人员0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pStyle w:val="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s="Times New Roman"/>
          <w:color w:val="auto"/>
          <w:sz w:val="28"/>
          <w:szCs w:val="28"/>
          <w:highlight w:val="none"/>
        </w:rPr>
        <w:t>基本公共卫生服务工作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①居民健康档案及老年人、慢性病管理工作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根据基本公共卫生服务建立居民健康档案项目工作方案要求，我院于今年开展了2023年建立居民健康档案工作，为居民建立家庭健康档案纸质档案16561份，并把纸质居民健康档案完善合格录入居民电子健康档案系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建立门诊35岁以上居民首诊测血压制度，对辖区内所有高血压、糖尿病等慢病患者进行4次健康随访，做好随访记录，</w:t>
      </w:r>
      <w:r>
        <w:rPr>
          <w:rFonts w:hint="eastAsia" w:hAnsi="仿宋" w:eastAsia="仿宋_GB2312" w:cs="仿宋"/>
          <w:color w:val="auto"/>
          <w:kern w:val="0"/>
          <w:sz w:val="28"/>
          <w:szCs w:val="28"/>
          <w:highlight w:val="none"/>
          <w:lang w:val="en-US" w:eastAsia="zh-CN"/>
        </w:rPr>
        <w:t>截至目前</w:t>
      </w:r>
      <w:r>
        <w:rPr>
          <w:rFonts w:hint="eastAsia" w:ascii="仿宋_GB2312" w:hAnsi="仿宋" w:eastAsia="仿宋_GB2312" w:cs="仿宋"/>
          <w:color w:val="auto"/>
          <w:kern w:val="0"/>
          <w:sz w:val="28"/>
          <w:szCs w:val="28"/>
          <w:highlight w:val="none"/>
          <w:lang w:val="en-US" w:eastAsia="zh-CN"/>
        </w:rPr>
        <w:t>我院慢病管理数为高血压患者1942人。</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辖区内65岁以上老年人管理1897人，已经免费为1897位老年人进行体检。对查出的高血压、糖尿病纳入慢性病规范管理，对血压、血糖控制不稳定等异常情况转诊到上级医疗单位进行治疗。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②健康教育宣传工作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共举办健康教育知识讲座12场，共1800人参加，入村开展健康教育宣传咨询活动10次，共1000人参加，开展健康教育宣传12次，共发放宣传资料2000余份。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③妇幼保健、儿童保健工作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 xml:space="preserve"> 我卫生院建立了孕产妇保健手册，对辖区内的孕产妇进行摸底，按孕早、中、晚期、产褥期所规定的检查项目进行系统检查，监护和保健指导，及时发现高危情况，以确保母子安全。今年我卫生院管理的孕产妇总数72人，早孕建卡36人，孕产妇系统管理72人，</w:t>
      </w:r>
      <w:r>
        <w:rPr>
          <w:rFonts w:hint="default" w:ascii="仿宋_GB2312" w:hAnsi="仿宋" w:eastAsia="仿宋_GB2312" w:cs="仿宋"/>
          <w:color w:val="auto"/>
          <w:kern w:val="0"/>
          <w:sz w:val="28"/>
          <w:szCs w:val="28"/>
          <w:highlight w:val="none"/>
          <w:lang w:val="en-US" w:eastAsia="zh-CN"/>
        </w:rPr>
        <w:t>筛查出高危产妇</w:t>
      </w:r>
      <w:r>
        <w:rPr>
          <w:rFonts w:hint="eastAsia" w:ascii="仿宋_GB2312" w:hAnsi="仿宋" w:eastAsia="仿宋_GB2312" w:cs="仿宋"/>
          <w:color w:val="auto"/>
          <w:kern w:val="0"/>
          <w:sz w:val="28"/>
          <w:szCs w:val="28"/>
          <w:highlight w:val="none"/>
          <w:lang w:val="en-US" w:eastAsia="zh-CN"/>
        </w:rPr>
        <w:t>0</w:t>
      </w:r>
      <w:r>
        <w:rPr>
          <w:rFonts w:hint="default" w:ascii="仿宋_GB2312" w:hAnsi="仿宋" w:eastAsia="仿宋_GB2312" w:cs="仿宋"/>
          <w:color w:val="auto"/>
          <w:kern w:val="0"/>
          <w:sz w:val="28"/>
          <w:szCs w:val="28"/>
          <w:highlight w:val="none"/>
          <w:lang w:val="en-US" w:eastAsia="zh-CN"/>
        </w:rPr>
        <w:t>例，孕产妇死亡0人。</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④提高儿童保健服务质量：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做好儿童系统管理工作：加强了儿童生长发育的监测、疾病防治，提高了全</w:t>
      </w:r>
      <w:r>
        <w:rPr>
          <w:rFonts w:hint="eastAsia" w:ascii="仿宋_GB2312" w:hAnsi="仿宋" w:eastAsia="仿宋_GB2312" w:cs="仿宋"/>
          <w:color w:val="auto"/>
          <w:kern w:val="0"/>
          <w:sz w:val="28"/>
          <w:szCs w:val="28"/>
          <w:highlight w:val="none"/>
          <w:lang w:val="en-US" w:eastAsia="zh-CN"/>
        </w:rPr>
        <w:t>乡</w:t>
      </w:r>
      <w:r>
        <w:rPr>
          <w:rFonts w:hint="default" w:ascii="仿宋_GB2312" w:hAnsi="仿宋" w:eastAsia="仿宋_GB2312" w:cs="仿宋"/>
          <w:color w:val="auto"/>
          <w:kern w:val="0"/>
          <w:sz w:val="28"/>
          <w:szCs w:val="28"/>
          <w:highlight w:val="none"/>
          <w:lang w:val="en-US" w:eastAsia="zh-CN"/>
        </w:rPr>
        <w:t>儿童健康水平。今年7岁以下儿童</w:t>
      </w:r>
      <w:r>
        <w:rPr>
          <w:rFonts w:hint="eastAsia" w:ascii="仿宋_GB2312" w:hAnsi="仿宋" w:eastAsia="仿宋_GB2312" w:cs="仿宋"/>
          <w:color w:val="auto"/>
          <w:kern w:val="0"/>
          <w:sz w:val="28"/>
          <w:szCs w:val="28"/>
          <w:highlight w:val="none"/>
          <w:lang w:val="en-US" w:eastAsia="zh-CN"/>
        </w:rPr>
        <w:t>675</w:t>
      </w:r>
      <w:r>
        <w:rPr>
          <w:rFonts w:hint="default" w:ascii="仿宋_GB2312" w:hAnsi="仿宋" w:eastAsia="仿宋_GB2312" w:cs="仿宋"/>
          <w:color w:val="auto"/>
          <w:kern w:val="0"/>
          <w:sz w:val="28"/>
          <w:szCs w:val="28"/>
          <w:highlight w:val="none"/>
          <w:lang w:val="en-US" w:eastAsia="zh-CN"/>
        </w:rPr>
        <w:t>人，5岁以下儿</w:t>
      </w:r>
      <w:r>
        <w:rPr>
          <w:rFonts w:hint="eastAsia" w:ascii="仿宋_GB2312" w:hAnsi="仿宋" w:eastAsia="仿宋_GB2312" w:cs="仿宋"/>
          <w:color w:val="auto"/>
          <w:kern w:val="0"/>
          <w:sz w:val="28"/>
          <w:szCs w:val="28"/>
          <w:highlight w:val="none"/>
          <w:lang w:val="en-US" w:eastAsia="zh-CN"/>
        </w:rPr>
        <w:t>562人</w:t>
      </w:r>
      <w:r>
        <w:rPr>
          <w:rFonts w:hint="default" w:ascii="仿宋_GB2312" w:hAnsi="仿宋" w:eastAsia="仿宋_GB2312" w:cs="仿宋"/>
          <w:color w:val="auto"/>
          <w:kern w:val="0"/>
          <w:sz w:val="28"/>
          <w:szCs w:val="28"/>
          <w:highlight w:val="none"/>
          <w:lang w:val="en-US" w:eastAsia="zh-CN"/>
        </w:rPr>
        <w:t>，3岁以下人</w:t>
      </w:r>
      <w:r>
        <w:rPr>
          <w:rFonts w:hint="eastAsia" w:ascii="仿宋_GB2312" w:hAnsi="仿宋" w:eastAsia="仿宋_GB2312" w:cs="仿宋"/>
          <w:color w:val="auto"/>
          <w:kern w:val="0"/>
          <w:sz w:val="28"/>
          <w:szCs w:val="28"/>
          <w:highlight w:val="none"/>
          <w:lang w:val="en-US" w:eastAsia="zh-CN"/>
        </w:rPr>
        <w:t>198</w:t>
      </w:r>
      <w:r>
        <w:rPr>
          <w:rFonts w:hint="default" w:ascii="仿宋_GB2312" w:hAnsi="仿宋" w:eastAsia="仿宋_GB2312" w:cs="仿宋"/>
          <w:color w:val="auto"/>
          <w:kern w:val="0"/>
          <w:sz w:val="28"/>
          <w:szCs w:val="28"/>
          <w:highlight w:val="none"/>
          <w:lang w:val="en-US" w:eastAsia="zh-CN"/>
        </w:rPr>
        <w:t xml:space="preserve">，新生儿访视 </w:t>
      </w:r>
      <w:r>
        <w:rPr>
          <w:rFonts w:hint="eastAsia" w:ascii="仿宋_GB2312" w:hAnsi="仿宋" w:eastAsia="仿宋_GB2312" w:cs="仿宋"/>
          <w:color w:val="auto"/>
          <w:kern w:val="0"/>
          <w:sz w:val="28"/>
          <w:szCs w:val="28"/>
          <w:highlight w:val="none"/>
          <w:lang w:val="en-US" w:eastAsia="zh-CN"/>
        </w:rPr>
        <w:t>120</w:t>
      </w:r>
      <w:r>
        <w:rPr>
          <w:rFonts w:hint="default" w:ascii="仿宋_GB2312" w:hAnsi="仿宋" w:eastAsia="仿宋_GB2312" w:cs="仿宋"/>
          <w:color w:val="auto"/>
          <w:kern w:val="0"/>
          <w:sz w:val="28"/>
          <w:szCs w:val="28"/>
          <w:highlight w:val="none"/>
          <w:lang w:val="en-US" w:eastAsia="zh-CN"/>
        </w:rPr>
        <w:t>人，其中：早产儿</w:t>
      </w:r>
      <w:r>
        <w:rPr>
          <w:rFonts w:hint="eastAsia" w:ascii="仿宋_GB2312" w:hAnsi="仿宋" w:eastAsia="仿宋_GB2312" w:cs="仿宋"/>
          <w:color w:val="auto"/>
          <w:kern w:val="0"/>
          <w:sz w:val="28"/>
          <w:szCs w:val="28"/>
          <w:highlight w:val="none"/>
          <w:lang w:val="en-US" w:eastAsia="zh-CN"/>
        </w:rPr>
        <w:t>3</w:t>
      </w:r>
      <w:r>
        <w:rPr>
          <w:rFonts w:hint="default" w:ascii="仿宋_GB2312" w:hAnsi="仿宋" w:eastAsia="仿宋_GB2312" w:cs="仿宋"/>
          <w:color w:val="auto"/>
          <w:kern w:val="0"/>
          <w:sz w:val="28"/>
          <w:szCs w:val="28"/>
          <w:highlight w:val="none"/>
          <w:lang w:val="en-US" w:eastAsia="zh-CN"/>
        </w:rPr>
        <w:t>人，巨大儿</w:t>
      </w:r>
      <w:r>
        <w:rPr>
          <w:rFonts w:hint="eastAsia" w:ascii="仿宋_GB2312" w:hAnsi="仿宋" w:eastAsia="仿宋_GB2312" w:cs="仿宋"/>
          <w:color w:val="auto"/>
          <w:kern w:val="0"/>
          <w:sz w:val="28"/>
          <w:szCs w:val="28"/>
          <w:highlight w:val="none"/>
          <w:lang w:val="en-US" w:eastAsia="zh-CN"/>
        </w:rPr>
        <w:t>0</w:t>
      </w:r>
      <w:r>
        <w:rPr>
          <w:rFonts w:hint="default" w:ascii="仿宋_GB2312" w:hAnsi="仿宋" w:eastAsia="仿宋_GB2312" w:cs="仿宋"/>
          <w:color w:val="auto"/>
          <w:kern w:val="0"/>
          <w:sz w:val="28"/>
          <w:szCs w:val="28"/>
          <w:highlight w:val="none"/>
          <w:lang w:val="en-US" w:eastAsia="zh-CN"/>
        </w:rPr>
        <w:t>人，低体重</w:t>
      </w:r>
      <w:r>
        <w:rPr>
          <w:rFonts w:hint="eastAsia" w:ascii="仿宋_GB2312" w:hAnsi="仿宋" w:eastAsia="仿宋_GB2312" w:cs="仿宋"/>
          <w:color w:val="auto"/>
          <w:kern w:val="0"/>
          <w:sz w:val="28"/>
          <w:szCs w:val="28"/>
          <w:highlight w:val="none"/>
          <w:lang w:val="en-US" w:eastAsia="zh-CN"/>
        </w:rPr>
        <w:t>1</w:t>
      </w:r>
      <w:r>
        <w:rPr>
          <w:rFonts w:hint="default" w:ascii="仿宋_GB2312" w:hAnsi="仿宋" w:eastAsia="仿宋_GB2312" w:cs="仿宋"/>
          <w:color w:val="auto"/>
          <w:kern w:val="0"/>
          <w:sz w:val="28"/>
          <w:szCs w:val="28"/>
          <w:highlight w:val="none"/>
          <w:lang w:val="en-US" w:eastAsia="zh-CN"/>
        </w:rPr>
        <w:t>人，确保了儿童的身心健康，我</w:t>
      </w:r>
      <w:r>
        <w:rPr>
          <w:rFonts w:hint="eastAsia" w:ascii="仿宋_GB2312" w:hAnsi="仿宋" w:eastAsia="仿宋_GB2312" w:cs="仿宋"/>
          <w:color w:val="auto"/>
          <w:kern w:val="0"/>
          <w:sz w:val="28"/>
          <w:szCs w:val="28"/>
          <w:highlight w:val="none"/>
          <w:lang w:val="en-US" w:eastAsia="zh-CN"/>
        </w:rPr>
        <w:t>乡</w:t>
      </w:r>
      <w:r>
        <w:rPr>
          <w:rFonts w:hint="default" w:ascii="仿宋_GB2312" w:hAnsi="仿宋" w:eastAsia="仿宋_GB2312" w:cs="仿宋"/>
          <w:color w:val="auto"/>
          <w:kern w:val="0"/>
          <w:sz w:val="28"/>
          <w:szCs w:val="28"/>
          <w:highlight w:val="none"/>
          <w:lang w:val="en-US" w:eastAsia="zh-CN"/>
        </w:rPr>
        <w:t>3岁以下儿童系统管理人数为</w:t>
      </w:r>
      <w:r>
        <w:rPr>
          <w:rFonts w:hint="eastAsia" w:ascii="仿宋_GB2312" w:hAnsi="仿宋" w:eastAsia="仿宋_GB2312" w:cs="仿宋"/>
          <w:color w:val="auto"/>
          <w:kern w:val="0"/>
          <w:sz w:val="28"/>
          <w:szCs w:val="28"/>
          <w:highlight w:val="none"/>
          <w:lang w:val="en-US" w:eastAsia="zh-CN"/>
        </w:rPr>
        <w:t>198</w:t>
      </w:r>
      <w:r>
        <w:rPr>
          <w:rFonts w:hint="default" w:ascii="仿宋_GB2312" w:hAnsi="仿宋" w:eastAsia="仿宋_GB2312" w:cs="仿宋"/>
          <w:color w:val="auto"/>
          <w:kern w:val="0"/>
          <w:sz w:val="28"/>
          <w:szCs w:val="28"/>
          <w:highlight w:val="none"/>
          <w:lang w:val="en-US" w:eastAsia="zh-CN"/>
        </w:rPr>
        <w:t>人 ，系统管理率为</w:t>
      </w:r>
      <w:r>
        <w:rPr>
          <w:rFonts w:hint="eastAsia" w:ascii="仿宋_GB2312" w:hAnsi="仿宋" w:eastAsia="仿宋_GB2312" w:cs="仿宋"/>
          <w:color w:val="auto"/>
          <w:kern w:val="0"/>
          <w:sz w:val="28"/>
          <w:szCs w:val="28"/>
          <w:highlight w:val="none"/>
          <w:lang w:val="en-US" w:eastAsia="zh-CN"/>
        </w:rPr>
        <w:t>100</w:t>
      </w:r>
      <w:r>
        <w:rPr>
          <w:rFonts w:hint="default" w:ascii="仿宋_GB2312" w:hAnsi="仿宋" w:eastAsia="仿宋_GB2312" w:cs="仿宋"/>
          <w:color w:val="auto"/>
          <w:kern w:val="0"/>
          <w:sz w:val="28"/>
          <w:szCs w:val="28"/>
          <w:highlight w:val="none"/>
          <w:lang w:val="en-US" w:eastAsia="zh-CN"/>
        </w:rPr>
        <w:t>4%，无儿童死亡。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hAnsi="仿宋" w:eastAsia="仿宋_GB2312" w:cs="仿宋"/>
          <w:color w:val="auto"/>
          <w:kern w:val="0"/>
          <w:sz w:val="28"/>
          <w:szCs w:val="28"/>
          <w:highlight w:val="none"/>
          <w:lang w:val="en-US" w:eastAsia="zh-CN"/>
        </w:rPr>
        <w:t>（</w:t>
      </w:r>
      <w:bookmarkStart w:id="6" w:name="_GoBack"/>
      <w:bookmarkEnd w:id="6"/>
      <w:r>
        <w:rPr>
          <w:rFonts w:hint="eastAsia" w:ascii="仿宋_GB2312" w:hAnsi="仿宋" w:eastAsia="仿宋_GB2312" w:cs="仿宋"/>
          <w:color w:val="auto"/>
          <w:kern w:val="0"/>
          <w:sz w:val="28"/>
          <w:szCs w:val="28"/>
          <w:highlight w:val="none"/>
          <w:lang w:val="en-US" w:eastAsia="zh-CN"/>
        </w:rPr>
        <w:t>2</w:t>
      </w:r>
      <w:r>
        <w:rPr>
          <w:rFonts w:hint="eastAsia" w:hAnsi="仿宋" w:eastAsia="仿宋_GB2312" w:cs="仿宋"/>
          <w:color w:val="auto"/>
          <w:kern w:val="0"/>
          <w:sz w:val="28"/>
          <w:szCs w:val="28"/>
          <w:highlight w:val="none"/>
          <w:lang w:val="en-US" w:eastAsia="zh-CN"/>
        </w:rPr>
        <w:t>）</w:t>
      </w:r>
      <w:r>
        <w:rPr>
          <w:rFonts w:hint="eastAsia" w:ascii="仿宋_GB2312" w:hAnsi="仿宋" w:eastAsia="仿宋_GB2312" w:cs="仿宋"/>
          <w:color w:val="auto"/>
          <w:kern w:val="0"/>
          <w:sz w:val="28"/>
          <w:szCs w:val="28"/>
          <w:highlight w:val="none"/>
          <w:lang w:val="en-US" w:eastAsia="zh-CN"/>
        </w:rPr>
        <w:t>基本医疗及基本药物</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严格执行诊疗常规和操作规程，处方书写规范；认真执行护理常规，基础护理工作无漏洞，2023年未发生一起医疗纠纷与医疗事故。</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和静县哈尔莫敦镇中心卫生院现配备基本药物类别280种，村卫生室配备80种，基本药物为100%，基本药100%零差率销售。</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（1）年初预算执行情况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我单位年初预算数为794.54万元，实际预算执行数794.54万元，预算执行率为1</w:t>
      </w:r>
      <w:r>
        <w:rPr>
          <w:rFonts w:hint="eastAsia" w:hAnsi="仿宋" w:eastAsia="仿宋_GB2312" w:cs="仿宋"/>
          <w:color w:val="auto"/>
          <w:kern w:val="0"/>
          <w:sz w:val="28"/>
          <w:szCs w:val="28"/>
          <w:highlight w:val="none"/>
          <w:lang w:val="en-US" w:eastAsia="zh-CN"/>
        </w:rPr>
        <w:t>00</w:t>
      </w:r>
      <w:r>
        <w:rPr>
          <w:rFonts w:hint="eastAsia" w:ascii="仿宋_GB2312" w:hAnsi="仿宋" w:eastAsia="仿宋_GB2312" w:cs="仿宋"/>
          <w:color w:val="auto"/>
          <w:kern w:val="0"/>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（2）全年预算执行情况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Times New Roman" w:hAnsi="Times New Roman" w:cs="Times New Roman"/>
          <w:bCs/>
          <w:color w:val="auto"/>
          <w:highlight w:val="none"/>
          <w:lang w:val="en-US" w:eastAsia="zh-CN"/>
        </w:rPr>
      </w:pPr>
      <w:r>
        <w:rPr>
          <w:rFonts w:hint="eastAsia" w:ascii="仿宋_GB2312" w:hAnsi="仿宋" w:eastAsia="仿宋_GB2312" w:cs="仿宋"/>
          <w:color w:val="auto"/>
          <w:kern w:val="0"/>
          <w:sz w:val="28"/>
          <w:szCs w:val="28"/>
          <w:highlight w:val="none"/>
          <w:lang w:val="en-US" w:eastAsia="zh-CN"/>
        </w:rPr>
        <w:t>全年预算数为1157.83万元，全年实际支出资金1157.83万元，预算执行率为100%。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我单位年初批复预算数797.54万元，年中调整数363.29万元，调整后全年预算数1157.83万元，预算调整率45%。</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我单位2023年度部门整体支出为</w:t>
      </w:r>
      <w:r>
        <w:rPr>
          <w:rFonts w:hint="eastAsia" w:ascii="仿宋_GB2312" w:hAnsi="仿宋" w:eastAsia="仿宋_GB2312" w:cs="仿宋"/>
          <w:color w:val="auto"/>
          <w:kern w:val="0"/>
          <w:sz w:val="28"/>
          <w:szCs w:val="28"/>
          <w:highlight w:val="none"/>
          <w:lang w:val="en-US" w:eastAsia="zh-CN"/>
        </w:rPr>
        <w:t>1157.83</w:t>
      </w:r>
      <w:r>
        <w:rPr>
          <w:rFonts w:hint="default" w:ascii="仿宋_GB2312" w:hAnsi="仿宋" w:eastAsia="仿宋_GB2312" w:cs="仿宋"/>
          <w:color w:val="auto"/>
          <w:kern w:val="0"/>
          <w:sz w:val="28"/>
          <w:szCs w:val="28"/>
          <w:highlight w:val="none"/>
          <w:lang w:val="en-US" w:eastAsia="zh-CN"/>
        </w:rPr>
        <w:t>万元，其中：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基本支出</w:t>
      </w:r>
      <w:r>
        <w:rPr>
          <w:rFonts w:hint="eastAsia" w:ascii="仿宋_GB2312" w:hAnsi="仿宋" w:eastAsia="仿宋_GB2312" w:cs="仿宋"/>
          <w:color w:val="auto"/>
          <w:kern w:val="0"/>
          <w:sz w:val="28"/>
          <w:szCs w:val="28"/>
          <w:highlight w:val="none"/>
          <w:lang w:val="en-US" w:eastAsia="zh-CN"/>
        </w:rPr>
        <w:t>928.41</w:t>
      </w:r>
      <w:r>
        <w:rPr>
          <w:rFonts w:hint="default" w:ascii="仿宋_GB2312" w:hAnsi="仿宋" w:eastAsia="仿宋_GB2312" w:cs="仿宋"/>
          <w:color w:val="auto"/>
          <w:kern w:val="0"/>
          <w:sz w:val="28"/>
          <w:szCs w:val="28"/>
          <w:highlight w:val="none"/>
          <w:lang w:val="en-US" w:eastAsia="zh-CN"/>
        </w:rPr>
        <w:t>万元，资金的使用方向为我单位机关人员经费支出</w:t>
      </w:r>
      <w:r>
        <w:rPr>
          <w:rFonts w:hint="eastAsia" w:ascii="仿宋_GB2312" w:hAnsi="仿宋" w:eastAsia="仿宋_GB2312" w:cs="仿宋"/>
          <w:color w:val="auto"/>
          <w:kern w:val="0"/>
          <w:sz w:val="28"/>
          <w:szCs w:val="28"/>
          <w:highlight w:val="none"/>
          <w:lang w:val="en-US" w:eastAsia="zh-CN"/>
        </w:rPr>
        <w:t>573.48</w:t>
      </w:r>
      <w:r>
        <w:rPr>
          <w:rFonts w:hint="default" w:ascii="仿宋_GB2312" w:hAnsi="仿宋" w:eastAsia="仿宋_GB2312" w:cs="仿宋"/>
          <w:color w:val="auto"/>
          <w:kern w:val="0"/>
          <w:sz w:val="28"/>
          <w:szCs w:val="28"/>
          <w:highlight w:val="none"/>
          <w:lang w:val="en-US" w:eastAsia="zh-CN"/>
        </w:rPr>
        <w:t>万元</w:t>
      </w:r>
      <w:r>
        <w:rPr>
          <w:rFonts w:hint="eastAsia" w:hAnsi="仿宋" w:eastAsia="仿宋_GB2312" w:cs="仿宋"/>
          <w:color w:val="auto"/>
          <w:kern w:val="0"/>
          <w:sz w:val="28"/>
          <w:szCs w:val="28"/>
          <w:highlight w:val="none"/>
          <w:lang w:val="en-US" w:eastAsia="zh-CN"/>
        </w:rPr>
        <w:t>，</w:t>
      </w:r>
      <w:r>
        <w:rPr>
          <w:rFonts w:hint="default" w:ascii="仿宋_GB2312" w:hAnsi="仿宋" w:eastAsia="仿宋_GB2312" w:cs="仿宋"/>
          <w:color w:val="auto"/>
          <w:kern w:val="0"/>
          <w:sz w:val="28"/>
          <w:szCs w:val="28"/>
          <w:highlight w:val="none"/>
          <w:lang w:val="en-US" w:eastAsia="zh-CN"/>
        </w:rPr>
        <w:t>日常公用经费支出</w:t>
      </w:r>
      <w:r>
        <w:rPr>
          <w:rFonts w:hint="eastAsia" w:ascii="仿宋_GB2312" w:hAnsi="仿宋" w:eastAsia="仿宋_GB2312" w:cs="仿宋"/>
          <w:color w:val="auto"/>
          <w:kern w:val="0"/>
          <w:sz w:val="28"/>
          <w:szCs w:val="28"/>
          <w:highlight w:val="none"/>
          <w:lang w:val="en-US" w:eastAsia="zh-CN"/>
        </w:rPr>
        <w:t>354.93</w:t>
      </w:r>
      <w:r>
        <w:rPr>
          <w:rFonts w:hint="default" w:ascii="仿宋_GB2312" w:hAnsi="仿宋" w:eastAsia="仿宋_GB2312" w:cs="仿宋"/>
          <w:color w:val="auto"/>
          <w:kern w:val="0"/>
          <w:sz w:val="28"/>
          <w:szCs w:val="28"/>
          <w:highlight w:val="none"/>
          <w:lang w:val="en-US" w:eastAsia="zh-CN"/>
        </w:rPr>
        <w:t>万元</w:t>
      </w:r>
      <w:r>
        <w:rPr>
          <w:rFonts w:hint="eastAsia" w:hAnsi="仿宋" w:eastAsia="仿宋_GB2312" w:cs="仿宋"/>
          <w:color w:val="auto"/>
          <w:kern w:val="0"/>
          <w:sz w:val="28"/>
          <w:szCs w:val="28"/>
          <w:highlight w:val="none"/>
          <w:lang w:val="en-US" w:eastAsia="zh-CN"/>
        </w:rPr>
        <w:t>，</w:t>
      </w:r>
      <w:r>
        <w:rPr>
          <w:rFonts w:hint="eastAsia" w:ascii="仿宋_GB2312" w:hAnsi="仿宋" w:eastAsia="仿宋_GB2312" w:cs="仿宋"/>
          <w:color w:val="auto"/>
          <w:kern w:val="0"/>
          <w:sz w:val="28"/>
          <w:szCs w:val="28"/>
          <w:highlight w:val="none"/>
          <w:lang w:val="en-US" w:eastAsia="zh-CN"/>
        </w:rPr>
        <w:t>主要用于保障人员工资及人员医保、社保、住房公积金等缴费，单位办公用品购买及车辆燃油费及维修等方面支出。</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项目支出共计</w:t>
      </w:r>
      <w:r>
        <w:rPr>
          <w:rFonts w:hint="eastAsia" w:ascii="仿宋_GB2312" w:hAnsi="仿宋" w:eastAsia="仿宋_GB2312" w:cs="仿宋"/>
          <w:color w:val="auto"/>
          <w:kern w:val="0"/>
          <w:sz w:val="28"/>
          <w:szCs w:val="28"/>
          <w:highlight w:val="none"/>
          <w:lang w:val="en-US" w:eastAsia="zh-CN"/>
        </w:rPr>
        <w:t>229.42</w:t>
      </w:r>
      <w:r>
        <w:rPr>
          <w:rFonts w:hint="default" w:ascii="仿宋_GB2312" w:hAnsi="仿宋" w:eastAsia="仿宋_GB2312" w:cs="仿宋"/>
          <w:color w:val="auto"/>
          <w:kern w:val="0"/>
          <w:sz w:val="28"/>
          <w:szCs w:val="28"/>
          <w:highlight w:val="none"/>
          <w:lang w:val="en-US" w:eastAsia="zh-CN"/>
        </w:rPr>
        <w:t>万元，主要用于保障2023年基本药物项目、妇幼保健、慢性病及传染病等的预防和治疗项目、2023年中央财政重大传染病防治项目</w:t>
      </w:r>
      <w:r>
        <w:rPr>
          <w:rFonts w:hint="eastAsia" w:ascii="仿宋_GB2312" w:hAnsi="仿宋" w:eastAsia="仿宋_GB2312" w:cs="仿宋"/>
          <w:color w:val="auto"/>
          <w:kern w:val="0"/>
          <w:sz w:val="28"/>
          <w:szCs w:val="28"/>
          <w:highlight w:val="none"/>
          <w:lang w:val="en-US" w:eastAsia="zh-CN"/>
        </w:rPr>
        <w:t>、</w:t>
      </w:r>
      <w:r>
        <w:rPr>
          <w:rFonts w:hint="default" w:ascii="仿宋_GB2312" w:hAnsi="仿宋" w:eastAsia="仿宋_GB2312" w:cs="仿宋"/>
          <w:color w:val="auto"/>
          <w:kern w:val="0"/>
          <w:sz w:val="28"/>
          <w:szCs w:val="28"/>
          <w:highlight w:val="none"/>
          <w:lang w:val="en-US" w:eastAsia="zh-CN"/>
        </w:rPr>
        <w:t>医务一线人员临时性工作补助等项目支出。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928.41万元，全年实际支出928.41万元，资金执行率100%。基本支出严格按照财务管理制度执行，其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人员经费支出573.48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color w:val="auto"/>
          <w:highlight w:val="none"/>
          <w:lang w:val="en-US" w:eastAsia="zh-CN"/>
        </w:rPr>
      </w:pPr>
      <w:r>
        <w:rPr>
          <w:rFonts w:hint="eastAsia" w:ascii="仿宋_GB2312" w:hAnsi="仿宋" w:eastAsia="仿宋_GB2312" w:cs="仿宋"/>
          <w:color w:val="auto"/>
          <w:kern w:val="0"/>
          <w:sz w:val="28"/>
          <w:szCs w:val="28"/>
          <w:highlight w:val="none"/>
          <w:lang w:val="en-US" w:eastAsia="zh-CN"/>
        </w:rPr>
        <w:t>公用经费支出354.93万元，主要包括：办公费、电费、邮电费、取暖费、其他交通费用、其他商品和服务支出。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ascii="仿宋_GB2312" w:hAnsi="仿宋" w:eastAsia="仿宋_GB2312" w:cs="仿宋"/>
          <w:color w:val="auto"/>
          <w:kern w:val="0"/>
          <w:sz w:val="28"/>
          <w:szCs w:val="28"/>
          <w:highlight w:val="none"/>
          <w:lang w:val="en-US" w:eastAsia="zh-CN"/>
        </w:rPr>
        <w:t>我单位2023年度共安排项目支出预算229.42万元，其中：上级专项资金</w:t>
      </w:r>
      <w:r>
        <w:rPr>
          <w:rFonts w:hint="eastAsia" w:hAnsi="仿宋" w:eastAsia="仿宋_GB2312" w:cs="仿宋"/>
          <w:color w:val="auto"/>
          <w:kern w:val="0"/>
          <w:sz w:val="28"/>
          <w:szCs w:val="28"/>
          <w:highlight w:val="none"/>
          <w:lang w:val="en-US" w:eastAsia="zh-CN"/>
        </w:rPr>
        <w:t>186.42</w:t>
      </w:r>
      <w:r>
        <w:rPr>
          <w:rFonts w:hint="eastAsia" w:ascii="仿宋_GB2312" w:hAnsi="仿宋" w:eastAsia="仿宋_GB2312" w:cs="仿宋"/>
          <w:color w:val="auto"/>
          <w:kern w:val="0"/>
          <w:sz w:val="28"/>
          <w:szCs w:val="28"/>
          <w:highlight w:val="none"/>
          <w:lang w:val="en-US" w:eastAsia="zh-CN"/>
        </w:rPr>
        <w:t>万元，本级财政资金</w:t>
      </w:r>
      <w:r>
        <w:rPr>
          <w:rFonts w:hint="eastAsia" w:hAnsi="仿宋" w:eastAsia="仿宋_GB2312" w:cs="仿宋"/>
          <w:color w:val="auto"/>
          <w:kern w:val="0"/>
          <w:sz w:val="28"/>
          <w:szCs w:val="28"/>
          <w:highlight w:val="none"/>
          <w:lang w:val="en-US" w:eastAsia="zh-CN"/>
        </w:rPr>
        <w:t>43</w:t>
      </w:r>
      <w:r>
        <w:rPr>
          <w:rFonts w:hint="eastAsia" w:ascii="仿宋_GB2312" w:hAnsi="仿宋" w:eastAsia="仿宋_GB2312" w:cs="仿宋"/>
          <w:color w:val="auto"/>
          <w:kern w:val="0"/>
          <w:sz w:val="28"/>
          <w:szCs w:val="28"/>
          <w:highlight w:val="none"/>
          <w:lang w:val="en-US" w:eastAsia="zh-CN"/>
        </w:rPr>
        <w:t>万元。</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default"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hAnsi="仿宋" w:eastAsia="仿宋_GB2312" w:cs="仿宋"/>
          <w:color w:val="auto"/>
          <w:kern w:val="0"/>
          <w:sz w:val="28"/>
          <w:szCs w:val="28"/>
          <w:highlight w:val="none"/>
          <w:lang w:val="en-US" w:eastAsia="zh-CN"/>
        </w:rPr>
        <w:t>专账</w:t>
      </w:r>
      <w:r>
        <w:rPr>
          <w:rFonts w:hint="eastAsia" w:ascii="仿宋_GB2312" w:hAnsi="仿宋" w:eastAsia="仿宋_GB2312" w:cs="仿宋"/>
          <w:color w:val="auto"/>
          <w:kern w:val="0"/>
          <w:sz w:val="28"/>
          <w:szCs w:val="28"/>
          <w:highlight w:val="none"/>
          <w:lang w:val="en-US" w:eastAsia="zh-CN"/>
        </w:rPr>
        <w:t>，严格实行专款专用，保证资金及时足额用到项目中。2023年上级财政下达我单位专项资金229.42万元，其中2023年基本药物制度补助专用材料费24.49万元，妇幼保健、慢性病及传染病等的预防和治疗补助197.28万元，2023年中央财政重大传染病防治补助资金2.85万元，医务一线人员临时性工作补助4.8万元。</w:t>
      </w:r>
      <w:r>
        <w:rPr>
          <w:rFonts w:hint="eastAsia"/>
          <w:color w:val="auto"/>
          <w:highlight w:val="none"/>
          <w:lang w:val="en-US" w:eastAsia="zh-CN"/>
        </w:rPr>
        <w:t>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我单位2023年度安排项目支出资金229.42万元，实际支出229.42万元</w:t>
      </w:r>
      <w:r>
        <w:rPr>
          <w:rFonts w:hint="eastAsia" w:hAnsi="仿宋" w:eastAsia="仿宋_GB2312" w:cs="仿宋"/>
          <w:color w:val="auto"/>
          <w:kern w:val="0"/>
          <w:sz w:val="28"/>
          <w:szCs w:val="28"/>
          <w:highlight w:val="none"/>
          <w:lang w:val="en-US" w:eastAsia="zh-CN"/>
        </w:rPr>
        <w:t>，</w:t>
      </w:r>
      <w:r>
        <w:rPr>
          <w:rFonts w:hint="eastAsia" w:ascii="仿宋_GB2312" w:hAnsi="仿宋" w:eastAsia="仿宋_GB2312" w:cs="仿宋"/>
          <w:color w:val="auto"/>
          <w:kern w:val="0"/>
          <w:sz w:val="28"/>
          <w:szCs w:val="28"/>
          <w:highlight w:val="none"/>
          <w:lang w:val="en-US" w:eastAsia="zh-CN"/>
        </w:rPr>
        <w:t>其中：上级专项资金支出</w:t>
      </w:r>
      <w:r>
        <w:rPr>
          <w:rFonts w:hint="eastAsia" w:hAnsi="仿宋" w:eastAsia="仿宋_GB2312" w:cs="仿宋"/>
          <w:color w:val="auto"/>
          <w:kern w:val="0"/>
          <w:sz w:val="28"/>
          <w:szCs w:val="28"/>
          <w:highlight w:val="none"/>
          <w:lang w:val="en-US" w:eastAsia="zh-CN"/>
        </w:rPr>
        <w:t>186.42</w:t>
      </w:r>
      <w:r>
        <w:rPr>
          <w:rFonts w:hint="eastAsia" w:ascii="仿宋_GB2312" w:hAnsi="仿宋" w:eastAsia="仿宋_GB2312" w:cs="仿宋"/>
          <w:color w:val="auto"/>
          <w:kern w:val="0"/>
          <w:sz w:val="28"/>
          <w:szCs w:val="28"/>
          <w:highlight w:val="none"/>
          <w:lang w:val="en-US" w:eastAsia="zh-CN"/>
        </w:rPr>
        <w:t>万元，本级财政安排项目资金支出</w:t>
      </w:r>
      <w:r>
        <w:rPr>
          <w:rFonts w:hint="eastAsia" w:hAnsi="仿宋" w:eastAsia="仿宋_GB2312" w:cs="仿宋"/>
          <w:color w:val="auto"/>
          <w:kern w:val="0"/>
          <w:sz w:val="28"/>
          <w:szCs w:val="28"/>
          <w:highlight w:val="none"/>
          <w:lang w:val="en-US" w:eastAsia="zh-CN"/>
        </w:rPr>
        <w:t>43</w:t>
      </w:r>
      <w:r>
        <w:rPr>
          <w:rFonts w:hint="eastAsia" w:ascii="仿宋_GB2312" w:hAnsi="仿宋" w:eastAsia="仿宋_GB2312" w:cs="仿宋"/>
          <w:color w:val="auto"/>
          <w:kern w:val="0"/>
          <w:sz w:val="28"/>
          <w:szCs w:val="28"/>
          <w:highlight w:val="none"/>
          <w:lang w:val="en-US" w:eastAsia="zh-CN"/>
        </w:rPr>
        <w:t>万元，项目预算资金执行率100%，结转0万元，结余0万元。</w:t>
      </w:r>
      <w:bookmarkStart w:id="2" w:name="_Toc1734_WPSOffice_Level1"/>
    </w:p>
    <w:p>
      <w:pPr>
        <w:bidi w:val="0"/>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我单位2023年度安排项目支出主要内容</w:t>
      </w:r>
      <w:r>
        <w:rPr>
          <w:rFonts w:hint="eastAsia" w:hAnsi="仿宋" w:eastAsia="仿宋_GB2312" w:cs="仿宋"/>
          <w:color w:val="auto"/>
          <w:kern w:val="0"/>
          <w:sz w:val="28"/>
          <w:szCs w:val="28"/>
          <w:highlight w:val="none"/>
          <w:lang w:val="en-US" w:eastAsia="zh-CN"/>
        </w:rPr>
        <w:t>（</w:t>
      </w:r>
      <w:r>
        <w:rPr>
          <w:rFonts w:hint="default" w:ascii="仿宋_GB2312" w:hAnsi="仿宋" w:eastAsia="仿宋_GB2312" w:cs="仿宋"/>
          <w:color w:val="auto"/>
          <w:kern w:val="0"/>
          <w:sz w:val="28"/>
          <w:szCs w:val="28"/>
          <w:highlight w:val="none"/>
          <w:lang w:val="en-US" w:eastAsia="zh-CN"/>
        </w:rPr>
        <w:t>按功能分类</w:t>
      </w:r>
      <w:r>
        <w:rPr>
          <w:rFonts w:hint="eastAsia" w:hAnsi="仿宋" w:eastAsia="仿宋_GB2312" w:cs="仿宋"/>
          <w:color w:val="auto"/>
          <w:kern w:val="0"/>
          <w:sz w:val="28"/>
          <w:szCs w:val="28"/>
          <w:highlight w:val="none"/>
          <w:lang w:val="en-US" w:eastAsia="zh-CN"/>
        </w:rPr>
        <w:t>）：</w:t>
      </w:r>
      <w:r>
        <w:rPr>
          <w:rFonts w:hint="default" w:ascii="仿宋_GB2312" w:hAnsi="仿宋" w:eastAsia="仿宋_GB2312" w:cs="仿宋"/>
          <w:color w:val="auto"/>
          <w:kern w:val="0"/>
          <w:sz w:val="28"/>
          <w:szCs w:val="28"/>
          <w:highlight w:val="none"/>
          <w:lang w:val="en-US" w:eastAsia="zh-CN"/>
        </w:rPr>
        <w:t>其他基层医疗卫生机构支出</w:t>
      </w:r>
      <w:r>
        <w:rPr>
          <w:rFonts w:hint="eastAsia" w:hAnsi="仿宋" w:eastAsia="仿宋_GB2312" w:cs="仿宋"/>
          <w:color w:val="auto"/>
          <w:kern w:val="0"/>
          <w:sz w:val="28"/>
          <w:szCs w:val="28"/>
          <w:highlight w:val="none"/>
          <w:lang w:val="en-US" w:eastAsia="zh-CN"/>
        </w:rPr>
        <w:t>24.49</w:t>
      </w:r>
      <w:r>
        <w:rPr>
          <w:rFonts w:hint="default" w:ascii="仿宋_GB2312" w:hAnsi="仿宋" w:eastAsia="仿宋_GB2312" w:cs="仿宋"/>
          <w:color w:val="auto"/>
          <w:kern w:val="0"/>
          <w:sz w:val="28"/>
          <w:szCs w:val="28"/>
          <w:highlight w:val="none"/>
          <w:lang w:val="en-US" w:eastAsia="zh-CN"/>
        </w:rPr>
        <w:t>万元，基本公共卫生服务</w:t>
      </w:r>
      <w:r>
        <w:rPr>
          <w:rFonts w:hint="eastAsia" w:ascii="仿宋_GB2312" w:hAnsi="仿宋" w:eastAsia="仿宋_GB2312" w:cs="仿宋"/>
          <w:color w:val="auto"/>
          <w:kern w:val="0"/>
          <w:sz w:val="28"/>
          <w:szCs w:val="28"/>
          <w:highlight w:val="none"/>
          <w:lang w:val="en-US" w:eastAsia="zh-CN"/>
        </w:rPr>
        <w:t>支出</w:t>
      </w:r>
      <w:r>
        <w:rPr>
          <w:rFonts w:hint="eastAsia" w:hAnsi="仿宋" w:eastAsia="仿宋_GB2312" w:cs="仿宋"/>
          <w:color w:val="auto"/>
          <w:kern w:val="0"/>
          <w:sz w:val="28"/>
          <w:szCs w:val="28"/>
          <w:highlight w:val="none"/>
          <w:lang w:val="en-US" w:eastAsia="zh-CN"/>
        </w:rPr>
        <w:t>197.28</w:t>
      </w:r>
      <w:r>
        <w:rPr>
          <w:rFonts w:hint="default" w:ascii="仿宋_GB2312" w:hAnsi="仿宋" w:eastAsia="仿宋_GB2312" w:cs="仿宋"/>
          <w:color w:val="auto"/>
          <w:kern w:val="0"/>
          <w:sz w:val="28"/>
          <w:szCs w:val="28"/>
          <w:highlight w:val="none"/>
          <w:lang w:val="en-US" w:eastAsia="zh-CN"/>
        </w:rPr>
        <w:t>万元</w:t>
      </w:r>
      <w:r>
        <w:rPr>
          <w:rFonts w:hint="eastAsia" w:hAnsi="仿宋" w:eastAsia="仿宋_GB2312" w:cs="仿宋"/>
          <w:color w:val="auto"/>
          <w:kern w:val="0"/>
          <w:sz w:val="28"/>
          <w:szCs w:val="28"/>
          <w:highlight w:val="none"/>
          <w:lang w:val="en-US" w:eastAsia="zh-CN"/>
        </w:rPr>
        <w:t>，重大公共卫生服务2.85万元，突发公共卫生事件应急处理支出4.8万元</w:t>
      </w:r>
      <w:r>
        <w:rPr>
          <w:rFonts w:hint="eastAsia" w:ascii="仿宋_GB2312" w:hAnsi="仿宋" w:eastAsia="仿宋_GB2312" w:cs="仿宋"/>
          <w:color w:val="auto"/>
          <w:kern w:val="0"/>
          <w:sz w:val="28"/>
          <w:szCs w:val="28"/>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我单位2023年度部门整体支出绩效目标，共设置一级指标5个，二级指标14个，三级指标14个，其中已完成三级指标14个，指标完成率为100.32%。部门整体支出绩效情况如下：</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（一）项目支出预算执行率指标完成情况分析</w:t>
      </w:r>
    </w:p>
    <w:p>
      <w:pPr>
        <w:bidi w:val="0"/>
        <w:rPr>
          <w:rFonts w:hint="eastAsia"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项目支出预算执行率指标年初设定目标是=100%，年中绩效运行监控时完成值</w:t>
      </w:r>
      <w:r>
        <w:rPr>
          <w:rFonts w:hint="eastAsia" w:hAnsi="仿宋" w:eastAsia="仿宋_GB2312" w:cs="仿宋"/>
          <w:b w:val="0"/>
          <w:color w:val="auto"/>
          <w:kern w:val="0"/>
          <w:sz w:val="28"/>
          <w:szCs w:val="28"/>
          <w:highlight w:val="none"/>
          <w:lang w:val="en-US" w:eastAsia="zh-CN" w:bidi="ar-SA"/>
        </w:rPr>
        <w:t>58</w:t>
      </w:r>
      <w:r>
        <w:rPr>
          <w:rFonts w:hint="eastAsia" w:ascii="仿宋_GB2312" w:hAnsi="仿宋" w:eastAsia="仿宋_GB2312" w:cs="仿宋"/>
          <w:b w:val="0"/>
          <w:color w:val="auto"/>
          <w:kern w:val="0"/>
          <w:sz w:val="28"/>
          <w:szCs w:val="28"/>
          <w:highlight w:val="none"/>
          <w:lang w:val="en-US" w:eastAsia="zh-CN" w:bidi="ar-SA"/>
        </w:rPr>
        <w:t>%，年终实际完成值是100%，指标完成率是100%，达到了项目支出预算执行率的预期目标。偏差原因：无偏差。</w:t>
      </w:r>
    </w:p>
    <w:p>
      <w:pPr>
        <w:pStyle w:val="4"/>
        <w:numPr>
          <w:ilvl w:val="0"/>
          <w:numId w:val="0"/>
        </w:numPr>
        <w:bidi w:val="0"/>
        <w:ind w:firstLine="643" w:firstLineChars="200"/>
        <w:rPr>
          <w:color w:val="auto"/>
          <w:highlight w:val="none"/>
        </w:rPr>
      </w:pPr>
      <w:r>
        <w:rPr>
          <w:rFonts w:hint="eastAsia"/>
          <w:color w:val="auto"/>
          <w:highlight w:val="none"/>
          <w:lang w:val="en-US" w:eastAsia="zh-CN"/>
        </w:rPr>
        <w:t>（二）“三公经费”控制率</w:t>
      </w:r>
      <w:r>
        <w:rPr>
          <w:rFonts w:hint="eastAsia"/>
          <w:color w:val="auto"/>
          <w:highlight w:val="none"/>
        </w:rPr>
        <w:t>指标完成情况分析</w:t>
      </w:r>
    </w:p>
    <w:p>
      <w:pPr>
        <w:bidi w:val="0"/>
        <w:rPr>
          <w:rFonts w:hint="eastAsia"/>
          <w:color w:val="auto"/>
          <w:highlight w:val="none"/>
          <w:lang w:val="en-US" w:eastAsia="zh-CN"/>
        </w:rPr>
      </w:pPr>
      <w:r>
        <w:rPr>
          <w:rFonts w:hint="eastAsia" w:ascii="仿宋_GB2312" w:hAnsi="仿宋" w:eastAsia="仿宋_GB2312" w:cs="仿宋"/>
          <w:b w:val="0"/>
          <w:color w:val="auto"/>
          <w:kern w:val="0"/>
          <w:sz w:val="28"/>
          <w:szCs w:val="28"/>
          <w:highlight w:val="none"/>
          <w:lang w:val="en-US" w:eastAsia="zh-CN" w:bidi="ar-SA"/>
        </w:rPr>
        <w:t>“三公经费”控制率指标年初设定目标是=100%，年中绩效运行监控时完成值100%，年终实际完成值是100%，指标完成率是100%，达到了“三公经费”合理控制的预期目标。偏差原因：无偏差。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（三）在职人员经费保障人数指标完成情况分析</w:t>
      </w:r>
    </w:p>
    <w:p>
      <w:pPr>
        <w:pStyle w:val="4"/>
        <w:numPr>
          <w:ilvl w:val="0"/>
          <w:numId w:val="0"/>
        </w:numPr>
        <w:bidi w:val="0"/>
        <w:ind w:firstLine="560" w:firstLineChars="200"/>
        <w:rPr>
          <w:rFonts w:hint="eastAsia"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在职人员经费保障人数指标年初设定目标是&gt;=36人，年中绩效运行监控时完成值36人，年终实际完成值是35人，指标完成率是97%，达到了职工人员工资按时发放、社保按时缴纳的预期目标。偏差原因：2023年7月1人辞职。</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（四）门诊就诊患者人数指标完成情况分析</w:t>
      </w:r>
    </w:p>
    <w:p>
      <w:pPr>
        <w:ind w:left="0" w:leftChars="0" w:firstLine="560" w:firstLineChars="200"/>
        <w:rPr>
          <w:rFonts w:hint="eastAsia"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门诊就诊人次指标年初设定目标是&gt;=42000人，年中绩效运行监控时完成值2</w:t>
      </w:r>
      <w:r>
        <w:rPr>
          <w:rFonts w:hint="eastAsia" w:hAnsi="仿宋" w:eastAsia="仿宋_GB2312" w:cs="仿宋"/>
          <w:b w:val="0"/>
          <w:color w:val="auto"/>
          <w:kern w:val="0"/>
          <w:sz w:val="28"/>
          <w:szCs w:val="28"/>
          <w:highlight w:val="none"/>
          <w:lang w:val="en-US" w:eastAsia="zh-CN" w:bidi="ar-SA"/>
        </w:rPr>
        <w:t>2835</w:t>
      </w:r>
      <w:r>
        <w:rPr>
          <w:rFonts w:hint="eastAsia" w:ascii="仿宋_GB2312" w:hAnsi="仿宋" w:eastAsia="仿宋_GB2312" w:cs="仿宋"/>
          <w:b w:val="0"/>
          <w:color w:val="auto"/>
          <w:kern w:val="0"/>
          <w:sz w:val="28"/>
          <w:szCs w:val="28"/>
          <w:highlight w:val="none"/>
          <w:lang w:val="en-US" w:eastAsia="zh-CN" w:bidi="ar-SA"/>
        </w:rPr>
        <w:t>人，年终实际完成值是</w:t>
      </w:r>
      <w:r>
        <w:rPr>
          <w:rFonts w:hint="eastAsia" w:hAnsi="仿宋" w:eastAsia="仿宋_GB2312" w:cs="仿宋"/>
          <w:b w:val="0"/>
          <w:color w:val="auto"/>
          <w:kern w:val="0"/>
          <w:sz w:val="28"/>
          <w:szCs w:val="28"/>
          <w:highlight w:val="none"/>
          <w:lang w:val="en-US" w:eastAsia="zh-CN" w:bidi="ar-SA"/>
        </w:rPr>
        <w:t>48933</w:t>
      </w:r>
      <w:r>
        <w:rPr>
          <w:rFonts w:hint="eastAsia" w:ascii="仿宋_GB2312" w:hAnsi="仿宋" w:eastAsia="仿宋_GB2312" w:cs="仿宋"/>
          <w:b w:val="0"/>
          <w:color w:val="auto"/>
          <w:kern w:val="0"/>
          <w:sz w:val="28"/>
          <w:szCs w:val="28"/>
          <w:highlight w:val="none"/>
          <w:lang w:val="en-US" w:eastAsia="zh-CN" w:bidi="ar-SA"/>
        </w:rPr>
        <w:t>人，指标完成率是</w:t>
      </w:r>
      <w:r>
        <w:rPr>
          <w:rFonts w:hint="eastAsia" w:hAnsi="仿宋" w:eastAsia="仿宋_GB2312" w:cs="仿宋"/>
          <w:b w:val="0"/>
          <w:color w:val="auto"/>
          <w:kern w:val="0"/>
          <w:sz w:val="28"/>
          <w:szCs w:val="28"/>
          <w:highlight w:val="none"/>
          <w:lang w:val="en-US" w:eastAsia="zh-CN" w:bidi="ar-SA"/>
        </w:rPr>
        <w:t>116</w:t>
      </w:r>
      <w:r>
        <w:rPr>
          <w:rFonts w:hint="eastAsia" w:ascii="仿宋_GB2312" w:hAnsi="仿宋" w:eastAsia="仿宋_GB2312" w:cs="仿宋"/>
          <w:b w:val="0"/>
          <w:color w:val="auto"/>
          <w:kern w:val="0"/>
          <w:sz w:val="28"/>
          <w:szCs w:val="28"/>
          <w:highlight w:val="none"/>
          <w:lang w:val="en-US" w:eastAsia="zh-CN" w:bidi="ar-SA"/>
        </w:rPr>
        <w:t>%，达到门诊量增加，医疗收入提高的预期目标。偏差原因：因2023年流感病毒反复，导致门诊患者大幅增加。改进措施：年初预算时充分考虑多方面因素，使预算更加精确。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（五）住院就诊患者人数指标完成情况分析</w:t>
      </w:r>
    </w:p>
    <w:p>
      <w:pPr>
        <w:ind w:left="0" w:leftChars="0" w:firstLine="560" w:firstLineChars="200"/>
        <w:rPr>
          <w:rFonts w:hint="default"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住院就诊患者人数指标年初设定目标是&gt;=750人，年中绩效运行监控时完成值</w:t>
      </w:r>
      <w:r>
        <w:rPr>
          <w:rFonts w:hint="eastAsia" w:hAnsi="仿宋" w:eastAsia="仿宋_GB2312" w:cs="仿宋"/>
          <w:b w:val="0"/>
          <w:color w:val="auto"/>
          <w:kern w:val="0"/>
          <w:sz w:val="28"/>
          <w:szCs w:val="28"/>
          <w:highlight w:val="none"/>
          <w:lang w:val="en-US" w:eastAsia="zh-CN" w:bidi="ar-SA"/>
        </w:rPr>
        <w:t>651</w:t>
      </w:r>
      <w:r>
        <w:rPr>
          <w:rFonts w:hint="eastAsia" w:ascii="仿宋_GB2312" w:hAnsi="仿宋" w:eastAsia="仿宋_GB2312" w:cs="仿宋"/>
          <w:b w:val="0"/>
          <w:color w:val="auto"/>
          <w:kern w:val="0"/>
          <w:sz w:val="28"/>
          <w:szCs w:val="28"/>
          <w:highlight w:val="none"/>
          <w:lang w:val="en-US" w:eastAsia="zh-CN" w:bidi="ar-SA"/>
        </w:rPr>
        <w:t>人，年终实际完成值是</w:t>
      </w:r>
      <w:r>
        <w:rPr>
          <w:rFonts w:hint="eastAsia" w:hAnsi="仿宋" w:eastAsia="仿宋_GB2312" w:cs="仿宋"/>
          <w:b w:val="0"/>
          <w:color w:val="auto"/>
          <w:kern w:val="0"/>
          <w:sz w:val="28"/>
          <w:szCs w:val="28"/>
          <w:highlight w:val="none"/>
          <w:lang w:val="en-US" w:eastAsia="zh-CN" w:bidi="ar-SA"/>
        </w:rPr>
        <w:t>1210</w:t>
      </w:r>
      <w:r>
        <w:rPr>
          <w:rFonts w:hint="eastAsia" w:ascii="仿宋_GB2312" w:hAnsi="仿宋" w:eastAsia="仿宋_GB2312" w:cs="仿宋"/>
          <w:b w:val="0"/>
          <w:color w:val="auto"/>
          <w:kern w:val="0"/>
          <w:sz w:val="28"/>
          <w:szCs w:val="28"/>
          <w:highlight w:val="none"/>
          <w:lang w:val="en-US" w:eastAsia="zh-CN" w:bidi="ar-SA"/>
        </w:rPr>
        <w:t>人，指标完成率是</w:t>
      </w:r>
      <w:r>
        <w:rPr>
          <w:rFonts w:hint="eastAsia" w:hAnsi="仿宋" w:eastAsia="仿宋_GB2312" w:cs="仿宋"/>
          <w:b w:val="0"/>
          <w:color w:val="auto"/>
          <w:kern w:val="0"/>
          <w:sz w:val="28"/>
          <w:szCs w:val="28"/>
          <w:highlight w:val="none"/>
          <w:lang w:val="en-US" w:eastAsia="zh-CN" w:bidi="ar-SA"/>
        </w:rPr>
        <w:t>161</w:t>
      </w:r>
      <w:r>
        <w:rPr>
          <w:rFonts w:hint="eastAsia" w:ascii="仿宋_GB2312" w:hAnsi="仿宋" w:eastAsia="仿宋_GB2312" w:cs="仿宋"/>
          <w:b w:val="0"/>
          <w:color w:val="auto"/>
          <w:kern w:val="0"/>
          <w:sz w:val="28"/>
          <w:szCs w:val="28"/>
          <w:highlight w:val="none"/>
          <w:lang w:val="en-US" w:eastAsia="zh-CN" w:bidi="ar-SA"/>
        </w:rPr>
        <w:t>%，达到住院量增加，医疗收入提高的预期目标。偏差原因：因2023年流感病毒反复，导致住院患者增加。改进措施：年初预算时充分考虑多方面因素，使预算更加精确。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（六）基层医务人员培训人数指标完成情况分析</w:t>
      </w:r>
    </w:p>
    <w:p>
      <w:pPr>
        <w:ind w:left="0" w:leftChars="0" w:firstLine="560" w:firstLineChars="200"/>
        <w:rPr>
          <w:rFonts w:hint="eastAsia"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药品差价政策执行率指标年初设定目标是&gt;=8人次，年中绩效运行监控时完成值8人次，年终实际完成值是8人次，指标完成率是100%，达到了提升医务人员自身职业技能水平的预期目标。偏差原因：无偏差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（七）提供医疗与护理保健服务率指标完成情况分析</w:t>
      </w:r>
    </w:p>
    <w:p>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（八）人员经费足额发放率指标完成情况分析</w:t>
      </w:r>
    </w:p>
    <w:p>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（九）药品差价政策执行率指标完成情况分析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（十）辖区基本公共卫生服务覆盖率指标完成情况分析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医保政策知晓率指标年初设定目标是&gt;=85%，年中绩效运行监控时完成值100%，年终实际完成值是85%，指标完成率是100%，提高了居民对医保政策的理解和信任的预期目标。偏差原因：无偏差。</w:t>
      </w:r>
    </w:p>
    <w:p>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（十二）</w:t>
      </w:r>
      <w:r>
        <w:rPr>
          <w:rFonts w:hint="eastAsia"/>
          <w:color w:val="auto"/>
          <w:highlight w:val="none"/>
          <w:lang w:val="en-US" w:eastAsia="zh-CN"/>
        </w:rPr>
        <w:t>提升本辖区居民健康水平指标完成情况分析</w:t>
      </w:r>
    </w:p>
    <w:p>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提升本辖区居民健康水平指标年初设定目标是&gt;=85%，年中绩效运行监控时完成值未达监控节点，年终实际完成值是85%，指标完成率是100%，提高了本辖区居民健康水平的预期目标。偏差原因：无偏差。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居民满意度指标年初设定目标是&gt;=85%，年中绩效运行监控时完成值未达监控节点，年终实际完成值是85%，指标完成率是100%，提升了患者满意度和就诊体验的预期目标。偏差原因：无偏差。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（十四）职工满意度指标完成情况分析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90%，指标完成率是100%，增强了员工的积极性，提高了工作效率，减少人员流失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我单位2023年度部门整体支出绩效自评综合得分99.7分，评价结果为“优”。我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pPr>
        <w:bidi w:val="0"/>
        <w:ind w:left="0" w:leftChars="0" w:firstLine="560" w:firstLineChars="200"/>
        <w:rPr>
          <w:rFonts w:hint="default"/>
          <w:color w:val="auto"/>
          <w:highlight w:val="none"/>
          <w:lang w:eastAsia="zh-CN"/>
        </w:rPr>
      </w:pPr>
      <w:bookmarkStart w:id="4" w:name="_Toc22800_WPSOffice_Level1"/>
      <w:r>
        <w:rPr>
          <w:rFonts w:hint="default"/>
          <w:color w:val="auto"/>
          <w:highlight w:val="none"/>
          <w:lang w:val="en-US" w:eastAsia="zh-CN"/>
        </w:rPr>
        <w:t>2023年，</w:t>
      </w:r>
      <w:r>
        <w:rPr>
          <w:rFonts w:hint="eastAsia"/>
          <w:color w:val="auto"/>
          <w:highlight w:val="none"/>
          <w:lang w:val="en-US" w:eastAsia="zh-CN"/>
        </w:rPr>
        <w:t>和静县哈尔莫敦镇中心卫生院</w:t>
      </w:r>
      <w:r>
        <w:rPr>
          <w:rFonts w:hint="default"/>
          <w:color w:val="auto"/>
          <w:highlight w:val="none"/>
          <w:lang w:val="en-US" w:eastAsia="zh-CN"/>
        </w:rPr>
        <w:t>坚持以习近平新时代中</w:t>
      </w:r>
      <w:r>
        <w:rPr>
          <w:rFonts w:hint="default"/>
          <w:color w:val="auto"/>
          <w:highlight w:val="none"/>
          <w:lang w:eastAsia="zh-CN"/>
        </w:rPr>
        <w:t>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3"/>
        <w:numPr>
          <w:ilvl w:val="0"/>
          <w:numId w:val="0"/>
        </w:numPr>
        <w:bidi w:val="0"/>
        <w:ind w:leftChars="200"/>
        <w:rPr>
          <w:rFonts w:hint="default" w:ascii="宋体" w:hAnsi="宋体"/>
          <w:color w:val="auto"/>
          <w:highlight w:val="none"/>
          <w:lang w:val="en-US" w:eastAsia="zh-CN"/>
        </w:rPr>
      </w:pPr>
      <w:r>
        <w:rPr>
          <w:rFonts w:hint="eastAsia" w:ascii="宋体" w:hAnsi="宋体"/>
          <w:color w:val="auto"/>
          <w:highlight w:val="none"/>
          <w:lang w:val="en-US" w:eastAsia="zh-CN"/>
        </w:rPr>
        <w:t>五、存在的主要问题</w:t>
      </w:r>
      <w:bookmarkEnd w:id="4"/>
      <w:r>
        <w:rPr>
          <w:rFonts w:hint="eastAsia" w:ascii="宋体" w:hAnsi="宋体"/>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1"/>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47D12EE"/>
    <w:rsid w:val="149F36D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4A3407"/>
    <w:rsid w:val="3F301058"/>
    <w:rsid w:val="402C3804"/>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B4C105C"/>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CB31465"/>
    <w:rsid w:val="6DE07909"/>
    <w:rsid w:val="6E58438A"/>
    <w:rsid w:val="6E7066F8"/>
    <w:rsid w:val="6E9D5508"/>
    <w:rsid w:val="6F871359"/>
    <w:rsid w:val="711B7F18"/>
    <w:rsid w:val="71EB22B3"/>
    <w:rsid w:val="72010FA6"/>
    <w:rsid w:val="72262005"/>
    <w:rsid w:val="733F48EB"/>
    <w:rsid w:val="74212849"/>
    <w:rsid w:val="744C1D4E"/>
    <w:rsid w:val="748A4F72"/>
    <w:rsid w:val="74961819"/>
    <w:rsid w:val="750202C6"/>
    <w:rsid w:val="75664078"/>
    <w:rsid w:val="761E4132"/>
    <w:rsid w:val="76BE264B"/>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5776</Words>
  <Characters>6230</Characters>
  <Lines>7</Lines>
  <Paragraphs>2</Paragraphs>
  <TotalTime>73</TotalTime>
  <ScaleCrop>false</ScaleCrop>
  <LinksUpToDate>false</LinksUpToDate>
  <CharactersWithSpaces>6235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2024-08-11T07:35:42Z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E31030E736084D46801F301659E95E88_13</vt:lpwstr>
  </property>
</Properties>
</file>