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520" w:lineRule="exact"/>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1.部门主要职能</w:t>
      </w:r>
    </w:p>
    <w:p>
      <w:pPr>
        <w:pageBreakBefore w:val="0"/>
        <w:widowControl w:val="0"/>
        <w:kinsoku/>
        <w:wordWrap/>
        <w:overflowPunct/>
        <w:topLinePunct w:val="0"/>
        <w:autoSpaceDE/>
        <w:autoSpaceDN/>
        <w:bidi w:val="0"/>
        <w:adjustRightInd w:val="0"/>
        <w:snapToGrid w:val="0"/>
        <w:spacing w:line="520" w:lineRule="exact"/>
        <w:textAlignment w:val="auto"/>
        <w:rPr>
          <w:rFonts w:hint="default"/>
          <w:color w:val="auto"/>
          <w:highlight w:val="none"/>
          <w:lang w:val="en-US" w:eastAsia="zh-CN"/>
        </w:rPr>
      </w:pPr>
      <w:r>
        <w:rPr>
          <w:rFonts w:hint="eastAsia"/>
          <w:color w:val="auto"/>
          <w:highlight w:val="none"/>
          <w:lang w:val="en-US" w:eastAsia="zh-CN"/>
        </w:rPr>
        <w:t>和静县本级和静县卫生计生综合监督执法局为参照公务员管理的副科级单位，主要职责是：和静县卫生计生综合监督执法局在县卫生健康委员会的领导下，负责开展为人民身体健康提供卫生监督保障工作。主要职责包括：卫生许可审核、卫生许可申请受理与组织审核、有关工程卫生监督、有关工程设计卫生可行性审查、有关工程卫生学验收。卫生监督管理、卫生法制宣传、卫生监督人员培训与管理、相关科学研究、上级部门交办的其他各项工作。</w:t>
      </w:r>
    </w:p>
    <w:p>
      <w:pPr>
        <w:pStyle w:val="2"/>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2.部门机构设置及人员构成</w:t>
      </w:r>
    </w:p>
    <w:p>
      <w:pPr>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和静县卫生计生综合监督执法局机构设置：无下属预算单位，内设5个科室，分别是：行政办公室、公共卫生科、医疗卫生科、职业卫生科、稽查科。和静县卫生计生综合监督执法局人员总数21名，其中：在职11名，退休10名。实有人员21人。</w:t>
      </w:r>
    </w:p>
    <w:p>
      <w:pPr>
        <w:pStyle w:val="4"/>
        <w:pageBreakBefore w:val="0"/>
        <w:widowControl w:val="0"/>
        <w:kinsoku/>
        <w:wordWrap/>
        <w:overflowPunct/>
        <w:topLinePunct w:val="0"/>
        <w:autoSpaceDE/>
        <w:autoSpaceDN/>
        <w:bidi w:val="0"/>
        <w:adjustRightInd w:val="0"/>
        <w:snapToGrid w:val="0"/>
        <w:spacing w:line="520" w:lineRule="exact"/>
        <w:textAlignment w:val="auto"/>
        <w:outlineLvl w:val="1"/>
        <w:rPr>
          <w:rFonts w:hint="eastAsia"/>
          <w:color w:val="auto"/>
          <w:highlight w:val="none"/>
          <w:lang w:val="en-US" w:eastAsia="zh-CN"/>
        </w:rPr>
      </w:pPr>
      <w:r>
        <w:rPr>
          <w:rFonts w:hint="eastAsia"/>
          <w:color w:val="auto"/>
          <w:highlight w:val="none"/>
          <w:lang w:val="en-US" w:eastAsia="zh-CN"/>
        </w:rPr>
        <w:t>（二）部门单位年度重点工作</w:t>
      </w:r>
    </w:p>
    <w:p>
      <w:pPr>
        <w:keepNext w:val="0"/>
        <w:keepLines w:val="0"/>
        <w:pageBreakBefore w:val="0"/>
        <w:widowControl/>
        <w:kinsoku/>
        <w:wordWrap/>
        <w:overflowPunct/>
        <w:topLinePunct w:val="0"/>
        <w:autoSpaceDE/>
        <w:autoSpaceDN/>
        <w:bidi w:val="0"/>
        <w:adjustRightInd/>
        <w:snapToGrid/>
        <w:spacing w:line="560" w:lineRule="exact"/>
        <w:ind w:right="0" w:firstLine="641"/>
        <w:jc w:val="left"/>
        <w:rPr>
          <w:rFonts w:hint="eastAsia" w:ascii="仿宋" w:hAnsi="仿宋" w:eastAsia="仿宋" w:cs="仿宋"/>
          <w:b/>
          <w:bCs w:val="0"/>
          <w:color w:val="auto"/>
          <w:sz w:val="28"/>
          <w:szCs w:val="28"/>
          <w:highlight w:val="none"/>
          <w:lang w:val="en-US" w:eastAsia="zh-CN"/>
        </w:rPr>
      </w:pPr>
      <w:r>
        <w:rPr>
          <w:rFonts w:hint="eastAsia" w:ascii="仿宋" w:hAnsi="仿宋" w:cs="仿宋"/>
          <w:b/>
          <w:bCs w:val="0"/>
          <w:color w:val="auto"/>
          <w:sz w:val="28"/>
          <w:szCs w:val="28"/>
          <w:highlight w:val="none"/>
          <w:lang w:val="en-US" w:eastAsia="zh-CN"/>
        </w:rPr>
        <w:t>1、</w:t>
      </w:r>
      <w:r>
        <w:rPr>
          <w:rFonts w:hint="eastAsia" w:ascii="仿宋" w:hAnsi="仿宋" w:eastAsia="仿宋" w:cs="仿宋"/>
          <w:b/>
          <w:bCs w:val="0"/>
          <w:color w:val="auto"/>
          <w:sz w:val="28"/>
          <w:szCs w:val="28"/>
          <w:highlight w:val="none"/>
          <w:lang w:val="en-US" w:eastAsia="zh-CN"/>
        </w:rPr>
        <w:t>卫生监督检查工作：</w:t>
      </w:r>
    </w:p>
    <w:p>
      <w:pPr>
        <w:keepNext w:val="0"/>
        <w:keepLines w:val="0"/>
        <w:pageBreakBefore w:val="0"/>
        <w:tabs>
          <w:tab w:val="right" w:pos="4620"/>
        </w:tabs>
        <w:kinsoku/>
        <w:wordWrap/>
        <w:overflowPunct/>
        <w:topLinePunct w:val="0"/>
        <w:autoSpaceDE/>
        <w:autoSpaceDN/>
        <w:bidi w:val="0"/>
        <w:adjustRightInd w:val="0"/>
        <w:snapToGrid w:val="0"/>
        <w:spacing w:line="540" w:lineRule="exact"/>
        <w:textAlignment w:val="auto"/>
        <w:rPr>
          <w:rFonts w:hint="eastAsia" w:ascii="仿宋" w:hAnsi="仿宋" w:eastAsia="仿宋" w:cs="仿宋"/>
          <w:bCs/>
          <w:color w:val="auto"/>
          <w:sz w:val="28"/>
          <w:szCs w:val="28"/>
          <w:highlight w:val="none"/>
        </w:rPr>
      </w:pPr>
      <w:r>
        <w:rPr>
          <w:rFonts w:hint="eastAsia" w:ascii="仿宋" w:hAnsi="仿宋" w:eastAsia="仿宋" w:cs="仿宋"/>
          <w:b/>
          <w:bCs w:val="0"/>
          <w:color w:val="auto"/>
          <w:sz w:val="28"/>
          <w:szCs w:val="28"/>
          <w:highlight w:val="none"/>
          <w:lang w:val="en-US" w:eastAsia="zh-CN"/>
        </w:rPr>
        <w:t>⑴医疗机构和传染病监督检查：</w:t>
      </w:r>
      <w:r>
        <w:rPr>
          <w:rFonts w:hint="eastAsia" w:ascii="仿宋" w:hAnsi="仿宋" w:eastAsia="仿宋" w:cs="仿宋"/>
          <w:color w:val="auto"/>
          <w:sz w:val="28"/>
          <w:szCs w:val="28"/>
          <w:highlight w:val="none"/>
          <w:lang w:val="en-US" w:eastAsia="zh-CN"/>
        </w:rPr>
        <w:t>对全县</w:t>
      </w:r>
      <w:r>
        <w:rPr>
          <w:rFonts w:hint="eastAsia" w:ascii="仿宋" w:hAnsi="仿宋" w:eastAsia="仿宋" w:cs="仿宋"/>
          <w:b w:val="0"/>
          <w:bCs/>
          <w:color w:val="auto"/>
          <w:sz w:val="28"/>
          <w:szCs w:val="28"/>
          <w:highlight w:val="none"/>
          <w:lang w:val="en-US" w:eastAsia="zh-CN"/>
        </w:rPr>
        <w:t>121家</w:t>
      </w:r>
      <w:r>
        <w:rPr>
          <w:rFonts w:hint="eastAsia" w:ascii="仿宋" w:hAnsi="仿宋" w:eastAsia="仿宋" w:cs="仿宋"/>
          <w:color w:val="auto"/>
          <w:sz w:val="28"/>
          <w:szCs w:val="28"/>
          <w:highlight w:val="none"/>
          <w:lang w:val="en-US" w:eastAsia="zh-CN"/>
        </w:rPr>
        <w:t>医疗机构（</w:t>
      </w:r>
      <w:r>
        <w:rPr>
          <w:rFonts w:hint="eastAsia" w:ascii="仿宋" w:hAnsi="仿宋" w:eastAsia="仿宋" w:cs="仿宋"/>
          <w:b w:val="0"/>
          <w:bCs/>
          <w:color w:val="auto"/>
          <w:sz w:val="28"/>
          <w:szCs w:val="28"/>
          <w:highlight w:val="none"/>
          <w:lang w:val="en-US" w:eastAsia="zh-CN"/>
        </w:rPr>
        <w:t>公立医疗机构71家、私立医疗机构50家）</w:t>
      </w:r>
      <w:r>
        <w:rPr>
          <w:rFonts w:hint="eastAsia" w:ascii="仿宋" w:hAnsi="仿宋" w:eastAsia="仿宋" w:cs="仿宋"/>
          <w:color w:val="auto"/>
          <w:sz w:val="28"/>
          <w:szCs w:val="28"/>
          <w:highlight w:val="none"/>
          <w:lang w:val="en-US" w:eastAsia="zh-CN"/>
        </w:rPr>
        <w:t>开展专项监督检查，检查内容包括：传染病各项制度及上报情况等。专项监督检查共出动卫生监督员3</w:t>
      </w:r>
      <w:r>
        <w:rPr>
          <w:rFonts w:hint="eastAsia" w:ascii="仿宋" w:hAnsi="仿宋" w:eastAsia="仿宋" w:cs="仿宋"/>
          <w:b w:val="0"/>
          <w:bCs/>
          <w:color w:val="auto"/>
          <w:sz w:val="28"/>
          <w:szCs w:val="28"/>
          <w:highlight w:val="none"/>
          <w:lang w:val="en-US" w:eastAsia="zh-CN"/>
        </w:rPr>
        <w:t>88人/次，执法车辆184辆/次</w:t>
      </w:r>
      <w:r>
        <w:rPr>
          <w:rFonts w:hint="eastAsia" w:ascii="仿宋" w:hAnsi="仿宋" w:eastAsia="仿宋" w:cs="仿宋"/>
          <w:color w:val="auto"/>
          <w:sz w:val="28"/>
          <w:szCs w:val="28"/>
          <w:highlight w:val="none"/>
          <w:lang w:val="en-US" w:eastAsia="zh-CN"/>
        </w:rPr>
        <w:t>，下达卫生监督意见书</w:t>
      </w:r>
      <w:r>
        <w:rPr>
          <w:rFonts w:hint="eastAsia" w:ascii="仿宋" w:hAnsi="仿宋" w:eastAsia="仿宋" w:cs="仿宋"/>
          <w:b w:val="0"/>
          <w:bCs/>
          <w:color w:val="auto"/>
          <w:sz w:val="28"/>
          <w:szCs w:val="28"/>
          <w:highlight w:val="none"/>
          <w:lang w:val="en-US" w:eastAsia="zh-CN"/>
        </w:rPr>
        <w:t>70</w:t>
      </w:r>
      <w:r>
        <w:rPr>
          <w:rFonts w:hint="eastAsia" w:ascii="仿宋" w:hAnsi="仿宋" w:eastAsia="仿宋" w:cs="仿宋"/>
          <w:color w:val="auto"/>
          <w:sz w:val="28"/>
          <w:szCs w:val="28"/>
          <w:highlight w:val="none"/>
          <w:lang w:val="en-US" w:eastAsia="zh-CN"/>
        </w:rPr>
        <w:t xml:space="preserve">余份，并对发现的问题当场下发卫生监督意见书，并及时将整改情况进行回头看，确保各医疗机构能够快速准确地整改到位，筑牢医疗卫生机构防控密网，确保我县传染病预防工作安全有效开展。  </w:t>
      </w:r>
    </w:p>
    <w:p>
      <w:pPr>
        <w:keepNext w:val="0"/>
        <w:keepLines w:val="0"/>
        <w:pageBreakBefore w:val="0"/>
        <w:widowControl/>
        <w:kinsoku/>
        <w:wordWrap/>
        <w:overflowPunct/>
        <w:topLinePunct w:val="0"/>
        <w:autoSpaceDE/>
        <w:autoSpaceDN/>
        <w:bidi w:val="0"/>
        <w:adjustRightInd/>
        <w:snapToGrid/>
        <w:spacing w:line="560" w:lineRule="exact"/>
        <w:ind w:right="0" w:firstLine="641"/>
        <w:jc w:val="left"/>
        <w:rPr>
          <w:rFonts w:hint="eastAsia" w:ascii="仿宋" w:hAnsi="仿宋" w:eastAsia="仿宋" w:cs="仿宋"/>
          <w:b w:val="0"/>
          <w:bCs/>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⑵公共场所监督检查：</w:t>
      </w:r>
      <w:r>
        <w:rPr>
          <w:rFonts w:hint="eastAsia" w:ascii="仿宋" w:hAnsi="仿宋" w:eastAsia="仿宋" w:cs="仿宋"/>
          <w:b w:val="0"/>
          <w:bCs/>
          <w:color w:val="auto"/>
          <w:sz w:val="28"/>
          <w:szCs w:val="28"/>
          <w:highlight w:val="none"/>
          <w:lang w:val="en-US" w:eastAsia="zh-CN"/>
        </w:rPr>
        <w:t>对全县320家公共场所</w:t>
      </w:r>
      <w:r>
        <w:rPr>
          <w:rFonts w:hint="eastAsia" w:ascii="仿宋" w:hAnsi="仿宋" w:cs="仿宋"/>
          <w:b w:val="0"/>
          <w:bCs/>
          <w:color w:val="auto"/>
          <w:sz w:val="28"/>
          <w:szCs w:val="28"/>
          <w:highlight w:val="none"/>
          <w:lang w:val="en-US" w:eastAsia="zh-CN"/>
        </w:rPr>
        <w:t>（</w:t>
      </w:r>
      <w:r>
        <w:rPr>
          <w:rFonts w:hint="eastAsia" w:ascii="仿宋" w:hAnsi="仿宋" w:eastAsia="仿宋" w:cs="仿宋"/>
          <w:b w:val="0"/>
          <w:bCs/>
          <w:color w:val="auto"/>
          <w:sz w:val="28"/>
          <w:szCs w:val="28"/>
          <w:highlight w:val="none"/>
          <w:lang w:val="en-US" w:eastAsia="zh-CN"/>
        </w:rPr>
        <w:t>包括：住宿业、美容美发、超市、KTV场所、</w:t>
      </w:r>
      <w:r>
        <w:rPr>
          <w:rFonts w:hint="eastAsia" w:ascii="仿宋" w:hAnsi="仿宋" w:eastAsia="仿宋" w:cs="仿宋"/>
          <w:bCs/>
          <w:color w:val="auto"/>
          <w:sz w:val="28"/>
          <w:szCs w:val="28"/>
          <w:highlight w:val="none"/>
        </w:rPr>
        <w:t>公共浴室、体育场、游泳场</w:t>
      </w:r>
      <w:r>
        <w:rPr>
          <w:rFonts w:hint="eastAsia" w:ascii="仿宋" w:hAnsi="仿宋" w:eastAsia="仿宋" w:cs="仿宋"/>
          <w:b w:val="0"/>
          <w:bCs/>
          <w:color w:val="auto"/>
          <w:sz w:val="28"/>
          <w:szCs w:val="28"/>
          <w:highlight w:val="none"/>
          <w:lang w:val="en-US" w:eastAsia="zh-CN"/>
        </w:rPr>
        <w:t>）进行监督检查，出动卫生监督员325人/次，执法车辆155辆/次，下达卫生监督意见书及督导检查记录表194余份。</w:t>
      </w:r>
      <w:r>
        <w:rPr>
          <w:rFonts w:hint="eastAsia" w:ascii="仿宋" w:hAnsi="仿宋" w:eastAsia="仿宋" w:cs="仿宋"/>
          <w:bCs/>
          <w:color w:val="auto"/>
          <w:sz w:val="28"/>
          <w:szCs w:val="28"/>
          <w:highlight w:val="none"/>
        </w:rPr>
        <w:t>开展公共场所卫生知识培训班</w:t>
      </w:r>
      <w:r>
        <w:rPr>
          <w:rFonts w:hint="eastAsia" w:ascii="仿宋" w:hAnsi="仿宋" w:eastAsia="仿宋" w:cs="仿宋"/>
          <w:bCs/>
          <w:color w:val="auto"/>
          <w:sz w:val="28"/>
          <w:szCs w:val="28"/>
          <w:highlight w:val="none"/>
          <w:lang w:val="en-US" w:eastAsia="zh-CN"/>
        </w:rPr>
        <w:t>3</w:t>
      </w:r>
      <w:r>
        <w:rPr>
          <w:rFonts w:hint="eastAsia" w:ascii="仿宋" w:hAnsi="仿宋" w:eastAsia="仿宋" w:cs="仿宋"/>
          <w:bCs/>
          <w:color w:val="auto"/>
          <w:sz w:val="28"/>
          <w:szCs w:val="28"/>
          <w:highlight w:val="none"/>
        </w:rPr>
        <w:t>次，</w:t>
      </w:r>
      <w:r>
        <w:rPr>
          <w:rFonts w:hint="eastAsia" w:ascii="仿宋" w:hAnsi="仿宋" w:eastAsia="仿宋" w:cs="仿宋"/>
          <w:bCs/>
          <w:color w:val="auto"/>
          <w:sz w:val="28"/>
          <w:szCs w:val="28"/>
          <w:highlight w:val="none"/>
          <w:lang w:val="en-US" w:eastAsia="zh-CN"/>
        </w:rPr>
        <w:t>在监督检查中</w:t>
      </w:r>
      <w:r>
        <w:rPr>
          <w:rFonts w:hint="eastAsia" w:ascii="仿宋" w:hAnsi="仿宋" w:eastAsia="仿宋" w:cs="仿宋"/>
          <w:bCs/>
          <w:color w:val="auto"/>
          <w:sz w:val="28"/>
          <w:szCs w:val="28"/>
          <w:highlight w:val="none"/>
        </w:rPr>
        <w:t>对存在问题，卫生监督员进行现场培训，指导从业人员依据相关法律法规规范开展工作。并及时进行回头看，确保问题整改到位。</w:t>
      </w:r>
    </w:p>
    <w:p>
      <w:pPr>
        <w:keepNext w:val="0"/>
        <w:keepLines w:val="0"/>
        <w:pageBreakBefore w:val="0"/>
        <w:tabs>
          <w:tab w:val="right" w:pos="4620"/>
        </w:tabs>
        <w:kinsoku/>
        <w:wordWrap/>
        <w:overflowPunct/>
        <w:topLinePunct w:val="0"/>
        <w:autoSpaceDE/>
        <w:autoSpaceDN/>
        <w:bidi w:val="0"/>
        <w:adjustRightInd w:val="0"/>
        <w:snapToGrid w:val="0"/>
        <w:spacing w:line="540" w:lineRule="exact"/>
        <w:ind w:firstLine="562" w:firstLineChars="200"/>
        <w:textAlignment w:val="auto"/>
        <w:rPr>
          <w:rFonts w:hint="eastAsia" w:ascii="仿宋" w:hAnsi="仿宋" w:eastAsia="仿宋" w:cs="仿宋"/>
          <w:b w:val="0"/>
          <w:bCs/>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⑶生活饮用水监督检查：</w:t>
      </w:r>
      <w:r>
        <w:rPr>
          <w:rFonts w:hint="eastAsia" w:ascii="仿宋" w:hAnsi="仿宋" w:eastAsia="仿宋" w:cs="仿宋"/>
          <w:b w:val="0"/>
          <w:bCs/>
          <w:color w:val="auto"/>
          <w:sz w:val="28"/>
          <w:szCs w:val="28"/>
          <w:highlight w:val="none"/>
          <w:lang w:val="en-US" w:eastAsia="zh-CN"/>
        </w:rPr>
        <w:t>对全县2家生活饮用水单位和二次供水、直饮水机的卫生管理、工作档案、水处理工艺流程、水源卫生防护进行卫生监督检查，出动卫生监督员4人/次，出动执法车辆2次/辆。</w:t>
      </w:r>
    </w:p>
    <w:p>
      <w:pPr>
        <w:keepNext w:val="0"/>
        <w:keepLines w:val="0"/>
        <w:pageBreakBefore w:val="0"/>
        <w:widowControl/>
        <w:kinsoku/>
        <w:wordWrap/>
        <w:overflowPunct/>
        <w:topLinePunct w:val="0"/>
        <w:autoSpaceDE/>
        <w:autoSpaceDN/>
        <w:bidi w:val="0"/>
        <w:adjustRightInd/>
        <w:snapToGrid/>
        <w:spacing w:beforeAutospacing="0" w:afterAutospacing="0" w:line="560" w:lineRule="exact"/>
        <w:ind w:right="0" w:firstLine="641"/>
        <w:jc w:val="left"/>
        <w:textAlignment w:val="auto"/>
        <w:rPr>
          <w:rFonts w:hint="eastAsia" w:ascii="仿宋" w:hAnsi="仿宋" w:eastAsia="仿宋" w:cs="仿宋"/>
          <w:b w:val="0"/>
          <w:bCs/>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⑷学校卫生监督检查</w:t>
      </w:r>
      <w:r>
        <w:rPr>
          <w:rFonts w:hint="eastAsia" w:ascii="仿宋" w:hAnsi="仿宋" w:eastAsia="仿宋" w:cs="仿宋"/>
          <w:b w:val="0"/>
          <w:bCs/>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对全县18所学校开展卫生监督检查工作，出动卫生监督员45人/次，出动执法车辆18次/辆。主要对学校传染病报告、晨午检因病缺课登记、学校饮用水等情况进行监督检查。　</w:t>
      </w:r>
    </w:p>
    <w:p>
      <w:pPr>
        <w:pStyle w:val="15"/>
        <w:keepNext w:val="0"/>
        <w:keepLines w:val="0"/>
        <w:pageBreakBefore w:val="0"/>
        <w:kinsoku/>
        <w:wordWrap/>
        <w:overflowPunct/>
        <w:topLinePunct w:val="0"/>
        <w:autoSpaceDE/>
        <w:autoSpaceDN/>
        <w:bidi w:val="0"/>
        <w:adjustRightInd/>
        <w:snapToGrid/>
        <w:spacing w:before="0" w:beforeLines="0" w:beforeAutospacing="0" w:after="0" w:afterLines="0" w:afterAutospacing="0" w:line="540" w:lineRule="exact"/>
        <w:ind w:right="0" w:firstLine="64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val="0"/>
          <w:color w:val="auto"/>
          <w:sz w:val="28"/>
          <w:szCs w:val="28"/>
          <w:highlight w:val="none"/>
          <w:lang w:val="en-US" w:eastAsia="zh-CN"/>
        </w:rPr>
        <w:t>⑸对职业卫生、放射卫生的卫生监督：</w:t>
      </w:r>
      <w:r>
        <w:rPr>
          <w:rFonts w:hint="eastAsia" w:ascii="仿宋" w:hAnsi="仿宋" w:eastAsia="仿宋" w:cs="仿宋"/>
          <w:color w:val="auto"/>
          <w:sz w:val="28"/>
          <w:szCs w:val="28"/>
          <w:highlight w:val="none"/>
          <w:lang w:val="en-US" w:eastAsia="zh-CN"/>
        </w:rPr>
        <w:t>对35家职业卫生用人单位进行监督检查，出动执法人员 64 人次，出动执法车辆 35 次辆。职业病危害项目申报单位86家，经排查，根据《巴州职业卫生分类监督执法试点工作推进计划》，2023年将和静县列入职业卫生分类分级监督执法工作试点县，21 家用人单位职业病危害综合风险做了评估报告，卫生监督员现场核查 21 家，分类分级建档户数 16 家。</w:t>
      </w:r>
    </w:p>
    <w:p>
      <w:pPr>
        <w:pStyle w:val="15"/>
        <w:spacing w:before="0" w:beforeAutospacing="0" w:after="0" w:afterAutospacing="0" w:line="600" w:lineRule="exact"/>
        <w:ind w:firstLine="64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（二）行政许可和行政处罚工作。</w:t>
      </w:r>
    </w:p>
    <w:p>
      <w:pPr>
        <w:keepNext w:val="0"/>
        <w:keepLines w:val="0"/>
        <w:pageBreakBefore w:val="0"/>
        <w:widowControl/>
        <w:suppressLineNumbers w:val="0"/>
        <w:kinsoku/>
        <w:wordWrap/>
        <w:overflowPunct/>
        <w:topLinePunct w:val="0"/>
        <w:autoSpaceDE/>
        <w:autoSpaceDN/>
        <w:bidi w:val="0"/>
        <w:adjustRightInd/>
        <w:snapToGrid/>
        <w:spacing w:line="560" w:lineRule="exact"/>
        <w:ind w:right="0" w:firstLine="640"/>
        <w:jc w:val="left"/>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2023年</w:t>
      </w:r>
      <w:r>
        <w:rPr>
          <w:rFonts w:hint="eastAsia" w:ascii="仿宋" w:hAnsi="仿宋" w:eastAsia="仿宋" w:cs="仿宋"/>
          <w:color w:val="auto"/>
          <w:sz w:val="28"/>
          <w:szCs w:val="28"/>
          <w:highlight w:val="none"/>
          <w:lang w:val="en-US" w:eastAsia="zh-CN"/>
        </w:rPr>
        <w:t>共办理卫生许可证147户</w:t>
      </w:r>
      <w:r>
        <w:rPr>
          <w:rFonts w:hint="eastAsia" w:ascii="仿宋" w:hAnsi="仿宋" w:cs="仿宋"/>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新办92户、延续55户），各种卫生行政许可证件底数清楚，发放严格，审批规范，管理有序。</w:t>
      </w:r>
    </w:p>
    <w:p>
      <w:pPr>
        <w:pStyle w:val="15"/>
        <w:keepNext w:val="0"/>
        <w:keepLines w:val="0"/>
        <w:pageBreakBefore w:val="0"/>
        <w:kinsoku/>
        <w:wordWrap/>
        <w:overflowPunct/>
        <w:topLinePunct w:val="0"/>
        <w:autoSpaceDE/>
        <w:autoSpaceDN/>
        <w:bidi w:val="0"/>
        <w:adjustRightInd/>
        <w:snapToGrid/>
        <w:spacing w:before="0" w:beforeLines="0" w:beforeAutospacing="0" w:after="0" w:afterLines="0" w:afterAutospacing="0" w:line="560" w:lineRule="exact"/>
        <w:ind w:right="0" w:firstLine="640"/>
        <w:rPr>
          <w:rFonts w:hint="eastAsia"/>
          <w:color w:val="auto"/>
          <w:highlight w:val="none"/>
          <w:lang w:val="en-US" w:eastAsia="zh-CN"/>
        </w:rPr>
      </w:pPr>
      <w:r>
        <w:rPr>
          <w:rFonts w:hint="eastAsia" w:ascii="仿宋" w:hAnsi="仿宋" w:cs="仿宋"/>
          <w:color w:val="auto"/>
          <w:sz w:val="28"/>
          <w:szCs w:val="28"/>
          <w:highlight w:val="none"/>
          <w:lang w:val="en-US" w:eastAsia="zh-CN"/>
        </w:rPr>
        <w:t>截至2023年</w:t>
      </w:r>
      <w:r>
        <w:rPr>
          <w:rFonts w:hint="eastAsia" w:ascii="仿宋" w:hAnsi="仿宋" w:eastAsia="仿宋" w:cs="仿宋"/>
          <w:color w:val="auto"/>
          <w:sz w:val="28"/>
          <w:szCs w:val="28"/>
          <w:highlight w:val="none"/>
          <w:lang w:val="en-US" w:eastAsia="zh-CN"/>
        </w:rPr>
        <w:t>12月31日共立案26起（其中：一般程序24起，简易程序2起），结案23起，处罚金额341896元。其中：医疗单位立案15起，结案 12起，处罚金额323896元，移送司法机关强制执行1起；公共场所立案6起，结案7起，处罚金额 15000元；职业卫生立案2起，结案2起；放射卫生立案3起（简易程序2起，一般程序1起），结案3起，处罚金额3000元。无行政复议及行政诉讼案件的发生。投诉举报6起，办结6起，办结率100%。</w:t>
      </w:r>
    </w:p>
    <w:p>
      <w:pPr>
        <w:pStyle w:val="4"/>
        <w:pageBreakBefore w:val="0"/>
        <w:widowControl w:val="0"/>
        <w:kinsoku/>
        <w:wordWrap/>
        <w:overflowPunct/>
        <w:topLinePunct w:val="0"/>
        <w:autoSpaceDE/>
        <w:autoSpaceDN/>
        <w:bidi w:val="0"/>
        <w:adjustRightInd w:val="0"/>
        <w:snapToGrid w:val="0"/>
        <w:spacing w:line="520" w:lineRule="exact"/>
        <w:textAlignment w:val="auto"/>
        <w:rPr>
          <w:rFonts w:hint="default"/>
          <w:color w:val="auto"/>
          <w:highlight w:val="none"/>
          <w:lang w:val="en-US" w:eastAsia="zh-CN"/>
        </w:rPr>
      </w:pPr>
      <w:r>
        <w:rPr>
          <w:rFonts w:hint="eastAsia"/>
          <w:color w:val="auto"/>
          <w:highlight w:val="none"/>
          <w:lang w:val="en-US" w:eastAsia="zh-CN"/>
        </w:rPr>
        <w:t>（三）部门单位整体预算规模及安排情况</w:t>
      </w:r>
    </w:p>
    <w:p>
      <w:pPr>
        <w:pageBreakBefore w:val="0"/>
        <w:widowControl w:val="0"/>
        <w:kinsoku/>
        <w:wordWrap/>
        <w:overflowPunct/>
        <w:topLinePunct w:val="0"/>
        <w:autoSpaceDE/>
        <w:autoSpaceDN/>
        <w:bidi w:val="0"/>
        <w:adjustRightInd w:val="0"/>
        <w:snapToGrid w:val="0"/>
        <w:spacing w:line="520" w:lineRule="exact"/>
        <w:textAlignment w:val="auto"/>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pageBreakBefore w:val="0"/>
        <w:widowControl w:val="0"/>
        <w:kinsoku/>
        <w:wordWrap/>
        <w:overflowPunct/>
        <w:topLinePunct w:val="0"/>
        <w:autoSpaceDE/>
        <w:autoSpaceDN/>
        <w:bidi w:val="0"/>
        <w:adjustRightInd w:val="0"/>
        <w:snapToGrid w:val="0"/>
        <w:spacing w:line="520" w:lineRule="exact"/>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pageBreakBefore w:val="0"/>
        <w:widowControl w:val="0"/>
        <w:kinsoku/>
        <w:wordWrap/>
        <w:overflowPunct/>
        <w:topLinePunct w:val="0"/>
        <w:autoSpaceDE/>
        <w:autoSpaceDN/>
        <w:bidi w:val="0"/>
        <w:adjustRightInd w:val="0"/>
        <w:snapToGrid w:val="0"/>
        <w:spacing w:line="520" w:lineRule="exact"/>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我单位年初预算数为180.98万元，实际预算执行数180.98万元，预算执行率为100%。</w:t>
      </w:r>
    </w:p>
    <w:p>
      <w:pPr>
        <w:pageBreakBefore w:val="0"/>
        <w:widowControl w:val="0"/>
        <w:kinsoku/>
        <w:wordWrap/>
        <w:overflowPunct/>
        <w:topLinePunct w:val="0"/>
        <w:autoSpaceDE/>
        <w:autoSpaceDN/>
        <w:bidi w:val="0"/>
        <w:adjustRightInd w:val="0"/>
        <w:snapToGrid w:val="0"/>
        <w:spacing w:line="520" w:lineRule="exact"/>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pageBreakBefore w:val="0"/>
        <w:widowControl w:val="0"/>
        <w:kinsoku/>
        <w:wordWrap/>
        <w:overflowPunct/>
        <w:topLinePunct w:val="0"/>
        <w:autoSpaceDE/>
        <w:autoSpaceDN/>
        <w:bidi w:val="0"/>
        <w:adjustRightInd w:val="0"/>
        <w:snapToGrid w:val="0"/>
        <w:spacing w:line="520" w:lineRule="exact"/>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全年预算数为188.07万元，全年实际支出资金188.07万元，预算执行率为100%。</w:t>
      </w:r>
    </w:p>
    <w:p>
      <w:pPr>
        <w:pStyle w:val="2"/>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2.预算调整（追加减）情况</w:t>
      </w:r>
    </w:p>
    <w:p>
      <w:pPr>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180.98</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7.09</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188.07</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3.92</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3.92</w:t>
      </w:r>
      <w:r>
        <w:rPr>
          <w:rFonts w:hint="eastAsia" w:ascii="Times New Roman" w:hAnsi="Times New Roman" w:cs="Times New Roman"/>
          <w:bCs/>
          <w:color w:val="auto"/>
          <w:highlight w:val="none"/>
          <w:lang w:eastAsia="zh-CN"/>
        </w:rPr>
        <w:t>%。）</w:t>
      </w:r>
    </w:p>
    <w:p>
      <w:pPr>
        <w:pStyle w:val="2"/>
        <w:pageBreakBefore w:val="0"/>
        <w:widowControl w:val="0"/>
        <w:kinsoku/>
        <w:wordWrap/>
        <w:overflowPunct/>
        <w:topLinePunct w:val="0"/>
        <w:autoSpaceDE/>
        <w:autoSpaceDN/>
        <w:bidi w:val="0"/>
        <w:adjustRightInd w:val="0"/>
        <w:snapToGrid w:val="0"/>
        <w:spacing w:line="520" w:lineRule="exact"/>
        <w:textAlignment w:val="auto"/>
        <w:rPr>
          <w:rFonts w:hint="default"/>
          <w:color w:val="auto"/>
          <w:highlight w:val="none"/>
          <w:lang w:val="en-US" w:eastAsia="zh-CN"/>
        </w:rPr>
      </w:pPr>
      <w:r>
        <w:rPr>
          <w:rFonts w:hint="default"/>
          <w:color w:val="auto"/>
          <w:highlight w:val="none"/>
          <w:lang w:val="en-US" w:eastAsia="zh-CN"/>
        </w:rPr>
        <w:t>3.资金使用主要内容、涉及的范围</w:t>
      </w:r>
    </w:p>
    <w:p>
      <w:pPr>
        <w:pageBreakBefore w:val="0"/>
        <w:widowControl w:val="0"/>
        <w:kinsoku/>
        <w:wordWrap/>
        <w:overflowPunct/>
        <w:topLinePunct w:val="0"/>
        <w:autoSpaceDE/>
        <w:autoSpaceDN/>
        <w:bidi w:val="0"/>
        <w:adjustRightInd w:val="0"/>
        <w:snapToGrid w:val="0"/>
        <w:spacing w:line="520" w:lineRule="exact"/>
        <w:textAlignment w:val="auto"/>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188.07</w:t>
      </w:r>
      <w:r>
        <w:rPr>
          <w:rFonts w:hint="default"/>
          <w:color w:val="auto"/>
          <w:highlight w:val="none"/>
          <w:lang w:val="en-US" w:eastAsia="zh-CN"/>
        </w:rPr>
        <w:t>万元，其中：</w:t>
      </w:r>
    </w:p>
    <w:p>
      <w:pPr>
        <w:pageBreakBefore w:val="0"/>
        <w:widowControl w:val="0"/>
        <w:kinsoku/>
        <w:wordWrap/>
        <w:overflowPunct/>
        <w:topLinePunct w:val="0"/>
        <w:autoSpaceDE/>
        <w:autoSpaceDN/>
        <w:bidi w:val="0"/>
        <w:adjustRightInd w:val="0"/>
        <w:snapToGrid w:val="0"/>
        <w:spacing w:line="520" w:lineRule="exact"/>
        <w:textAlignment w:val="auto"/>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184.81</w:t>
      </w:r>
      <w:r>
        <w:rPr>
          <w:rFonts w:hint="default"/>
          <w:color w:val="auto"/>
          <w:highlight w:val="none"/>
          <w:lang w:val="en-US" w:eastAsia="zh-CN"/>
        </w:rPr>
        <w:t>万元，资金的使用方向为我单位机关人员经费支出</w:t>
      </w:r>
      <w:r>
        <w:rPr>
          <w:rFonts w:hint="eastAsia"/>
          <w:color w:val="auto"/>
          <w:highlight w:val="none"/>
          <w:lang w:val="en-US" w:eastAsia="zh-CN"/>
        </w:rPr>
        <w:t>175.76</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9.05</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pageBreakBefore w:val="0"/>
        <w:widowControl w:val="0"/>
        <w:kinsoku/>
        <w:wordWrap/>
        <w:overflowPunct/>
        <w:topLinePunct w:val="0"/>
        <w:autoSpaceDE/>
        <w:autoSpaceDN/>
        <w:bidi w:val="0"/>
        <w:adjustRightInd w:val="0"/>
        <w:snapToGrid w:val="0"/>
        <w:spacing w:line="520" w:lineRule="exact"/>
        <w:textAlignment w:val="auto"/>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3.26</w:t>
      </w:r>
      <w:r>
        <w:rPr>
          <w:rFonts w:hint="default"/>
          <w:color w:val="auto"/>
          <w:highlight w:val="none"/>
          <w:lang w:val="en-US" w:eastAsia="zh-CN"/>
        </w:rPr>
        <w:t>万元，主要用于保障</w:t>
      </w:r>
      <w:r>
        <w:rPr>
          <w:rFonts w:hint="eastAsia"/>
          <w:color w:val="auto"/>
          <w:highlight w:val="none"/>
          <w:lang w:val="en-US" w:eastAsia="zh-CN"/>
        </w:rPr>
        <w:t>职业病防治</w:t>
      </w:r>
      <w:r>
        <w:rPr>
          <w:rFonts w:hint="default"/>
          <w:color w:val="auto"/>
          <w:highlight w:val="none"/>
          <w:lang w:val="en-US" w:eastAsia="zh-CN"/>
        </w:rPr>
        <w:t>项目、</w:t>
      </w:r>
      <w:r>
        <w:rPr>
          <w:rFonts w:hint="eastAsia"/>
          <w:color w:val="auto"/>
          <w:highlight w:val="none"/>
          <w:lang w:val="en-US" w:eastAsia="zh-CN"/>
        </w:rPr>
        <w:t>食品安全</w:t>
      </w:r>
      <w:r>
        <w:rPr>
          <w:rFonts w:hint="default"/>
          <w:color w:val="auto"/>
          <w:highlight w:val="none"/>
          <w:lang w:val="en-US" w:eastAsia="zh-CN"/>
        </w:rPr>
        <w:t>项目、</w:t>
      </w:r>
      <w:r>
        <w:rPr>
          <w:rFonts w:hint="eastAsia"/>
          <w:color w:val="auto"/>
          <w:highlight w:val="none"/>
          <w:lang w:val="en-US" w:eastAsia="zh-CN"/>
        </w:rPr>
        <w:t>双随机</w:t>
      </w:r>
      <w:r>
        <w:rPr>
          <w:rFonts w:hint="default"/>
          <w:color w:val="auto"/>
          <w:highlight w:val="none"/>
          <w:lang w:val="en-US" w:eastAsia="zh-CN"/>
        </w:rPr>
        <w:t>项目等项目支出。</w:t>
      </w:r>
    </w:p>
    <w:p>
      <w:pPr>
        <w:pStyle w:val="3"/>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（一）基本支出和使用情况</w:t>
      </w:r>
    </w:p>
    <w:p>
      <w:pPr>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184.81万元，全年实际支出184.81万元，资金执行率100%。基本支出严格按照财务管理制度执行，其中：</w:t>
      </w:r>
    </w:p>
    <w:p>
      <w:pPr>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人员经费支出175.76万元，主要包括：基本工资、津贴补贴、奖金、绩效工资、机关事业单位基本养老保险缴费、职业年金缴费、职工基本医疗保险缴费、公务员医疗补助缴费、其他社会保障缴费、住房公积金、其他工资福利支出、退休费、生活补助、医疗费补助、奖励金等。</w:t>
      </w:r>
    </w:p>
    <w:p>
      <w:pPr>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公用经费支出9.05万元，主要包括：办公费、咨询费、水费、电费、邮电费、差旅费、培训费、公务用车运行维护费、其他交通费用、其他商品和服务支出。</w:t>
      </w:r>
    </w:p>
    <w:p>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（二）政策、项目支出和使用情况</w:t>
      </w:r>
    </w:p>
    <w:p>
      <w:pPr>
        <w:pStyle w:val="2"/>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1.政策、项目支出的投入情况分析</w:t>
      </w:r>
    </w:p>
    <w:p>
      <w:pPr>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项目支出预算3.26</w:t>
      </w:r>
      <w:r>
        <w:rPr>
          <w:rFonts w:hint="eastAsia"/>
          <w:color w:val="auto"/>
          <w:highlight w:val="none"/>
          <w:lang w:eastAsia="zh-CN"/>
        </w:rPr>
        <w:t>万元，</w:t>
      </w:r>
      <w:r>
        <w:rPr>
          <w:rFonts w:hint="eastAsia"/>
          <w:color w:val="auto"/>
          <w:highlight w:val="none"/>
          <w:lang w:val="en-US" w:eastAsia="zh-CN"/>
        </w:rPr>
        <w:t>其中：上级专项资金3.26万元</w:t>
      </w:r>
      <w:r>
        <w:rPr>
          <w:rFonts w:hint="eastAsia"/>
          <w:color w:val="auto"/>
          <w:highlight w:val="none"/>
          <w:lang w:eastAsia="zh-CN"/>
        </w:rPr>
        <w:t>。</w:t>
      </w:r>
    </w:p>
    <w:p>
      <w:pPr>
        <w:pStyle w:val="2"/>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2.政策、项目支出管理情况</w:t>
      </w:r>
    </w:p>
    <w:p>
      <w:pPr>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3.26万元，其中职业病防治项目1.66万元</w:t>
      </w:r>
      <w:r>
        <w:rPr>
          <w:rFonts w:hint="default"/>
          <w:color w:val="auto"/>
          <w:highlight w:val="none"/>
          <w:lang w:val="en-US" w:eastAsia="zh-CN"/>
        </w:rPr>
        <w:t>、</w:t>
      </w:r>
      <w:r>
        <w:rPr>
          <w:rFonts w:hint="eastAsia"/>
          <w:color w:val="auto"/>
          <w:highlight w:val="none"/>
          <w:lang w:val="en-US" w:eastAsia="zh-CN"/>
        </w:rPr>
        <w:t>食品安全项目0.3万元</w:t>
      </w:r>
      <w:r>
        <w:rPr>
          <w:rFonts w:hint="default"/>
          <w:color w:val="auto"/>
          <w:highlight w:val="none"/>
          <w:lang w:val="en-US" w:eastAsia="zh-CN"/>
        </w:rPr>
        <w:t>、</w:t>
      </w:r>
      <w:r>
        <w:rPr>
          <w:rFonts w:hint="eastAsia"/>
          <w:color w:val="auto"/>
          <w:highlight w:val="none"/>
          <w:lang w:val="en-US" w:eastAsia="zh-CN"/>
        </w:rPr>
        <w:t>双随机项目1.3万元。项目资金主要用于支付开展职业病防治</w:t>
      </w:r>
      <w:r>
        <w:rPr>
          <w:rFonts w:hint="default"/>
          <w:color w:val="auto"/>
          <w:highlight w:val="none"/>
          <w:lang w:val="en-US" w:eastAsia="zh-CN"/>
        </w:rPr>
        <w:t>、</w:t>
      </w:r>
      <w:r>
        <w:rPr>
          <w:rFonts w:hint="eastAsia"/>
          <w:color w:val="auto"/>
          <w:highlight w:val="none"/>
          <w:lang w:val="en-US" w:eastAsia="zh-CN"/>
        </w:rPr>
        <w:t>食品安全</w:t>
      </w:r>
      <w:r>
        <w:rPr>
          <w:rFonts w:hint="default"/>
          <w:color w:val="auto"/>
          <w:highlight w:val="none"/>
          <w:lang w:val="en-US" w:eastAsia="zh-CN"/>
        </w:rPr>
        <w:t>、</w:t>
      </w:r>
      <w:r>
        <w:rPr>
          <w:rFonts w:hint="eastAsia"/>
          <w:color w:val="auto"/>
          <w:highlight w:val="none"/>
          <w:lang w:val="en-US" w:eastAsia="zh-CN"/>
        </w:rPr>
        <w:t>双随机等卫生监督检查工作中产生的差旅费、燃油费、车辆维护保养费、办公费，卫生监督执法工作中产生的车辆维护保养费、办公费通过政府采购，确定供货单位，明确由行政办负责监督，并在规定时间完成支付。外出开展工作由行政办开具派车、派油、派差单，再经分管领导审批，外出执法人员以此为依据为车辆加燃油、报销差旅费，财务人员将报销的差旅费直接支付到出差人员银行卡中。</w:t>
      </w:r>
    </w:p>
    <w:p>
      <w:pPr>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（2）项目实施组织管理情况。我单位项目实施和资金使用分配坚持集体决策。对职业病防治</w:t>
      </w:r>
      <w:r>
        <w:rPr>
          <w:rFonts w:hint="default"/>
          <w:color w:val="auto"/>
          <w:highlight w:val="none"/>
          <w:lang w:val="en-US" w:eastAsia="zh-CN"/>
        </w:rPr>
        <w:t>、</w:t>
      </w:r>
      <w:r>
        <w:rPr>
          <w:rFonts w:hint="eastAsia"/>
          <w:color w:val="auto"/>
          <w:highlight w:val="none"/>
          <w:lang w:val="en-US" w:eastAsia="zh-CN"/>
        </w:rPr>
        <w:t>食品安全</w:t>
      </w:r>
      <w:r>
        <w:rPr>
          <w:rFonts w:hint="default"/>
          <w:color w:val="auto"/>
          <w:highlight w:val="none"/>
          <w:lang w:val="en-US" w:eastAsia="zh-CN"/>
        </w:rPr>
        <w:t>、</w:t>
      </w:r>
      <w:r>
        <w:rPr>
          <w:rFonts w:hint="eastAsia"/>
          <w:color w:val="auto"/>
          <w:highlight w:val="none"/>
          <w:lang w:val="en-US" w:eastAsia="zh-CN"/>
        </w:rPr>
        <w:t>双随机项目制订工作方案，明确时间节点，开展项目规划设计、部署工作，认真落实项目任务。工作中突出重点，严格按照上级部门要求的时间节点完成卫生监督执法工作。</w:t>
      </w:r>
      <w:r>
        <w:rPr>
          <w:rFonts w:hint="default" w:ascii="Calibri" w:hAnsi="Calibri" w:cs="Calibri"/>
          <w:color w:val="auto"/>
          <w:highlight w:val="none"/>
          <w:lang w:val="en-US" w:eastAsia="zh-CN"/>
        </w:rPr>
        <w:t>①</w:t>
      </w:r>
      <w:r>
        <w:rPr>
          <w:rFonts w:hint="eastAsia" w:ascii="Calibri" w:hAnsi="Calibri" w:cs="Calibri"/>
          <w:color w:val="auto"/>
          <w:highlight w:val="none"/>
          <w:lang w:val="en-US" w:eastAsia="zh-CN"/>
        </w:rPr>
        <w:t>职业病防治项目：</w:t>
      </w:r>
      <w:r>
        <w:rPr>
          <w:rFonts w:hint="default" w:ascii="Calibri" w:hAnsi="Calibri" w:cs="Calibri"/>
          <w:color w:val="auto"/>
          <w:highlight w:val="none"/>
          <w:lang w:val="en-US" w:eastAsia="zh-CN"/>
        </w:rPr>
        <w:t>以《关于印发2024年中央基本公共卫生服务项目</w:t>
      </w:r>
      <w:r>
        <w:rPr>
          <w:rFonts w:hint="eastAsia" w:ascii="Calibri" w:hAnsi="Calibri" w:cs="Calibri"/>
          <w:color w:val="auto"/>
          <w:highlight w:val="none"/>
          <w:lang w:val="en-US" w:eastAsia="zh-CN"/>
        </w:rPr>
        <w:t>－</w:t>
      </w:r>
      <w:r>
        <w:rPr>
          <w:rFonts w:hint="default" w:ascii="Calibri" w:hAnsi="Calibri" w:cs="Calibri"/>
          <w:color w:val="auto"/>
          <w:highlight w:val="none"/>
          <w:lang w:val="en-US" w:eastAsia="zh-CN"/>
        </w:rPr>
        <w:t>职业病防治项目资金实施方案的通知》《关于印发新疆维吾尔自治区职业病防治“十四五”规划的通知》《巴州职业卫生分类监督执法试点工作推进计划》明确的总目标和具体任务开展职业卫生监督执法工作</w:t>
      </w:r>
      <w:r>
        <w:rPr>
          <w:rFonts w:hint="eastAsia" w:ascii="Calibri" w:hAnsi="Calibri" w:cs="Calibri"/>
          <w:color w:val="auto"/>
          <w:highlight w:val="none"/>
          <w:lang w:val="en-US" w:eastAsia="zh-CN"/>
        </w:rPr>
        <w:t>。开展和静县职业病防治项目工作，完成职业卫生监测和放射卫生监测既定各项任务和指标，统计分析和静县职业病防治现状，为制定职业病防治政策提供技术依据。</w:t>
      </w:r>
      <w:r>
        <w:rPr>
          <w:rFonts w:hint="default" w:ascii="Calibri" w:hAnsi="Calibri" w:cs="Calibri"/>
          <w:color w:val="auto"/>
          <w:highlight w:val="none"/>
          <w:lang w:val="en-US" w:eastAsia="zh-CN"/>
        </w:rPr>
        <w:t>②</w:t>
      </w:r>
      <w:r>
        <w:rPr>
          <w:rFonts w:hint="eastAsia" w:ascii="Calibri" w:hAnsi="Calibri" w:cs="Calibri"/>
          <w:color w:val="auto"/>
          <w:highlight w:val="none"/>
          <w:lang w:val="en-US" w:eastAsia="zh-CN"/>
        </w:rPr>
        <w:t>食品安全项目：</w:t>
      </w:r>
      <w:r>
        <w:rPr>
          <w:rFonts w:hint="default" w:ascii="Calibri" w:hAnsi="Calibri" w:cs="Calibri"/>
          <w:color w:val="auto"/>
          <w:highlight w:val="none"/>
          <w:lang w:val="en-US" w:eastAsia="zh-CN"/>
        </w:rPr>
        <w:t>开展食品安全标准跟踪评价，宣传食品安全标准，了解掌握食品安全标准执行情况及需求情况，为标准制定、修订工作和进一步完善食品安全标准体系提供科学依据。③双随机</w:t>
      </w:r>
      <w:r>
        <w:rPr>
          <w:rFonts w:hint="eastAsia" w:ascii="Calibri" w:hAnsi="Calibri" w:cs="Calibri"/>
          <w:color w:val="auto"/>
          <w:highlight w:val="none"/>
          <w:lang w:val="en-US" w:eastAsia="zh-CN"/>
        </w:rPr>
        <w:t>项目：开展</w:t>
      </w:r>
      <w:r>
        <w:rPr>
          <w:rFonts w:hint="default" w:ascii="Calibri" w:hAnsi="Calibri" w:cs="Calibri"/>
          <w:color w:val="auto"/>
          <w:highlight w:val="none"/>
          <w:lang w:val="en-US" w:eastAsia="zh-CN"/>
        </w:rPr>
        <w:t>2024年度“双随机一公开”监督抽查及各项监督检查任务，</w:t>
      </w:r>
      <w:r>
        <w:rPr>
          <w:rFonts w:hint="eastAsia" w:ascii="Calibri" w:hAnsi="Calibri" w:cs="Calibri"/>
          <w:color w:val="auto"/>
          <w:highlight w:val="none"/>
          <w:lang w:val="en-US" w:eastAsia="zh-CN"/>
        </w:rPr>
        <w:t>做好</w:t>
      </w:r>
      <w:r>
        <w:rPr>
          <w:rFonts w:hint="default" w:ascii="Calibri" w:hAnsi="Calibri" w:cs="Calibri"/>
          <w:color w:val="auto"/>
          <w:highlight w:val="none"/>
          <w:lang w:val="en-US" w:eastAsia="zh-CN"/>
        </w:rPr>
        <w:t>突发公共卫生应急处置，进一步提升和保持卫生应急队伍的快速机动能力、自我保障能力，切实发挥卫生应急现场处置作用</w:t>
      </w:r>
      <w:r>
        <w:rPr>
          <w:rFonts w:hint="eastAsia" w:ascii="Calibri" w:hAnsi="Calibri" w:cs="Calibri"/>
          <w:color w:val="auto"/>
          <w:highlight w:val="none"/>
          <w:lang w:val="en-US" w:eastAsia="zh-CN"/>
        </w:rPr>
        <w:t>，</w:t>
      </w:r>
      <w:r>
        <w:rPr>
          <w:rFonts w:hint="default" w:ascii="Calibri" w:hAnsi="Calibri" w:cs="Calibri"/>
          <w:color w:val="auto"/>
          <w:highlight w:val="none"/>
          <w:lang w:val="en-US" w:eastAsia="zh-CN"/>
        </w:rPr>
        <w:t>不断提升综合监督执法队伍能力和水平，保障我区社会经济可持续发展，提升群众健康水平</w:t>
      </w:r>
      <w:r>
        <w:rPr>
          <w:rFonts w:hint="eastAsia"/>
          <w:color w:val="auto"/>
          <w:highlight w:val="none"/>
          <w:lang w:val="en-US" w:eastAsia="zh-CN"/>
        </w:rPr>
        <w:t>。</w:t>
      </w:r>
    </w:p>
    <w:p>
      <w:pPr>
        <w:pStyle w:val="2"/>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3.政策、项目支出总体实际使用情况</w:t>
      </w:r>
    </w:p>
    <w:p>
      <w:pPr>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度安排项目支出资金3.26万元，</w:t>
      </w:r>
      <w:r>
        <w:rPr>
          <w:rFonts w:hint="eastAsia"/>
          <w:color w:val="auto"/>
          <w:highlight w:val="none"/>
          <w:lang w:eastAsia="zh-CN"/>
        </w:rPr>
        <w:t>实际</w:t>
      </w:r>
      <w:r>
        <w:rPr>
          <w:rFonts w:hint="eastAsia"/>
          <w:color w:val="auto"/>
          <w:highlight w:val="none"/>
          <w:lang w:val="en-US" w:eastAsia="zh-CN"/>
        </w:rPr>
        <w:t>支出3.26</w:t>
      </w:r>
      <w:r>
        <w:rPr>
          <w:rFonts w:hint="eastAsia"/>
          <w:color w:val="auto"/>
          <w:highlight w:val="none"/>
          <w:lang w:eastAsia="zh-CN"/>
        </w:rPr>
        <w:t>万元，</w:t>
      </w:r>
      <w:r>
        <w:rPr>
          <w:rFonts w:hint="eastAsia"/>
          <w:color w:val="auto"/>
          <w:highlight w:val="none"/>
          <w:lang w:val="en-US" w:eastAsia="zh-CN"/>
        </w:rPr>
        <w:t>其中：上级专项资金支出3.26万元，本级财政安排项目资金支出0万元，项目预算资金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pageBreakBefore w:val="0"/>
        <w:widowControl w:val="0"/>
        <w:kinsoku/>
        <w:wordWrap/>
        <w:overflowPunct/>
        <w:topLinePunct w:val="0"/>
        <w:autoSpaceDE/>
        <w:autoSpaceDN/>
        <w:bidi w:val="0"/>
        <w:adjustRightInd w:val="0"/>
        <w:snapToGrid w:val="0"/>
        <w:spacing w:line="520" w:lineRule="exact"/>
        <w:textAlignment w:val="auto"/>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包括卫生健康支出</w:t>
      </w:r>
      <w:r>
        <w:rPr>
          <w:rFonts w:hint="eastAsia"/>
          <w:color w:val="auto"/>
          <w:highlight w:val="none"/>
          <w:lang w:val="en-US" w:eastAsia="zh-CN"/>
        </w:rPr>
        <w:t>3.26</w:t>
      </w:r>
      <w:r>
        <w:rPr>
          <w:rFonts w:hint="default"/>
          <w:color w:val="auto"/>
          <w:highlight w:val="none"/>
          <w:lang w:val="en-US" w:eastAsia="zh-CN"/>
        </w:rPr>
        <w:t>万元</w:t>
      </w:r>
      <w:r>
        <w:rPr>
          <w:rFonts w:hint="eastAsia"/>
          <w:color w:val="auto"/>
          <w:highlight w:val="none"/>
          <w:lang w:val="en-US" w:eastAsia="zh-CN"/>
        </w:rPr>
        <w:t>。</w:t>
      </w:r>
    </w:p>
    <w:bookmarkEnd w:id="2"/>
    <w:p>
      <w:pPr>
        <w:pStyle w:val="3"/>
        <w:pageBreakBefore w:val="0"/>
        <w:widowControl w:val="0"/>
        <w:kinsoku/>
        <w:wordWrap/>
        <w:overflowPunct/>
        <w:topLinePunct w:val="0"/>
        <w:autoSpaceDE/>
        <w:autoSpaceDN/>
        <w:bidi w:val="0"/>
        <w:adjustRightInd w:val="0"/>
        <w:snapToGrid w:val="0"/>
        <w:spacing w:line="520" w:lineRule="exact"/>
        <w:textAlignment w:val="auto"/>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pageBreakBefore w:val="0"/>
        <w:widowControl w:val="0"/>
        <w:kinsoku/>
        <w:wordWrap/>
        <w:overflowPunct/>
        <w:topLinePunct w:val="0"/>
        <w:autoSpaceDE/>
        <w:autoSpaceDN/>
        <w:bidi w:val="0"/>
        <w:adjustRightInd w:val="0"/>
        <w:snapToGrid w:val="0"/>
        <w:spacing w:line="520" w:lineRule="exact"/>
        <w:textAlignment w:val="auto"/>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13</w:t>
      </w:r>
      <w:r>
        <w:rPr>
          <w:rFonts w:hint="eastAsia"/>
          <w:color w:val="auto"/>
          <w:highlight w:val="none"/>
        </w:rPr>
        <w:t>个，三级指标</w:t>
      </w:r>
      <w:r>
        <w:rPr>
          <w:rFonts w:hint="eastAsia"/>
          <w:color w:val="auto"/>
          <w:highlight w:val="none"/>
          <w:lang w:val="en-US" w:eastAsia="zh-CN"/>
        </w:rPr>
        <w:t>13</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12</w:t>
      </w:r>
      <w:r>
        <w:rPr>
          <w:rFonts w:hint="eastAsia"/>
          <w:color w:val="auto"/>
          <w:highlight w:val="none"/>
          <w:lang w:eastAsia="zh-CN"/>
        </w:rPr>
        <w:t>个，指标完成率为</w:t>
      </w:r>
      <w:r>
        <w:rPr>
          <w:rFonts w:hint="eastAsia"/>
          <w:color w:val="auto"/>
          <w:highlight w:val="none"/>
          <w:lang w:val="en-US" w:eastAsia="zh-CN"/>
        </w:rPr>
        <w:t>92.31</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rPr>
      </w:pPr>
      <w:r>
        <w:rPr>
          <w:rFonts w:hint="eastAsia"/>
          <w:color w:val="auto"/>
          <w:highlight w:val="none"/>
          <w:lang w:eastAsia="zh-CN"/>
        </w:rPr>
        <w:t>（</w:t>
      </w:r>
      <w:r>
        <w:rPr>
          <w:rFonts w:hint="eastAsia"/>
          <w:color w:val="auto"/>
          <w:highlight w:val="none"/>
          <w:lang w:val="en-US" w:eastAsia="zh-CN"/>
        </w:rPr>
        <w:t>一）工资及公用经费保障率</w:t>
      </w:r>
      <w:r>
        <w:rPr>
          <w:rFonts w:hint="eastAsia"/>
          <w:color w:val="auto"/>
          <w:highlight w:val="none"/>
        </w:rPr>
        <w:t>指标完成情况分析</w:t>
      </w:r>
    </w:p>
    <w:p>
      <w:pPr>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工资及公用经费保障率指标年初设定目标是100%，年中绩效运行监控时完成值100%，年终实际完成值是100%，指标完成率是100%，达到保障了11名办公人员工资发放和日常办公运转经费的预期目标。偏差原因：无偏差。</w:t>
      </w:r>
    </w:p>
    <w:p>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（二）“三公经费”控制率指标完成情况分析</w:t>
      </w:r>
    </w:p>
    <w:p>
      <w:pPr>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“三公经费”控制率指标年初设定目标是100%，年中绩效运行监控时完成值100%，年终实际完成值是100%，指标完成率是100%，达到厉行节约，保障资金正常运行的预期目标。偏差原因：无偏差。</w:t>
      </w:r>
    </w:p>
    <w:p>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（三）公共场所卫生许可审核、卫生许可申请受理与组织审核户数指标完成情况分析</w:t>
      </w:r>
    </w:p>
    <w:p>
      <w:pPr>
        <w:keepNext/>
        <w:keepLines w:val="0"/>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公共场所卫生许可审核、卫生许可申请受理与组织审核户数指标年初设定目标是</w:t>
      </w:r>
      <w:r>
        <w:rPr>
          <w:rFonts w:hint="eastAsia" w:ascii="宋体" w:hAnsi="宋体" w:eastAsia="宋体" w:cs="宋体"/>
          <w:color w:val="auto"/>
          <w:highlight w:val="none"/>
          <w:lang w:val="en-US" w:eastAsia="zh-CN"/>
        </w:rPr>
        <w:t>≧</w:t>
      </w:r>
      <w:r>
        <w:rPr>
          <w:rFonts w:hint="eastAsia"/>
          <w:color w:val="auto"/>
          <w:highlight w:val="none"/>
          <w:lang w:val="en-US" w:eastAsia="zh-CN"/>
        </w:rPr>
        <w:t>80户，年中绩效运行监控时完成值42户，年终实际完成值是147户，指标完成率是183.75%，达到按时高效为群众办理公共场所卫生许可审核、卫生许可申请受理业务的预期目标。偏差原因：2023年公共场所卫生许可审核、卫生许可申请受理与组织审核户数较年初目标值增加67户。整改方式：设定年初目标前做好充分的调查研究，精准设定年初目标值，避免因目标值不准确产生偏差。</w:t>
      </w:r>
    </w:p>
    <w:p>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（四）公共场所卫生监督目标户数指标完成情况分析</w:t>
      </w:r>
    </w:p>
    <w:p>
      <w:pPr>
        <w:keepNext/>
        <w:keepLines w:val="0"/>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公共场所卫生监督目标户数指标年初设定目标是</w:t>
      </w:r>
      <w:r>
        <w:rPr>
          <w:rFonts w:hint="eastAsia" w:ascii="宋体" w:hAnsi="宋体" w:eastAsia="宋体" w:cs="宋体"/>
          <w:color w:val="auto"/>
          <w:highlight w:val="none"/>
          <w:lang w:val="en-US" w:eastAsia="zh-CN"/>
        </w:rPr>
        <w:t>≧</w:t>
      </w:r>
      <w:r>
        <w:rPr>
          <w:rFonts w:hint="eastAsia"/>
          <w:color w:val="auto"/>
          <w:highlight w:val="none"/>
          <w:lang w:val="en-US" w:eastAsia="zh-CN"/>
        </w:rPr>
        <w:t>300户，年中绩效运行监控时完成值153户，年终实际完成值是320户，指标完成率是106.67%，达到公共场所卫生监督覆盖率106.67%的预期目标。偏差原因：2023年公共场所经营户数较2022年增加20户。整改方式：设定年初目标前做好充分的调研，准确设定年初目标值，避免因目标值不准确产生偏差。</w:t>
      </w:r>
    </w:p>
    <w:p>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（五）医疗机构、传染病防治监督目标户数指标完成情况分析</w:t>
      </w:r>
    </w:p>
    <w:p>
      <w:pPr>
        <w:keepNext/>
        <w:keepLines w:val="0"/>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医疗机构、传染病防治监督目标户数指标年初设定目标是</w:t>
      </w:r>
      <w:r>
        <w:rPr>
          <w:rFonts w:hint="eastAsia" w:ascii="宋体" w:hAnsi="宋体" w:eastAsia="宋体" w:cs="宋体"/>
          <w:color w:val="auto"/>
          <w:highlight w:val="none"/>
          <w:lang w:val="en-US" w:eastAsia="zh-CN"/>
        </w:rPr>
        <w:t>≧</w:t>
      </w:r>
      <w:r>
        <w:rPr>
          <w:rFonts w:hint="eastAsia"/>
          <w:color w:val="auto"/>
          <w:highlight w:val="none"/>
          <w:lang w:val="en-US" w:eastAsia="zh-CN"/>
        </w:rPr>
        <w:t>120户，年中绩效运行监控时完成值60户，年终实际完成值是121户，指标完成率是100.83%，达到公共场所卫生监督覆盖率100%的预期目标。偏差原因：无偏差。</w:t>
      </w:r>
    </w:p>
    <w:p>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（六）学校卫生监督目标户数指标完成情况分析</w:t>
      </w:r>
    </w:p>
    <w:p>
      <w:pPr>
        <w:keepNext/>
        <w:keepLines w:val="0"/>
        <w:pageBreakBefore w:val="0"/>
        <w:widowControl w:val="0"/>
        <w:kinsoku/>
        <w:wordWrap/>
        <w:overflowPunct/>
        <w:topLinePunct w:val="0"/>
        <w:autoSpaceDE/>
        <w:autoSpaceDN/>
        <w:bidi w:val="0"/>
        <w:adjustRightInd w:val="0"/>
        <w:snapToGrid w:val="0"/>
        <w:spacing w:line="520" w:lineRule="exact"/>
        <w:textAlignment w:val="auto"/>
        <w:outlineLvl w:val="9"/>
        <w:rPr>
          <w:rFonts w:hint="eastAsia"/>
          <w:color w:val="auto"/>
          <w:highlight w:val="none"/>
          <w:lang w:val="en-US" w:eastAsia="zh-CN"/>
        </w:rPr>
      </w:pPr>
      <w:r>
        <w:rPr>
          <w:rFonts w:hint="eastAsia"/>
          <w:color w:val="auto"/>
          <w:highlight w:val="none"/>
          <w:lang w:val="en-US" w:eastAsia="zh-CN"/>
        </w:rPr>
        <w:t>学校卫生监督目标户数指标年初设定目标是</w:t>
      </w:r>
      <w:r>
        <w:rPr>
          <w:rFonts w:hint="eastAsia" w:ascii="宋体" w:hAnsi="宋体" w:eastAsia="宋体" w:cs="宋体"/>
          <w:color w:val="auto"/>
          <w:highlight w:val="none"/>
          <w:lang w:val="en-US" w:eastAsia="zh-CN"/>
        </w:rPr>
        <w:t>≧</w:t>
      </w:r>
      <w:r>
        <w:rPr>
          <w:rFonts w:hint="eastAsia"/>
          <w:color w:val="auto"/>
          <w:highlight w:val="none"/>
          <w:lang w:val="en-US" w:eastAsia="zh-CN"/>
        </w:rPr>
        <w:t>21户，年中绩效运行监控时完成值10户，年终实际完成值是18户，指标完成率是86%，未达到学校卫生监督覆盖率100%的预期目标。偏差原因：3所学校2023年被定为“国家双随机”抽查单位，未在卫生监督平台上报卫生监督记录。整改方式：今后的工作中将“国家双随机”被抽查单位，抽查后再录入卫生监督平台，确保卫生监督平台内卫生监督覆盖率达到100%。</w:t>
      </w:r>
    </w:p>
    <w:p>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（七）生活饮用水供水单位监督目标户数指标完成情况分析</w:t>
      </w:r>
    </w:p>
    <w:p>
      <w:pPr>
        <w:keepNext/>
        <w:keepLines w:val="0"/>
        <w:pageBreakBefore w:val="0"/>
        <w:widowControl w:val="0"/>
        <w:kinsoku/>
        <w:wordWrap/>
        <w:overflowPunct/>
        <w:topLinePunct w:val="0"/>
        <w:autoSpaceDE/>
        <w:autoSpaceDN/>
        <w:bidi w:val="0"/>
        <w:adjustRightInd w:val="0"/>
        <w:snapToGrid w:val="0"/>
        <w:spacing w:line="520" w:lineRule="exact"/>
        <w:textAlignment w:val="auto"/>
        <w:outlineLvl w:val="9"/>
        <w:rPr>
          <w:rFonts w:hint="eastAsia"/>
          <w:color w:val="auto"/>
          <w:highlight w:val="none"/>
          <w:lang w:val="en-US" w:eastAsia="zh-CN"/>
        </w:rPr>
      </w:pPr>
      <w:r>
        <w:rPr>
          <w:rFonts w:hint="eastAsia"/>
          <w:color w:val="auto"/>
          <w:highlight w:val="none"/>
          <w:lang w:val="en-US" w:eastAsia="zh-CN"/>
        </w:rPr>
        <w:t>生活饮用水供水单位监督目标户数指标年初设定目标是</w:t>
      </w:r>
      <w:r>
        <w:rPr>
          <w:rFonts w:hint="eastAsia" w:ascii="宋体" w:hAnsi="宋体" w:eastAsia="宋体" w:cs="宋体"/>
          <w:color w:val="auto"/>
          <w:highlight w:val="none"/>
          <w:lang w:val="en-US" w:eastAsia="zh-CN"/>
        </w:rPr>
        <w:t>≧</w:t>
      </w:r>
      <w:r>
        <w:rPr>
          <w:rFonts w:hint="eastAsia"/>
          <w:color w:val="auto"/>
          <w:highlight w:val="none"/>
          <w:lang w:val="en-US" w:eastAsia="zh-CN"/>
        </w:rPr>
        <w:t>2户，年中绩效运行监控时完成值1户，年终实际完成值是2户，指标完成率是100%，达到生活饮用水供水单位卫生监督覆盖率100%的预期目标。偏差原因：无偏差。</w:t>
      </w:r>
    </w:p>
    <w:p>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（八）职业卫生监督目标户数指标完成情况分析</w:t>
      </w:r>
    </w:p>
    <w:p>
      <w:pPr>
        <w:keepNext/>
        <w:keepLines w:val="0"/>
        <w:pageBreakBefore w:val="0"/>
        <w:widowControl w:val="0"/>
        <w:kinsoku/>
        <w:wordWrap/>
        <w:overflowPunct/>
        <w:topLinePunct w:val="0"/>
        <w:autoSpaceDE/>
        <w:autoSpaceDN/>
        <w:bidi w:val="0"/>
        <w:adjustRightInd w:val="0"/>
        <w:snapToGrid w:val="0"/>
        <w:spacing w:line="520" w:lineRule="exact"/>
        <w:textAlignment w:val="auto"/>
        <w:outlineLvl w:val="9"/>
        <w:rPr>
          <w:rFonts w:hint="eastAsia"/>
          <w:color w:val="auto"/>
          <w:highlight w:val="none"/>
          <w:lang w:val="en-US" w:eastAsia="zh-CN"/>
        </w:rPr>
      </w:pPr>
      <w:r>
        <w:rPr>
          <w:rFonts w:hint="eastAsia"/>
          <w:color w:val="auto"/>
          <w:highlight w:val="none"/>
          <w:lang w:val="en-US" w:eastAsia="zh-CN"/>
        </w:rPr>
        <w:t>职业卫生监督目标户数指标年初设定目标是≧35户，年中绩效运行监控时完成值17户，年终实际完成值是35户，指标完成率是100%，达到职业卫生监督</w:t>
      </w:r>
      <w:bookmarkStart w:id="6" w:name="_GoBack"/>
      <w:bookmarkEnd w:id="6"/>
      <w:r>
        <w:rPr>
          <w:rFonts w:hint="eastAsia"/>
          <w:color w:val="auto"/>
          <w:highlight w:val="none"/>
          <w:lang w:val="en-US" w:eastAsia="zh-CN"/>
        </w:rPr>
        <w:t>覆盖率100%的预期目标。偏差原因：无偏差。</w:t>
      </w:r>
    </w:p>
    <w:p>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（九）对管理相对人的宣传和培训次数指标完成情况分析</w:t>
      </w:r>
    </w:p>
    <w:p>
      <w:pPr>
        <w:keepNext/>
        <w:keepLines w:val="0"/>
        <w:pageBreakBefore w:val="0"/>
        <w:widowControl w:val="0"/>
        <w:kinsoku/>
        <w:wordWrap/>
        <w:overflowPunct/>
        <w:topLinePunct w:val="0"/>
        <w:autoSpaceDE/>
        <w:autoSpaceDN/>
        <w:bidi w:val="0"/>
        <w:adjustRightInd w:val="0"/>
        <w:snapToGrid w:val="0"/>
        <w:spacing w:line="520" w:lineRule="exact"/>
        <w:textAlignment w:val="auto"/>
        <w:outlineLvl w:val="9"/>
        <w:rPr>
          <w:rFonts w:hint="eastAsia"/>
          <w:color w:val="auto"/>
          <w:highlight w:val="none"/>
          <w:lang w:val="en-US" w:eastAsia="zh-CN"/>
        </w:rPr>
      </w:pPr>
      <w:r>
        <w:rPr>
          <w:rFonts w:hint="eastAsia"/>
          <w:color w:val="auto"/>
          <w:highlight w:val="none"/>
          <w:lang w:val="en-US" w:eastAsia="zh-CN"/>
        </w:rPr>
        <w:t>对管理相对人的宣传和培训次数指标年初设定目标是≧3场次，年中绩效运行监控时完成值2场次，年终实际完成值是3场次，指标完成率是100%，达到通过开展对管理相对人的宣传和培训提高政策知晓率的预期目标。偏差原因：无偏差。</w:t>
      </w:r>
    </w:p>
    <w:p>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（十）卫生监督覆盖率指标完成情况分析</w:t>
      </w:r>
    </w:p>
    <w:p>
      <w:pPr>
        <w:keepNext/>
        <w:keepLines w:val="0"/>
        <w:pageBreakBefore w:val="0"/>
        <w:widowControl w:val="0"/>
        <w:kinsoku/>
        <w:wordWrap/>
        <w:overflowPunct/>
        <w:topLinePunct w:val="0"/>
        <w:autoSpaceDE/>
        <w:autoSpaceDN/>
        <w:bidi w:val="0"/>
        <w:adjustRightInd w:val="0"/>
        <w:snapToGrid w:val="0"/>
        <w:spacing w:line="520" w:lineRule="exact"/>
        <w:textAlignment w:val="auto"/>
        <w:outlineLvl w:val="9"/>
        <w:rPr>
          <w:rFonts w:hint="eastAsia"/>
          <w:color w:val="auto"/>
          <w:highlight w:val="none"/>
          <w:lang w:val="en-US" w:eastAsia="zh-CN"/>
        </w:rPr>
      </w:pPr>
      <w:r>
        <w:rPr>
          <w:rFonts w:hint="eastAsia"/>
          <w:color w:val="auto"/>
          <w:highlight w:val="none"/>
          <w:lang w:val="en-US" w:eastAsia="zh-CN"/>
        </w:rPr>
        <w:t>卫生监督覆盖率指标年初设定目标是≧95%，年中绩效运行监控时完成值50%，年终实际完成值是97.14%，指标完成率是100%，达到通过开展卫生监督执法工作规范被监督单位业务工作开展的预期目标。偏差原因：无偏差。</w:t>
      </w:r>
    </w:p>
    <w:p>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（十一）培训出勤率指标完成情况分析</w:t>
      </w:r>
    </w:p>
    <w:p>
      <w:pPr>
        <w:keepNext/>
        <w:keepLines w:val="0"/>
        <w:pageBreakBefore w:val="0"/>
        <w:widowControl w:val="0"/>
        <w:kinsoku/>
        <w:wordWrap/>
        <w:overflowPunct/>
        <w:topLinePunct w:val="0"/>
        <w:autoSpaceDE/>
        <w:autoSpaceDN/>
        <w:bidi w:val="0"/>
        <w:adjustRightInd w:val="0"/>
        <w:snapToGrid w:val="0"/>
        <w:spacing w:line="520" w:lineRule="exact"/>
        <w:textAlignment w:val="auto"/>
        <w:outlineLvl w:val="9"/>
        <w:rPr>
          <w:rFonts w:hint="eastAsia"/>
          <w:color w:val="auto"/>
          <w:highlight w:val="none"/>
          <w:lang w:val="en-US" w:eastAsia="zh-CN"/>
        </w:rPr>
      </w:pPr>
      <w:r>
        <w:rPr>
          <w:rFonts w:hint="eastAsia"/>
          <w:color w:val="auto"/>
          <w:highlight w:val="none"/>
          <w:lang w:val="en-US" w:eastAsia="zh-CN"/>
        </w:rPr>
        <w:t>培训出勤率指标年初设定目标是≧90%，年中绩效运行监控时完成值100%，年终实际完成值是100%，指标完成率是100%，达到通过开展对管理相对人的宣传和培训提高政策知晓率的预期目标。偏差原因：无偏差。</w:t>
      </w:r>
    </w:p>
    <w:p>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（十二）政策知晓率指标完成情况分析</w:t>
      </w:r>
    </w:p>
    <w:p>
      <w:pPr>
        <w:keepNext/>
        <w:keepLines w:val="0"/>
        <w:pageBreakBefore w:val="0"/>
        <w:widowControl w:val="0"/>
        <w:kinsoku/>
        <w:wordWrap/>
        <w:overflowPunct/>
        <w:topLinePunct w:val="0"/>
        <w:autoSpaceDE/>
        <w:autoSpaceDN/>
        <w:bidi w:val="0"/>
        <w:adjustRightInd w:val="0"/>
        <w:snapToGrid w:val="0"/>
        <w:spacing w:line="520" w:lineRule="exact"/>
        <w:textAlignment w:val="auto"/>
        <w:outlineLvl w:val="9"/>
        <w:rPr>
          <w:rFonts w:hint="eastAsia"/>
          <w:color w:val="auto"/>
          <w:highlight w:val="none"/>
          <w:lang w:val="en-US" w:eastAsia="zh-CN"/>
        </w:rPr>
      </w:pPr>
      <w:r>
        <w:rPr>
          <w:rFonts w:hint="eastAsia"/>
          <w:color w:val="auto"/>
          <w:highlight w:val="none"/>
          <w:lang w:val="en-US" w:eastAsia="zh-CN"/>
        </w:rPr>
        <w:t>政策知晓率指标年初设定目标是≧95%，年中绩效运行监控时完成值100%，年终实际完成值是100%，指标完成率是100%，达到通过提高政策知晓率规范被监督单位业务工作开展的预期目标。偏差原因：无偏差。</w:t>
      </w:r>
    </w:p>
    <w:p>
      <w:pPr>
        <w:pStyle w:val="4"/>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（十三）服务单位满意度指标完成情况分析</w:t>
      </w:r>
    </w:p>
    <w:p>
      <w:pPr>
        <w:keepNext/>
        <w:keepLines w:val="0"/>
        <w:pageBreakBefore w:val="0"/>
        <w:widowControl w:val="0"/>
        <w:kinsoku/>
        <w:wordWrap/>
        <w:overflowPunct/>
        <w:topLinePunct w:val="0"/>
        <w:autoSpaceDE/>
        <w:autoSpaceDN/>
        <w:bidi w:val="0"/>
        <w:adjustRightInd w:val="0"/>
        <w:snapToGrid w:val="0"/>
        <w:spacing w:line="520" w:lineRule="exact"/>
        <w:textAlignment w:val="auto"/>
        <w:outlineLvl w:val="9"/>
        <w:rPr>
          <w:rFonts w:hint="eastAsia"/>
          <w:color w:val="auto"/>
          <w:highlight w:val="none"/>
          <w:lang w:val="en-US" w:eastAsia="zh-CN"/>
        </w:rPr>
      </w:pPr>
      <w:r>
        <w:rPr>
          <w:rFonts w:hint="eastAsia"/>
          <w:color w:val="auto"/>
          <w:highlight w:val="none"/>
          <w:lang w:val="en-US" w:eastAsia="zh-CN"/>
        </w:rPr>
        <w:t>服务单位满意度指标年初设定目标是≧95%，年中绩效运行监控时完成值100%，年终实际完成值是98.67%，指标完成率是100%，达到通过问卷调查了解服务单位对本单位开展卫生监督工作满意度、工作中存在的问题、今后工作方向的预期目标。偏差原因：无偏差。</w:t>
      </w:r>
    </w:p>
    <w:p>
      <w:pPr>
        <w:pStyle w:val="3"/>
        <w:pageBreakBefore w:val="0"/>
        <w:widowControl w:val="0"/>
        <w:numPr>
          <w:ilvl w:val="0"/>
          <w:numId w:val="0"/>
        </w:numPr>
        <w:kinsoku/>
        <w:wordWrap/>
        <w:overflowPunct/>
        <w:topLinePunct w:val="0"/>
        <w:autoSpaceDE/>
        <w:autoSpaceDN/>
        <w:bidi w:val="0"/>
        <w:adjustRightInd w:val="0"/>
        <w:snapToGrid w:val="0"/>
        <w:spacing w:line="520" w:lineRule="exact"/>
        <w:ind w:leftChars="200"/>
        <w:textAlignment w:val="auto"/>
        <w:rPr>
          <w:rFonts w:hint="default"/>
          <w:color w:val="auto"/>
          <w:highlight w:val="none"/>
          <w:lang w:val="en-US"/>
        </w:rPr>
      </w:pPr>
      <w:r>
        <w:rPr>
          <w:rFonts w:hint="eastAsia"/>
          <w:color w:val="auto"/>
          <w:highlight w:val="none"/>
          <w:lang w:val="en-US" w:eastAsia="zh-CN"/>
        </w:rPr>
        <w:t>四、评价结论</w:t>
      </w:r>
    </w:p>
    <w:p>
      <w:pPr>
        <w:pageBreakBefore w:val="0"/>
        <w:widowControl w:val="0"/>
        <w:kinsoku/>
        <w:wordWrap/>
        <w:overflowPunct/>
        <w:topLinePunct w:val="0"/>
        <w:autoSpaceDE/>
        <w:autoSpaceDN/>
        <w:bidi w:val="0"/>
        <w:adjustRightInd w:val="0"/>
        <w:snapToGrid w:val="0"/>
        <w:spacing w:line="520" w:lineRule="exact"/>
        <w:textAlignment w:val="auto"/>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99.14</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pageBreakBefore w:val="0"/>
        <w:widowControl w:val="0"/>
        <w:kinsoku/>
        <w:wordWrap/>
        <w:overflowPunct/>
        <w:topLinePunct w:val="0"/>
        <w:autoSpaceDE/>
        <w:autoSpaceDN/>
        <w:bidi w:val="0"/>
        <w:adjustRightInd w:val="0"/>
        <w:snapToGrid w:val="0"/>
        <w:spacing w:line="520" w:lineRule="exact"/>
        <w:textAlignment w:val="auto"/>
        <w:rPr>
          <w:rFonts w:hint="eastAsia" w:eastAsia="仿宋"/>
          <w:color w:val="auto"/>
          <w:highlight w:val="none"/>
          <w:lang w:eastAsia="zh-CN"/>
        </w:rPr>
      </w:pPr>
      <w:r>
        <w:rPr>
          <w:rFonts w:hint="eastAsia"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eastAsia" w:ascii="Times New Roman" w:hAnsi="Times New Roman" w:cs="Times New Roman"/>
          <w:color w:val="auto"/>
          <w:highlight w:val="none"/>
        </w:rPr>
        <w:t>年我</w:t>
      </w:r>
      <w:r>
        <w:rPr>
          <w:rFonts w:hint="eastAsia" w:ascii="Times New Roman" w:hAnsi="Times New Roman" w:cs="Times New Roman"/>
          <w:color w:val="auto"/>
          <w:highlight w:val="none"/>
          <w:lang w:eastAsia="zh-CN"/>
        </w:rPr>
        <w:t>局</w:t>
      </w:r>
      <w:r>
        <w:rPr>
          <w:rFonts w:hint="eastAsia" w:ascii="Times New Roman" w:hAnsi="Times New Roman" w:cs="Times New Roman"/>
          <w:color w:val="auto"/>
          <w:highlight w:val="none"/>
        </w:rPr>
        <w:t>严格按照上级党委、政府要求做好了各项工作，做好了宣传贯彻执行党的路线方针、政策、贯彻落实上级党组织的决议、指示</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rPr>
        <w:t>开展卫生许可审核、卫生许可申请受理与组织审核、卫生监督管理、卫生法制宣传、卫生监督人员培训与管理工作。其中：</w:t>
      </w:r>
      <w:r>
        <w:rPr>
          <w:rFonts w:hint="eastAsia" w:ascii="Times New Roman" w:hAnsi="Times New Roman" w:cs="Times New Roman"/>
          <w:color w:val="auto"/>
          <w:highlight w:val="none"/>
          <w:lang w:val="en-US" w:eastAsia="zh-CN"/>
        </w:rPr>
        <w:t>1、</w:t>
      </w:r>
      <w:r>
        <w:rPr>
          <w:rFonts w:hint="eastAsia" w:ascii="Times New Roman" w:hAnsi="Times New Roman" w:cs="Times New Roman"/>
          <w:color w:val="auto"/>
          <w:highlight w:val="none"/>
        </w:rPr>
        <w:t>办理公共场所卫生许可审核、卫生许可申请受理与组织审核147户；</w:t>
      </w:r>
      <w:r>
        <w:rPr>
          <w:rFonts w:hint="eastAsia" w:ascii="Times New Roman" w:hAnsi="Times New Roman" w:cs="Times New Roman"/>
          <w:color w:val="auto"/>
          <w:highlight w:val="none"/>
          <w:lang w:val="en-US" w:eastAsia="zh-CN"/>
        </w:rPr>
        <w:t>2、</w:t>
      </w:r>
      <w:r>
        <w:rPr>
          <w:rFonts w:hint="eastAsia" w:ascii="Times New Roman" w:hAnsi="Times New Roman" w:cs="Times New Roman"/>
          <w:color w:val="auto"/>
          <w:highlight w:val="none"/>
        </w:rPr>
        <w:t>开展公共场所卫生监督</w:t>
      </w:r>
      <w:r>
        <w:rPr>
          <w:rFonts w:hint="eastAsia" w:ascii="Times New Roman" w:hAnsi="Times New Roman" w:cs="Times New Roman"/>
          <w:color w:val="auto"/>
          <w:highlight w:val="none"/>
          <w:lang w:val="en-US" w:eastAsia="zh-CN"/>
        </w:rPr>
        <w:t>320</w:t>
      </w:r>
      <w:r>
        <w:rPr>
          <w:rFonts w:hint="eastAsia" w:ascii="Times New Roman" w:hAnsi="Times New Roman" w:cs="Times New Roman"/>
          <w:color w:val="auto"/>
          <w:highlight w:val="none"/>
        </w:rPr>
        <w:t>户；</w:t>
      </w:r>
      <w:r>
        <w:rPr>
          <w:rFonts w:hint="eastAsia" w:ascii="Times New Roman" w:hAnsi="Times New Roman" w:cs="Times New Roman"/>
          <w:color w:val="auto"/>
          <w:highlight w:val="none"/>
          <w:lang w:val="en-US" w:eastAsia="zh-CN"/>
        </w:rPr>
        <w:t>3、</w:t>
      </w:r>
      <w:r>
        <w:rPr>
          <w:rFonts w:hint="eastAsia" w:ascii="Times New Roman" w:hAnsi="Times New Roman" w:cs="Times New Roman"/>
          <w:color w:val="auto"/>
          <w:highlight w:val="none"/>
        </w:rPr>
        <w:t>开展医疗机构、传染病防治监督121户；</w:t>
      </w:r>
      <w:r>
        <w:rPr>
          <w:rFonts w:hint="eastAsia" w:ascii="Times New Roman" w:hAnsi="Times New Roman" w:cs="Times New Roman"/>
          <w:color w:val="auto"/>
          <w:highlight w:val="none"/>
          <w:lang w:val="en-US" w:eastAsia="zh-CN"/>
        </w:rPr>
        <w:t>4、</w:t>
      </w:r>
      <w:r>
        <w:rPr>
          <w:rFonts w:hint="eastAsia" w:ascii="Times New Roman" w:hAnsi="Times New Roman" w:cs="Times New Roman"/>
          <w:color w:val="auto"/>
          <w:highlight w:val="none"/>
        </w:rPr>
        <w:t>开展学校卫生监督18户；</w:t>
      </w:r>
      <w:r>
        <w:rPr>
          <w:rFonts w:hint="eastAsia" w:ascii="Times New Roman" w:hAnsi="Times New Roman" w:cs="Times New Roman"/>
          <w:color w:val="auto"/>
          <w:highlight w:val="none"/>
          <w:lang w:val="en-US" w:eastAsia="zh-CN"/>
        </w:rPr>
        <w:t>5、</w:t>
      </w:r>
      <w:r>
        <w:rPr>
          <w:rFonts w:hint="eastAsia" w:ascii="Times New Roman" w:hAnsi="Times New Roman" w:cs="Times New Roman"/>
          <w:color w:val="auto"/>
          <w:highlight w:val="none"/>
        </w:rPr>
        <w:t>开展生活饮用水卫生监督2户；</w:t>
      </w:r>
      <w:r>
        <w:rPr>
          <w:rFonts w:hint="eastAsia" w:ascii="Times New Roman" w:hAnsi="Times New Roman" w:cs="Times New Roman"/>
          <w:color w:val="auto"/>
          <w:highlight w:val="none"/>
          <w:lang w:val="en-US" w:eastAsia="zh-CN"/>
        </w:rPr>
        <w:t>6、</w:t>
      </w:r>
      <w:r>
        <w:rPr>
          <w:rFonts w:hint="eastAsia" w:ascii="Times New Roman" w:hAnsi="Times New Roman" w:cs="Times New Roman"/>
          <w:color w:val="auto"/>
          <w:highlight w:val="none"/>
        </w:rPr>
        <w:t>开展职业卫生监督35户；</w:t>
      </w:r>
      <w:r>
        <w:rPr>
          <w:rFonts w:hint="eastAsia" w:ascii="Times New Roman" w:hAnsi="Times New Roman" w:cs="Times New Roman"/>
          <w:color w:val="auto"/>
          <w:highlight w:val="none"/>
          <w:lang w:val="en-US" w:eastAsia="zh-CN"/>
        </w:rPr>
        <w:t>7、</w:t>
      </w:r>
      <w:r>
        <w:rPr>
          <w:rFonts w:hint="eastAsia" w:ascii="Times New Roman" w:hAnsi="Times New Roman" w:cs="Times New Roman"/>
          <w:color w:val="auto"/>
          <w:highlight w:val="none"/>
        </w:rPr>
        <w:t>开展对管理相对人的宣传培训3场次。通过开展卫生监督执法工作，规范被监督单位业务工作开展，提高管理相对人政策知晓率，为全县各族群众营造了良好的卫生环境，人民身体健康水平不断提升。通过有效管理财政资金，业务保障能力有效提高。</w:t>
      </w:r>
      <w:r>
        <w:rPr>
          <w:rFonts w:hint="eastAsia" w:ascii="Times New Roman" w:hAnsi="Times New Roman" w:cs="Times New Roman"/>
          <w:color w:val="auto"/>
          <w:highlight w:val="none"/>
        </w:rPr>
        <w:cr/>
      </w:r>
      <w:r>
        <w:rPr>
          <w:rFonts w:hint="eastAsia" w:ascii="Times New Roman" w:hAnsi="Times New Roman" w:cs="Times New Roman"/>
          <w:color w:val="auto"/>
          <w:highlight w:val="none"/>
          <w:lang w:val="en-US" w:eastAsia="zh-CN"/>
        </w:rPr>
        <w:t xml:space="preserve">    </w:t>
      </w:r>
      <w:r>
        <w:rPr>
          <w:rFonts w:hint="eastAsia" w:ascii="Times New Roman" w:hAnsi="Times New Roman" w:cs="Times New Roman"/>
          <w:color w:val="auto"/>
          <w:highlight w:val="none"/>
          <w:lang w:eastAsia="zh-CN"/>
        </w:rPr>
        <w:t>预算资金执行过程中均按照年初预算分配情况均做到专款专用，未出现资金侵、挪、占等情况。全年按照部门预算进行成本控制，全部控制在厉行节约指标数内。其他支出按财政部门下达的计划进行，全年没有项目超支。我单位资金运行维护决策正确，资金管理规范，项目管理到位，政策执行有力，有效发挥了财政资金的使用效率。</w:t>
      </w:r>
    </w:p>
    <w:p>
      <w:pPr>
        <w:pStyle w:val="3"/>
        <w:pageBreakBefore w:val="0"/>
        <w:widowControl w:val="0"/>
        <w:kinsoku/>
        <w:wordWrap/>
        <w:overflowPunct/>
        <w:topLinePunct w:val="0"/>
        <w:autoSpaceDE/>
        <w:autoSpaceDN/>
        <w:bidi w:val="0"/>
        <w:adjustRightInd w:val="0"/>
        <w:snapToGrid w:val="0"/>
        <w:spacing w:line="520" w:lineRule="exact"/>
        <w:textAlignment w:val="auto"/>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pageBreakBefore w:val="0"/>
        <w:widowControl w:val="0"/>
        <w:kinsoku/>
        <w:wordWrap/>
        <w:overflowPunct/>
        <w:topLinePunct w:val="0"/>
        <w:autoSpaceDE/>
        <w:autoSpaceDN/>
        <w:bidi w:val="0"/>
        <w:adjustRightInd w:val="0"/>
        <w:snapToGrid w:val="0"/>
        <w:spacing w:line="520" w:lineRule="exact"/>
        <w:textAlignment w:val="auto"/>
        <w:rPr>
          <w:rFonts w:hint="eastAsia" w:ascii="Times New Roman" w:hAnsi="Times New Roman" w:cs="Times New Roman"/>
          <w:color w:val="auto"/>
          <w:highlight w:val="none"/>
          <w:lang w:eastAsia="zh-CN"/>
        </w:rPr>
      </w:pPr>
      <w:r>
        <w:rPr>
          <w:rFonts w:hint="eastAsia" w:ascii="Times New Roman" w:hAnsi="Times New Roman" w:cs="Times New Roman"/>
          <w:color w:val="auto"/>
          <w:highlight w:val="none"/>
          <w:lang w:eastAsia="zh-CN"/>
        </w:rPr>
        <w:t>（一）预算绩效管理水平仍有欠缺。在202</w:t>
      </w:r>
      <w:r>
        <w:rPr>
          <w:rFonts w:hint="eastAsia" w:ascii="Times New Roman" w:hAnsi="Times New Roman" w:cs="Times New Roman"/>
          <w:color w:val="auto"/>
          <w:highlight w:val="none"/>
          <w:lang w:val="en-US" w:eastAsia="zh-CN"/>
        </w:rPr>
        <w:t>3</w:t>
      </w:r>
      <w:r>
        <w:rPr>
          <w:rFonts w:hint="eastAsia" w:ascii="Times New Roman" w:hAnsi="Times New Roman" w:cs="Times New Roman"/>
          <w:color w:val="auto"/>
          <w:highlight w:val="none"/>
          <w:lang w:eastAsia="zh-CN"/>
        </w:rPr>
        <w:t>年预算绩效管理工作中，对全面实施预算绩效管理的要求认识还不到位。预算绩效管理水平提升的空间还是很大。</w:t>
      </w:r>
    </w:p>
    <w:p>
      <w:pPr>
        <w:pageBreakBefore w:val="0"/>
        <w:widowControl w:val="0"/>
        <w:kinsoku/>
        <w:wordWrap/>
        <w:overflowPunct/>
        <w:topLinePunct w:val="0"/>
        <w:autoSpaceDE/>
        <w:autoSpaceDN/>
        <w:bidi w:val="0"/>
        <w:adjustRightInd w:val="0"/>
        <w:snapToGrid w:val="0"/>
        <w:spacing w:line="520" w:lineRule="exact"/>
        <w:textAlignment w:val="auto"/>
        <w:rPr>
          <w:rFonts w:hint="eastAsia" w:ascii="Times New Roman" w:hAnsi="Times New Roman" w:cs="Times New Roman"/>
          <w:color w:val="auto"/>
          <w:highlight w:val="none"/>
          <w:lang w:eastAsia="zh-CN"/>
        </w:rPr>
      </w:pPr>
      <w:r>
        <w:rPr>
          <w:rFonts w:hint="eastAsia" w:ascii="Times New Roman" w:hAnsi="Times New Roman" w:cs="Times New Roman"/>
          <w:color w:val="auto"/>
          <w:highlight w:val="none"/>
          <w:lang w:eastAsia="zh-CN"/>
        </w:rPr>
        <w:t>（二）</w:t>
      </w:r>
      <w:r>
        <w:rPr>
          <w:rFonts w:hint="default" w:ascii="Times New Roman" w:hAnsi="Times New Roman" w:cs="Times New Roman"/>
          <w:color w:val="auto"/>
          <w:highlight w:val="none"/>
          <w:lang w:val="en-US" w:eastAsia="zh-CN"/>
        </w:rPr>
        <w:t>随着</w:t>
      </w:r>
      <w:r>
        <w:rPr>
          <w:rFonts w:hint="eastAsia" w:ascii="Times New Roman" w:hAnsi="Times New Roman" w:cs="Times New Roman"/>
          <w:color w:val="auto"/>
          <w:highlight w:val="none"/>
          <w:lang w:val="en-US" w:eastAsia="zh-CN"/>
        </w:rPr>
        <w:t>重大传染病</w:t>
      </w:r>
      <w:r>
        <w:rPr>
          <w:rFonts w:hint="default" w:ascii="Times New Roman" w:hAnsi="Times New Roman" w:cs="Times New Roman"/>
          <w:color w:val="auto"/>
          <w:highlight w:val="none"/>
          <w:lang w:val="en-US" w:eastAsia="zh-CN"/>
        </w:rPr>
        <w:t>防控工作的进一步推进，对卫生监督执法队伍要求不断提高，卫生监督执法人员配置不能满足执法需求这一问题愈加突出，导致卫生监督执法工作存在薄弱环节。</w:t>
      </w:r>
    </w:p>
    <w:p>
      <w:pPr>
        <w:pStyle w:val="3"/>
        <w:pageBreakBefore w:val="0"/>
        <w:widowControl w:val="0"/>
        <w:kinsoku/>
        <w:wordWrap/>
        <w:overflowPunct/>
        <w:topLinePunct w:val="0"/>
        <w:autoSpaceDE/>
        <w:autoSpaceDN/>
        <w:bidi w:val="0"/>
        <w:adjustRightInd w:val="0"/>
        <w:snapToGrid w:val="0"/>
        <w:spacing w:line="520" w:lineRule="exact"/>
        <w:textAlignment w:val="auto"/>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pPr>
        <w:spacing w:line="600" w:lineRule="exact"/>
        <w:jc w:val="left"/>
        <w:rPr>
          <w:rFonts w:hint="eastAsia"/>
          <w:color w:val="auto"/>
          <w:highlight w:val="none"/>
          <w:lang w:val="en-US" w:eastAsia="zh-CN"/>
        </w:rPr>
      </w:pPr>
      <w:r>
        <w:rPr>
          <w:rFonts w:hint="eastAsia"/>
          <w:color w:val="auto"/>
          <w:highlight w:val="none"/>
          <w:lang w:val="en-US" w:eastAsia="zh-CN"/>
        </w:rPr>
        <w:t>（一）提高预算绩效管理水平。高度重视，加强领导，精心组织，逐步推开，实现编制预算绩效目标全覆盖。积极开展绩效跟踪监控，及时纠偏，确保绩效目标实现，提高资金使用效率。严格按规定做好绩效目标申报、监控、自评、 公开等相关工作，提高财政资金使用效率。</w:t>
      </w:r>
    </w:p>
    <w:p>
      <w:pPr>
        <w:spacing w:line="600" w:lineRule="exact"/>
        <w:jc w:val="left"/>
        <w:rPr>
          <w:rFonts w:hint="default"/>
          <w:color w:val="auto"/>
          <w:highlight w:val="none"/>
          <w:lang w:val="en-US" w:eastAsia="zh-CN"/>
        </w:rPr>
      </w:pPr>
      <w:r>
        <w:rPr>
          <w:rFonts w:hint="eastAsia"/>
          <w:color w:val="auto"/>
          <w:highlight w:val="none"/>
          <w:lang w:val="en-US" w:eastAsia="zh-CN"/>
        </w:rPr>
        <w:t>（二）</w:t>
      </w:r>
      <w:r>
        <w:rPr>
          <w:rFonts w:hint="default"/>
          <w:color w:val="auto"/>
          <w:highlight w:val="none"/>
          <w:lang w:val="en-US" w:eastAsia="zh-CN"/>
        </w:rPr>
        <w:t>提高全</w:t>
      </w:r>
      <w:r>
        <w:rPr>
          <w:rFonts w:hint="eastAsia"/>
          <w:color w:val="auto"/>
          <w:highlight w:val="none"/>
          <w:lang w:val="en-US" w:eastAsia="zh-CN"/>
        </w:rPr>
        <w:t>局</w:t>
      </w:r>
      <w:r>
        <w:rPr>
          <w:rFonts w:hint="default"/>
          <w:color w:val="auto"/>
          <w:highlight w:val="none"/>
          <w:lang w:val="en-US" w:eastAsia="zh-CN"/>
        </w:rPr>
        <w:t>卫生监督员业务培训，多种形式，不定时开展业务培训。加强卫生监督队伍人才培养，通过国家和地方招录考试及引进人才等形式，多渠道壮大卫生监督队伍。加强卫生监督协管工作，更有效</w:t>
      </w:r>
      <w:r>
        <w:rPr>
          <w:rFonts w:hint="eastAsia"/>
          <w:color w:val="auto"/>
          <w:highlight w:val="none"/>
          <w:lang w:val="en-US" w:eastAsia="zh-CN"/>
        </w:rPr>
        <w:t>地</w:t>
      </w:r>
      <w:r>
        <w:rPr>
          <w:rFonts w:hint="default"/>
          <w:color w:val="auto"/>
          <w:highlight w:val="none"/>
          <w:lang w:val="en-US" w:eastAsia="zh-CN"/>
        </w:rPr>
        <w:t>利用身边资源，解决卫生监督日常监管和</w:t>
      </w:r>
      <w:r>
        <w:rPr>
          <w:rFonts w:hint="eastAsia"/>
          <w:color w:val="auto"/>
          <w:highlight w:val="none"/>
          <w:lang w:val="en-US" w:eastAsia="zh-CN"/>
        </w:rPr>
        <w:t>重大传染病</w:t>
      </w:r>
      <w:r>
        <w:rPr>
          <w:rFonts w:hint="default"/>
          <w:color w:val="auto"/>
          <w:highlight w:val="none"/>
          <w:lang w:val="en-US" w:eastAsia="zh-CN"/>
        </w:rPr>
        <w:t>防控工作。</w:t>
      </w:r>
    </w:p>
    <w:p>
      <w:pPr>
        <w:pStyle w:val="3"/>
        <w:pageBreakBefore w:val="0"/>
        <w:widowControl w:val="0"/>
        <w:numPr>
          <w:ilvl w:val="0"/>
          <w:numId w:val="1"/>
        </w:numPr>
        <w:kinsoku/>
        <w:wordWrap/>
        <w:overflowPunct/>
        <w:topLinePunct w:val="0"/>
        <w:autoSpaceDE/>
        <w:autoSpaceDN/>
        <w:bidi w:val="0"/>
        <w:adjustRightInd w:val="0"/>
        <w:snapToGrid w:val="0"/>
        <w:spacing w:line="520" w:lineRule="exact"/>
        <w:textAlignment w:val="auto"/>
        <w:rPr>
          <w:rFonts w:hint="eastAsia"/>
          <w:color w:val="auto"/>
          <w:highlight w:val="none"/>
          <w:lang w:val="en-US" w:eastAsia="zh-CN"/>
        </w:rPr>
      </w:pPr>
      <w:r>
        <w:rPr>
          <w:rFonts w:hint="eastAsia"/>
          <w:color w:val="auto"/>
          <w:highlight w:val="none"/>
          <w:lang w:val="en-US" w:eastAsia="zh-CN"/>
        </w:rPr>
        <w:t>附件上传</w:t>
      </w:r>
    </w:p>
    <w:p>
      <w:pPr>
        <w:pStyle w:val="7"/>
        <w:rPr>
          <w:rFonts w:hint="eastAsia"/>
          <w:color w:val="auto"/>
          <w:highlight w:val="none"/>
          <w:lang w:val="en-US" w:eastAsia="zh-CN"/>
        </w:rPr>
      </w:pPr>
      <w:r>
        <w:rPr>
          <w:rFonts w:hint="eastAsia"/>
          <w:color w:val="auto"/>
          <w:highlight w:val="none"/>
          <w:lang w:val="en-US" w:eastAsia="zh-CN"/>
        </w:rPr>
        <w:t>1、2023年部门预算公开报告。</w:t>
      </w:r>
    </w:p>
    <w:p>
      <w:pPr>
        <w:pStyle w:val="7"/>
        <w:rPr>
          <w:rFonts w:hint="eastAsia"/>
          <w:color w:val="auto"/>
          <w:highlight w:val="none"/>
          <w:lang w:val="en-US" w:eastAsia="zh-CN"/>
        </w:rPr>
      </w:pPr>
      <w:r>
        <w:rPr>
          <w:rFonts w:hint="eastAsia"/>
          <w:color w:val="auto"/>
          <w:highlight w:val="none"/>
          <w:lang w:val="en-US" w:eastAsia="zh-CN"/>
        </w:rPr>
        <w:t>2、2023年决算公开报表。</w:t>
      </w:r>
    </w:p>
    <w:p>
      <w:pPr>
        <w:pStyle w:val="7"/>
        <w:rPr>
          <w:rFonts w:hint="eastAsia"/>
          <w:color w:val="auto"/>
          <w:highlight w:val="none"/>
          <w:lang w:val="en-US" w:eastAsia="zh-CN"/>
        </w:rPr>
      </w:pPr>
      <w:r>
        <w:rPr>
          <w:rFonts w:hint="eastAsia"/>
          <w:color w:val="auto"/>
          <w:highlight w:val="none"/>
          <w:lang w:val="en-US" w:eastAsia="zh-CN"/>
        </w:rPr>
        <w:t>3、2023年工作总结。</w:t>
      </w:r>
    </w:p>
    <w:p>
      <w:pPr>
        <w:numPr>
          <w:ilvl w:val="0"/>
          <w:numId w:val="0"/>
        </w:numPr>
        <w:rPr>
          <w:rFonts w:hint="eastAsia"/>
          <w:color w:val="auto"/>
          <w:highlight w:val="none"/>
          <w:lang w:val="en-US" w:eastAsia="zh-CN"/>
        </w:rPr>
      </w:pPr>
    </w:p>
    <w:sectPr>
      <w:footerReference r:id="rId5" w:type="default"/>
      <w:pgSz w:w="11906" w:h="16838"/>
      <w:pgMar w:top="1440" w:right="1803" w:bottom="1327" w:left="1803"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A0B119"/>
    <w:multiLevelType w:val="singleLevel"/>
    <w:tmpl w:val="85A0B119"/>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DB85916"/>
    <w:rsid w:val="0E7D784C"/>
    <w:rsid w:val="0F5F5CA1"/>
    <w:rsid w:val="0FDD4869"/>
    <w:rsid w:val="10300946"/>
    <w:rsid w:val="10FE60D7"/>
    <w:rsid w:val="134F7771"/>
    <w:rsid w:val="13BB1E28"/>
    <w:rsid w:val="13E513B9"/>
    <w:rsid w:val="14290FD2"/>
    <w:rsid w:val="14E674EC"/>
    <w:rsid w:val="158C5316"/>
    <w:rsid w:val="15B904C0"/>
    <w:rsid w:val="165C118C"/>
    <w:rsid w:val="172D035F"/>
    <w:rsid w:val="175D58E3"/>
    <w:rsid w:val="18061B60"/>
    <w:rsid w:val="183F48C2"/>
    <w:rsid w:val="187A209B"/>
    <w:rsid w:val="190C3DF8"/>
    <w:rsid w:val="19AA4D08"/>
    <w:rsid w:val="19F83E30"/>
    <w:rsid w:val="1A1C0DEE"/>
    <w:rsid w:val="1AA34B34"/>
    <w:rsid w:val="1B403139"/>
    <w:rsid w:val="1B4A75E1"/>
    <w:rsid w:val="1C6D319F"/>
    <w:rsid w:val="1D384A93"/>
    <w:rsid w:val="1D4D74D6"/>
    <w:rsid w:val="1DE32CFD"/>
    <w:rsid w:val="1F1A602A"/>
    <w:rsid w:val="1F2854B6"/>
    <w:rsid w:val="217D20CE"/>
    <w:rsid w:val="21C67E02"/>
    <w:rsid w:val="21C768CD"/>
    <w:rsid w:val="22E14253"/>
    <w:rsid w:val="231150AD"/>
    <w:rsid w:val="23515D43"/>
    <w:rsid w:val="23931BB2"/>
    <w:rsid w:val="23F209A3"/>
    <w:rsid w:val="2403516E"/>
    <w:rsid w:val="24E71FCC"/>
    <w:rsid w:val="256A2A9E"/>
    <w:rsid w:val="25C24D84"/>
    <w:rsid w:val="27F7226E"/>
    <w:rsid w:val="2805537E"/>
    <w:rsid w:val="289437EE"/>
    <w:rsid w:val="28D6049C"/>
    <w:rsid w:val="29082D43"/>
    <w:rsid w:val="297873DB"/>
    <w:rsid w:val="29F35E61"/>
    <w:rsid w:val="2A263B34"/>
    <w:rsid w:val="2A285817"/>
    <w:rsid w:val="2B6F150A"/>
    <w:rsid w:val="2BB557CB"/>
    <w:rsid w:val="2BC51751"/>
    <w:rsid w:val="2D166684"/>
    <w:rsid w:val="2D2E5931"/>
    <w:rsid w:val="2EBF757D"/>
    <w:rsid w:val="3034180A"/>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851B5C"/>
    <w:rsid w:val="36C715E3"/>
    <w:rsid w:val="371A3A35"/>
    <w:rsid w:val="37661A13"/>
    <w:rsid w:val="379871D0"/>
    <w:rsid w:val="37BA58BB"/>
    <w:rsid w:val="37D360CA"/>
    <w:rsid w:val="38CB5066"/>
    <w:rsid w:val="38E054C9"/>
    <w:rsid w:val="39622455"/>
    <w:rsid w:val="3A565DE9"/>
    <w:rsid w:val="3A6C1CD8"/>
    <w:rsid w:val="3AC36A27"/>
    <w:rsid w:val="3B4A3407"/>
    <w:rsid w:val="3B563B4D"/>
    <w:rsid w:val="3F301058"/>
    <w:rsid w:val="417A34F9"/>
    <w:rsid w:val="418810F4"/>
    <w:rsid w:val="41A37673"/>
    <w:rsid w:val="42503F5E"/>
    <w:rsid w:val="42C30950"/>
    <w:rsid w:val="45576E3F"/>
    <w:rsid w:val="459B4F7E"/>
    <w:rsid w:val="45A65C7F"/>
    <w:rsid w:val="45F13359"/>
    <w:rsid w:val="468C2A4A"/>
    <w:rsid w:val="46AD2493"/>
    <w:rsid w:val="46EC7F14"/>
    <w:rsid w:val="47CA7D9C"/>
    <w:rsid w:val="47DB3D58"/>
    <w:rsid w:val="480D0379"/>
    <w:rsid w:val="48194880"/>
    <w:rsid w:val="48AF4C7F"/>
    <w:rsid w:val="4A5B46DD"/>
    <w:rsid w:val="4A6F6A56"/>
    <w:rsid w:val="4A81677A"/>
    <w:rsid w:val="4AF26D2B"/>
    <w:rsid w:val="4B3B5348"/>
    <w:rsid w:val="4DA177B2"/>
    <w:rsid w:val="4DA370C6"/>
    <w:rsid w:val="4DF36D4F"/>
    <w:rsid w:val="4FAA6E1E"/>
    <w:rsid w:val="501B7C76"/>
    <w:rsid w:val="504D5CCF"/>
    <w:rsid w:val="50753CC8"/>
    <w:rsid w:val="511A2CA6"/>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5E131EEF"/>
    <w:rsid w:val="5F2C26F8"/>
    <w:rsid w:val="61635F72"/>
    <w:rsid w:val="618606C5"/>
    <w:rsid w:val="6224402D"/>
    <w:rsid w:val="62B31701"/>
    <w:rsid w:val="6384067A"/>
    <w:rsid w:val="638D125E"/>
    <w:rsid w:val="6396333E"/>
    <w:rsid w:val="63E114D3"/>
    <w:rsid w:val="660014C1"/>
    <w:rsid w:val="66B772E6"/>
    <w:rsid w:val="68F62348"/>
    <w:rsid w:val="6AD46D46"/>
    <w:rsid w:val="6B07083C"/>
    <w:rsid w:val="6B623CC4"/>
    <w:rsid w:val="6B6C65E0"/>
    <w:rsid w:val="6C2B67AC"/>
    <w:rsid w:val="6CB31465"/>
    <w:rsid w:val="6CDA5567"/>
    <w:rsid w:val="6DE07909"/>
    <w:rsid w:val="6E022EA0"/>
    <w:rsid w:val="6E58438A"/>
    <w:rsid w:val="6E7066F8"/>
    <w:rsid w:val="6E9D5508"/>
    <w:rsid w:val="6F7C3933"/>
    <w:rsid w:val="6F871359"/>
    <w:rsid w:val="711B7F18"/>
    <w:rsid w:val="71EB22B3"/>
    <w:rsid w:val="72010FA6"/>
    <w:rsid w:val="733F48EB"/>
    <w:rsid w:val="74212849"/>
    <w:rsid w:val="744C1D4E"/>
    <w:rsid w:val="748A4F72"/>
    <w:rsid w:val="74961819"/>
    <w:rsid w:val="74FA31C0"/>
    <w:rsid w:val="750202C6"/>
    <w:rsid w:val="75664078"/>
    <w:rsid w:val="761E4132"/>
    <w:rsid w:val="772B3A10"/>
    <w:rsid w:val="78061A79"/>
    <w:rsid w:val="79181486"/>
    <w:rsid w:val="7AFE508C"/>
    <w:rsid w:val="7B050F97"/>
    <w:rsid w:val="7B2561EC"/>
    <w:rsid w:val="7BC003CA"/>
    <w:rsid w:val="7CBF4BB4"/>
    <w:rsid w:val="7E53749D"/>
    <w:rsid w:val="7E5D346D"/>
    <w:rsid w:val="7F903E53"/>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link w:val="19"/>
    <w:unhideWhenUsed/>
    <w:qFormat/>
    <w:uiPriority w:val="1"/>
    <w:rPr>
      <w:rFonts w:ascii="Arial" w:hAnsi="Arial" w:eastAsia="Times New Roman" w:cs="Verdana"/>
      <w:b/>
      <w:kern w:val="0"/>
      <w:sz w:val="24"/>
      <w:szCs w:val="20"/>
      <w:lang w:eastAsia="en-US"/>
    </w:rPr>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4"/>
    <w:unhideWhenUsed/>
    <w:qFormat/>
    <w:uiPriority w:val="99"/>
    <w:pPr>
      <w:tabs>
        <w:tab w:val="center" w:pos="4153"/>
        <w:tab w:val="right" w:pos="8306"/>
      </w:tabs>
      <w:snapToGrid w:val="0"/>
      <w:jc w:val="left"/>
    </w:pPr>
    <w:rPr>
      <w:sz w:val="18"/>
      <w:szCs w:val="18"/>
    </w:rPr>
  </w:style>
  <w:style w:type="paragraph" w:styleId="10">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_Style 5"/>
    <w:basedOn w:val="1"/>
    <w:link w:val="18"/>
    <w:qFormat/>
    <w:uiPriority w:val="0"/>
    <w:pPr>
      <w:widowControl/>
      <w:spacing w:after="160" w:afterLines="0" w:line="240" w:lineRule="exact"/>
      <w:jc w:val="left"/>
    </w:pPr>
    <w:rPr>
      <w:rFonts w:ascii="Arial" w:hAnsi="Arial" w:eastAsia="Times New Roman" w:cs="Verdana"/>
      <w:b/>
      <w:kern w:val="0"/>
      <w:sz w:val="24"/>
      <w:szCs w:val="20"/>
      <w:lang w:eastAsia="en-US"/>
    </w:rPr>
  </w:style>
  <w:style w:type="character" w:styleId="20">
    <w:name w:val="Strong"/>
    <w:basedOn w:val="18"/>
    <w:qFormat/>
    <w:uiPriority w:val="0"/>
    <w:rPr>
      <w:bCs/>
    </w:rPr>
  </w:style>
  <w:style w:type="character" w:styleId="21">
    <w:name w:val="page number"/>
    <w:basedOn w:val="18"/>
    <w:qFormat/>
    <w:uiPriority w:val="0"/>
  </w:style>
  <w:style w:type="character" w:styleId="22">
    <w:name w:val="Hyperlink"/>
    <w:basedOn w:val="18"/>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18"/>
    <w:link w:val="9"/>
    <w:qFormat/>
    <w:uiPriority w:val="99"/>
    <w:rPr>
      <w:sz w:val="18"/>
      <w:szCs w:val="18"/>
    </w:rPr>
  </w:style>
  <w:style w:type="character" w:customStyle="1" w:styleId="25">
    <w:name w:val="页眉 字符"/>
    <w:basedOn w:val="18"/>
    <w:link w:val="10"/>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5977</Words>
  <Characters>6410</Characters>
  <Lines>7</Lines>
  <Paragraphs>2</Paragraphs>
  <TotalTime>20</TotalTime>
  <ScaleCrop>false</ScaleCrop>
  <LinksUpToDate>false</LinksUpToDate>
  <CharactersWithSpaces>6429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2024-08-11T08:18:21Z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