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6"/>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和静县本级和静县协比乃尔布呼镇人民政府为参照公务员管理的正科级单位，主要职责是：</w:t>
      </w:r>
    </w:p>
    <w:p>
      <w:pPr>
        <w:bidi w:val="0"/>
        <w:rPr>
          <w:rFonts w:hint="eastAsia"/>
          <w:color w:val="auto"/>
          <w:highlight w:val="none"/>
          <w:lang w:val="en-US" w:eastAsia="zh-CN"/>
        </w:rPr>
      </w:pPr>
      <w:r>
        <w:rPr>
          <w:rFonts w:hint="eastAsia"/>
          <w:color w:val="auto"/>
          <w:highlight w:val="none"/>
          <w:lang w:val="en-US" w:eastAsia="zh-CN"/>
        </w:rPr>
        <w:t>（1）强化引导功能，集中精力抓好党的农村工作方针政策的落实。宣传贯彻执行党的路线、方针、政策；贯彻落实上级党组织的决议、指示；负责贯彻落实各项惠农政策。</w:t>
      </w:r>
    </w:p>
    <w:p>
      <w:pPr>
        <w:bidi w:val="0"/>
        <w:rPr>
          <w:rFonts w:hint="eastAsia"/>
          <w:color w:val="auto"/>
          <w:highlight w:val="none"/>
          <w:lang w:val="en-US" w:eastAsia="zh-CN"/>
        </w:rPr>
      </w:pPr>
      <w:r>
        <w:rPr>
          <w:rFonts w:hint="eastAsia"/>
          <w:color w:val="auto"/>
          <w:highlight w:val="none"/>
          <w:lang w:val="en-US" w:eastAsia="zh-CN"/>
        </w:rPr>
        <w:t>（2）强化服务功能，着重在技术、信息、人才、资金等方面提供服务；组织和带领本地区党员干部和群众大力发展经济，逐步实现共同富裕的目标。</w:t>
      </w:r>
    </w:p>
    <w:p>
      <w:pPr>
        <w:bidi w:val="0"/>
        <w:rPr>
          <w:rFonts w:hint="eastAsia"/>
          <w:color w:val="auto"/>
          <w:highlight w:val="none"/>
          <w:lang w:val="en-US" w:eastAsia="zh-CN"/>
        </w:rPr>
      </w:pPr>
      <w:r>
        <w:rPr>
          <w:rFonts w:hint="eastAsia"/>
          <w:color w:val="auto"/>
          <w:highlight w:val="none"/>
          <w:lang w:val="en-US" w:eastAsia="zh-CN"/>
        </w:rPr>
        <w:t>（3）强化协调功能，使设在我镇的事业所站，能够围绕全乡工作“一盘棋”互相配合。</w:t>
      </w:r>
    </w:p>
    <w:p>
      <w:pPr>
        <w:bidi w:val="0"/>
        <w:rPr>
          <w:rFonts w:hint="eastAsia"/>
          <w:color w:val="auto"/>
          <w:highlight w:val="none"/>
          <w:lang w:val="en-US" w:eastAsia="zh-CN"/>
        </w:rPr>
      </w:pPr>
      <w:r>
        <w:rPr>
          <w:rFonts w:hint="eastAsia"/>
          <w:color w:val="auto"/>
          <w:highlight w:val="none"/>
          <w:lang w:val="en-US" w:eastAsia="zh-CN"/>
        </w:rPr>
        <w:t>（4）抓好党的自身建设，加强精神文明建设和思想政治工作；做好社会综合治理，计划生育，村容村貌建设等工作。</w:t>
      </w:r>
    </w:p>
    <w:p>
      <w:pPr>
        <w:bidi w:val="0"/>
        <w:rPr>
          <w:rFonts w:hint="eastAsia"/>
          <w:color w:val="auto"/>
          <w:highlight w:val="none"/>
          <w:lang w:val="en-US" w:eastAsia="zh-CN"/>
        </w:rPr>
      </w:pPr>
      <w:r>
        <w:rPr>
          <w:rFonts w:hint="eastAsia"/>
          <w:color w:val="auto"/>
          <w:highlight w:val="none"/>
          <w:lang w:val="en-US" w:eastAsia="zh-CN"/>
        </w:rPr>
        <w:t>（5）进一步规范政府和村级组织的工作职能和事权范围，注重发挥村民委员会作为基层群众性自治组织的作用。</w:t>
      </w:r>
    </w:p>
    <w:p>
      <w:pPr>
        <w:bidi w:val="0"/>
        <w:rPr>
          <w:rFonts w:hint="eastAsia"/>
          <w:color w:val="auto"/>
          <w:highlight w:val="none"/>
          <w:lang w:val="en-US" w:eastAsia="zh-CN"/>
        </w:rPr>
      </w:pPr>
      <w:r>
        <w:rPr>
          <w:rFonts w:hint="eastAsia"/>
          <w:color w:val="auto"/>
          <w:highlight w:val="none"/>
          <w:lang w:val="en-US" w:eastAsia="zh-CN"/>
        </w:rPr>
        <w:t>（6）负责本行行政区域内党的建设、群众团体、精神文明、新闻宣传等工作。</w:t>
      </w:r>
    </w:p>
    <w:p>
      <w:pPr>
        <w:bidi w:val="0"/>
        <w:rPr>
          <w:rFonts w:hint="default"/>
          <w:color w:val="auto"/>
          <w:highlight w:val="none"/>
          <w:lang w:val="en-US" w:eastAsia="zh-CN"/>
        </w:rPr>
      </w:pPr>
      <w:r>
        <w:rPr>
          <w:rFonts w:hint="eastAsia"/>
          <w:color w:val="auto"/>
          <w:highlight w:val="none"/>
          <w:lang w:val="en-US" w:eastAsia="zh-CN"/>
        </w:rPr>
        <w:t>（7）负责本行政区域工作；负责村级党组织建设；负责农村工作和村委会建设；负责规范政府和村级组织的工作及农技、农机和工业第三产业等方面的统筹规划、统一管理、引导服务和综合协调工作。</w:t>
      </w:r>
    </w:p>
    <w:p>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协比乃尔布呼镇人民政府设有：和静县协比乃尔布呼镇党委政府办公室、和静县协比乃尔布呼镇党建办公室、和静县协比乃尔布呼镇综合执法办公室、和静县协比乃尔布呼镇社会事务办公室、和静县协比乃尔布呼镇经济发展办公室。本部门中，行政单位2家，参公管理事业单位0家，事业单位6家，纳入新疆维吾尔自治区巴音郭楞蒙古自治州和静县协比乃尔布呼镇人民政府部门2022年部门预算编制范围的二级预算单位包括：和静县协比乃尔布呼镇农村合作经济（统计）发展中心（财政所）；和静县协比乃尔布呼镇农业（畜牧业）发展服务中心；和静县协比乃尔布呼镇社会保障（民政）服务中心（退役军人服务站）；和静县协比乃尔布呼镇综治中心（网格化和群众服务中心）；和静县协比乃尔布呼镇文体广电旅游服务中心；和静县协比乃尔布呼镇村镇规划建设发展中心（生态环境工作站）。</w:t>
      </w:r>
    </w:p>
    <w:p>
      <w:pPr>
        <w:bidi w:val="0"/>
        <w:rPr>
          <w:rFonts w:hint="eastAsia"/>
          <w:color w:val="auto"/>
          <w:highlight w:val="none"/>
          <w:lang w:val="en-US" w:eastAsia="zh-CN"/>
        </w:rPr>
      </w:pPr>
      <w:r>
        <w:rPr>
          <w:rFonts w:hint="eastAsia"/>
          <w:color w:val="auto"/>
          <w:highlight w:val="none"/>
          <w:lang w:val="en-US" w:eastAsia="zh-CN"/>
        </w:rPr>
        <w:t>和静县协比乃尔布呼镇人民政府人员编制数共52人，其中：行政编制18人，事业编制33人，工勤1人。年初预算实有在职人员34人，退休人员18人。年末实有在职人数34人，临时工59人，退休人员18人。</w:t>
      </w:r>
    </w:p>
    <w:p>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default"/>
          <w:color w:val="auto"/>
          <w:highlight w:val="none"/>
          <w:lang w:val="en-US" w:eastAsia="zh-CN"/>
        </w:rPr>
      </w:pPr>
      <w:r>
        <w:rPr>
          <w:rFonts w:hint="eastAsia"/>
          <w:b/>
          <w:bCs/>
          <w:color w:val="auto"/>
          <w:highlight w:val="none"/>
          <w:lang w:val="en-US" w:eastAsia="zh-CN"/>
        </w:rPr>
        <w:t>1.优化产业发展结构</w:t>
      </w:r>
      <w:r>
        <w:rPr>
          <w:rFonts w:hint="default"/>
          <w:b/>
          <w:bCs/>
          <w:color w:val="auto"/>
          <w:highlight w:val="none"/>
          <w:lang w:val="en-US" w:eastAsia="zh-CN"/>
        </w:rPr>
        <w:t>，</w:t>
      </w:r>
      <w:r>
        <w:rPr>
          <w:rFonts w:hint="eastAsia"/>
          <w:b/>
          <w:bCs/>
          <w:color w:val="auto"/>
          <w:highlight w:val="none"/>
          <w:lang w:val="en-US" w:eastAsia="zh-CN"/>
        </w:rPr>
        <w:t>推进脱贫攻坚成果巩固与乡村振兴有效衔接。一是</w:t>
      </w:r>
      <w:r>
        <w:rPr>
          <w:rFonts w:hint="eastAsia"/>
          <w:color w:val="auto"/>
          <w:highlight w:val="none"/>
          <w:lang w:val="en-US" w:eastAsia="zh-CN"/>
        </w:rPr>
        <w:t>持续发展第一产业强根固本，促巩固提升。截至目前</w:t>
      </w:r>
      <w:r>
        <w:rPr>
          <w:rFonts w:hint="default"/>
          <w:color w:val="auto"/>
          <w:highlight w:val="none"/>
          <w:lang w:val="en-US" w:eastAsia="zh-CN"/>
        </w:rPr>
        <w:t>全镇共计种植小麦7449.3亩，亩产可达550公斤，可创造经济收益739.2万元；黑小麦种植面积每年15%比例逐年增高，202</w:t>
      </w:r>
      <w:r>
        <w:rPr>
          <w:rFonts w:hint="eastAsia"/>
          <w:color w:val="auto"/>
          <w:highlight w:val="none"/>
          <w:lang w:val="en-US" w:eastAsia="zh-CN"/>
        </w:rPr>
        <w:t>3</w:t>
      </w:r>
      <w:r>
        <w:rPr>
          <w:rFonts w:hint="default"/>
          <w:color w:val="auto"/>
          <w:highlight w:val="none"/>
          <w:lang w:val="en-US" w:eastAsia="zh-CN"/>
        </w:rPr>
        <w:t>年种植面积</w:t>
      </w:r>
      <w:r>
        <w:rPr>
          <w:rFonts w:hint="eastAsia"/>
          <w:color w:val="auto"/>
          <w:highlight w:val="none"/>
          <w:lang w:val="en-US" w:eastAsia="zh-CN"/>
        </w:rPr>
        <w:t>747</w:t>
      </w:r>
      <w:r>
        <w:rPr>
          <w:rFonts w:hint="default"/>
          <w:color w:val="auto"/>
          <w:highlight w:val="none"/>
          <w:lang w:val="en-US" w:eastAsia="zh-CN"/>
        </w:rPr>
        <w:t>产量</w:t>
      </w:r>
      <w:r>
        <w:rPr>
          <w:rFonts w:hint="eastAsia"/>
          <w:color w:val="auto"/>
          <w:highlight w:val="none"/>
          <w:lang w:val="en-US" w:eastAsia="zh-CN"/>
        </w:rPr>
        <w:t>292</w:t>
      </w:r>
      <w:r>
        <w:rPr>
          <w:rFonts w:hint="default"/>
          <w:color w:val="auto"/>
          <w:highlight w:val="none"/>
          <w:lang w:val="en-US" w:eastAsia="zh-CN"/>
        </w:rPr>
        <w:t>吨，我镇为富硒带，富硒黑小麦单价高于普通小麦35%；</w:t>
      </w:r>
      <w:r>
        <w:rPr>
          <w:rFonts w:hint="eastAsia"/>
          <w:b/>
          <w:bCs/>
          <w:color w:val="auto"/>
          <w:highlight w:val="none"/>
          <w:lang w:val="en-US" w:eastAsia="zh-CN"/>
        </w:rPr>
        <w:t>二是</w:t>
      </w:r>
      <w:r>
        <w:rPr>
          <w:rFonts w:hint="eastAsia"/>
          <w:color w:val="auto"/>
          <w:highlight w:val="none"/>
          <w:lang w:val="en-US" w:eastAsia="zh-CN"/>
        </w:rPr>
        <w:t>做强“两红产业”（加工辣椒，工业番茄）和设施农业，推进农业转型升级，今年种植番茄7920亩，种植面积同比增长14.1%，色素辣椒18010.5亩，种植面积同比增长11.1。</w:t>
      </w:r>
      <w:r>
        <w:rPr>
          <w:rFonts w:hint="eastAsia"/>
          <w:b/>
          <w:bCs/>
          <w:color w:val="auto"/>
          <w:highlight w:val="none"/>
          <w:lang w:val="en-US" w:eastAsia="zh-CN"/>
        </w:rPr>
        <w:t>三</w:t>
      </w:r>
      <w:r>
        <w:rPr>
          <w:rFonts w:hint="default"/>
          <w:b/>
          <w:bCs/>
          <w:color w:val="auto"/>
          <w:highlight w:val="none"/>
          <w:lang w:val="en-US" w:eastAsia="zh-CN"/>
        </w:rPr>
        <w:t>是</w:t>
      </w:r>
      <w:r>
        <w:rPr>
          <w:rFonts w:hint="default"/>
          <w:color w:val="auto"/>
          <w:highlight w:val="none"/>
          <w:lang w:val="en-US" w:eastAsia="zh-CN"/>
        </w:rPr>
        <w:t>全镇牲畜存栏数64549头（大畜2918头、小畜61633只），其中，扶贫畜4065头（只）、禽类8337羽（只），新建协比乃尔布呼村养殖场，推动畜牧业规模化养殖，科学选址、合理布局、设施配套，为高产、优质、高效的畜牧生产打下坚实的基础。</w:t>
      </w:r>
    </w:p>
    <w:p>
      <w:pPr>
        <w:keepNext w:val="0"/>
        <w:keepLines w:val="0"/>
        <w:pageBreakBefore w:val="0"/>
        <w:widowControl w:val="0"/>
        <w:numPr>
          <w:ilvl w:val="0"/>
          <w:numId w:val="0"/>
        </w:numPr>
        <w:pBdr>
          <w:bottom w:val="single" w:color="FFFFFF" w:sz="4" w:space="31"/>
        </w:pBdr>
        <w:tabs>
          <w:tab w:val="left" w:pos="420"/>
          <w:tab w:val="left" w:pos="630"/>
        </w:tabs>
        <w:kinsoku/>
        <w:wordWrap/>
        <w:overflowPunct/>
        <w:topLinePunct w:val="0"/>
        <w:autoSpaceDE/>
        <w:autoSpaceDN/>
        <w:bidi w:val="0"/>
        <w:adjustRightInd/>
        <w:snapToGrid/>
        <w:spacing w:after="0" w:line="560" w:lineRule="exact"/>
        <w:ind w:firstLine="562" w:firstLineChars="200"/>
        <w:jc w:val="both"/>
        <w:textAlignment w:val="baseline"/>
        <w:outlineLvl w:val="9"/>
        <w:rPr>
          <w:rFonts w:hint="eastAsia"/>
          <w:color w:val="auto"/>
          <w:highlight w:val="none"/>
          <w:lang w:val="en-US" w:eastAsia="zh-CN"/>
        </w:rPr>
      </w:pPr>
      <w:r>
        <w:rPr>
          <w:rFonts w:hint="eastAsia"/>
          <w:b/>
          <w:bCs/>
          <w:color w:val="auto"/>
          <w:highlight w:val="none"/>
          <w:lang w:val="en-US" w:eastAsia="zh-CN"/>
        </w:rPr>
        <w:t>2.多管齐下，安全生产工作稳步推进。</w:t>
      </w:r>
      <w:r>
        <w:rPr>
          <w:rFonts w:hint="eastAsia"/>
          <w:color w:val="auto"/>
          <w:highlight w:val="none"/>
          <w:lang w:val="en-US" w:eastAsia="zh-CN"/>
        </w:rPr>
        <w:t>强化组织领导和宣传教育，成立镇安全生产工作领导小组，稳步推进全镇安全生产各项工作，并积极邀请县消防队干部到村（社区）开展宣讲活动，引导增强群众消防安全意识，预防事故或减少事故发生，累计开展宣传活动1260余次，覆盖群众10400余人；开展消防知识专题讲座12场次，消防演练46次，进一步增强了沿街商铺和居民消防安全防范意识和突发事件处置能力；</w:t>
      </w:r>
    </w:p>
    <w:p>
      <w:pPr>
        <w:keepNext w:val="0"/>
        <w:keepLines w:val="0"/>
        <w:pageBreakBefore w:val="0"/>
        <w:widowControl w:val="0"/>
        <w:numPr>
          <w:ilvl w:val="0"/>
          <w:numId w:val="0"/>
        </w:numPr>
        <w:pBdr>
          <w:bottom w:val="single" w:color="FFFFFF" w:sz="4" w:space="31"/>
        </w:pBdr>
        <w:tabs>
          <w:tab w:val="left" w:pos="420"/>
          <w:tab w:val="left" w:pos="630"/>
        </w:tabs>
        <w:kinsoku/>
        <w:wordWrap/>
        <w:overflowPunct/>
        <w:topLinePunct w:val="0"/>
        <w:autoSpaceDE/>
        <w:autoSpaceDN/>
        <w:bidi w:val="0"/>
        <w:adjustRightInd/>
        <w:snapToGrid/>
        <w:spacing w:after="0" w:line="560" w:lineRule="exact"/>
        <w:ind w:firstLine="562" w:firstLineChars="200"/>
        <w:jc w:val="both"/>
        <w:textAlignment w:val="baseline"/>
        <w:outlineLvl w:val="9"/>
        <w:rPr>
          <w:rFonts w:hint="default"/>
          <w:color w:val="auto"/>
          <w:highlight w:val="none"/>
          <w:lang w:val="en-US" w:eastAsia="zh-CN"/>
        </w:rPr>
      </w:pPr>
      <w:r>
        <w:rPr>
          <w:rFonts w:hint="eastAsia"/>
          <w:b/>
          <w:bCs/>
          <w:color w:val="auto"/>
          <w:highlight w:val="none"/>
          <w:lang w:val="en-US" w:eastAsia="zh-CN"/>
        </w:rPr>
        <w:t>3.</w:t>
      </w:r>
      <w:r>
        <w:rPr>
          <w:rFonts w:hint="default"/>
          <w:b/>
          <w:bCs/>
          <w:color w:val="auto"/>
          <w:highlight w:val="none"/>
          <w:lang w:val="en-US" w:eastAsia="zh-CN"/>
        </w:rPr>
        <w:t>坚持人民至上，社会事业全面进步。</w:t>
      </w:r>
      <w:r>
        <w:rPr>
          <w:rFonts w:hint="default"/>
          <w:color w:val="auto"/>
          <w:highlight w:val="none"/>
          <w:lang w:val="en-US" w:eastAsia="zh-CN"/>
        </w:rPr>
        <w:t>全镇深入推进就业、教育、医疗、社保、基础设施建设等重点惠民工程。医疗水平稳步提升，基本实现“小病不出乡”的预期目标，全年累计完成全民健康体检</w:t>
      </w:r>
      <w:r>
        <w:rPr>
          <w:rFonts w:hint="eastAsia"/>
          <w:color w:val="auto"/>
          <w:highlight w:val="none"/>
          <w:lang w:val="en-US" w:eastAsia="zh-CN"/>
        </w:rPr>
        <w:t>5830</w:t>
      </w:r>
      <w:r>
        <w:rPr>
          <w:rFonts w:hint="default"/>
          <w:color w:val="auto"/>
          <w:highlight w:val="none"/>
          <w:lang w:val="en-US" w:eastAsia="zh-CN"/>
        </w:rPr>
        <w:t>人次。社会保障更加完善，今年以来，累计救助困难群众</w:t>
      </w:r>
      <w:r>
        <w:rPr>
          <w:rFonts w:hint="eastAsia"/>
          <w:color w:val="auto"/>
          <w:highlight w:val="none"/>
          <w:lang w:val="en-US" w:eastAsia="zh-CN"/>
        </w:rPr>
        <w:t>131户</w:t>
      </w:r>
      <w:r>
        <w:rPr>
          <w:rFonts w:hint="default"/>
          <w:color w:val="auto"/>
          <w:highlight w:val="none"/>
          <w:lang w:val="en-US" w:eastAsia="zh-CN"/>
        </w:rPr>
        <w:t>，发放农村低保</w:t>
      </w:r>
      <w:r>
        <w:rPr>
          <w:rFonts w:hint="eastAsia"/>
          <w:color w:val="auto"/>
          <w:highlight w:val="none"/>
          <w:lang w:val="en-US" w:eastAsia="zh-CN"/>
        </w:rPr>
        <w:t>219.00万</w:t>
      </w:r>
      <w:r>
        <w:rPr>
          <w:rFonts w:hint="default"/>
          <w:color w:val="auto"/>
          <w:highlight w:val="none"/>
          <w:lang w:val="en-US" w:eastAsia="zh-CN"/>
        </w:rPr>
        <w:t>元</w:t>
      </w:r>
      <w:r>
        <w:rPr>
          <w:rFonts w:hint="eastAsia"/>
          <w:color w:val="auto"/>
          <w:highlight w:val="none"/>
          <w:lang w:val="en-US" w:eastAsia="zh-CN"/>
        </w:rPr>
        <w:t>、</w:t>
      </w:r>
      <w:r>
        <w:rPr>
          <w:rFonts w:hint="default"/>
          <w:color w:val="auto"/>
          <w:highlight w:val="none"/>
          <w:lang w:val="en-US" w:eastAsia="zh-CN"/>
        </w:rPr>
        <w:t>城镇低保</w:t>
      </w:r>
      <w:r>
        <w:rPr>
          <w:rFonts w:hint="eastAsia"/>
          <w:color w:val="auto"/>
          <w:highlight w:val="none"/>
          <w:lang w:val="en-US" w:eastAsia="zh-CN"/>
        </w:rPr>
        <w:t>76.42万</w:t>
      </w:r>
      <w:r>
        <w:rPr>
          <w:rFonts w:hint="default"/>
          <w:color w:val="auto"/>
          <w:highlight w:val="none"/>
          <w:lang w:val="en-US" w:eastAsia="zh-CN"/>
        </w:rPr>
        <w:t>元</w:t>
      </w:r>
      <w:r>
        <w:rPr>
          <w:rFonts w:hint="eastAsia"/>
          <w:color w:val="auto"/>
          <w:highlight w:val="none"/>
          <w:lang w:val="en-US" w:eastAsia="zh-CN"/>
        </w:rPr>
        <w:t>、城乡特困6.21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临时救助</w:t>
      </w:r>
      <w:r>
        <w:rPr>
          <w:rFonts w:hint="eastAsia"/>
          <w:color w:val="auto"/>
          <w:highlight w:val="none"/>
          <w:lang w:val="en-US" w:eastAsia="zh-CN"/>
        </w:rPr>
        <w:t>15.9万</w:t>
      </w:r>
      <w:r>
        <w:rPr>
          <w:rFonts w:hint="default"/>
          <w:color w:val="auto"/>
          <w:highlight w:val="none"/>
          <w:lang w:val="en-US" w:eastAsia="zh-CN"/>
        </w:rPr>
        <w:t>元</w:t>
      </w:r>
      <w:r>
        <w:rPr>
          <w:rFonts w:hint="eastAsia"/>
          <w:color w:val="auto"/>
          <w:highlight w:val="none"/>
          <w:lang w:val="en-US" w:eastAsia="zh-CN"/>
        </w:rPr>
        <w:t>、</w:t>
      </w:r>
      <w:r>
        <w:rPr>
          <w:rFonts w:hint="default"/>
          <w:color w:val="auto"/>
          <w:highlight w:val="none"/>
          <w:lang w:val="en-US" w:eastAsia="zh-CN"/>
        </w:rPr>
        <w:t>高龄补助</w:t>
      </w:r>
      <w:r>
        <w:rPr>
          <w:rFonts w:hint="eastAsia"/>
          <w:color w:val="auto"/>
          <w:highlight w:val="none"/>
          <w:lang w:val="en-US" w:eastAsia="zh-CN"/>
        </w:rPr>
        <w:t>22.34</w:t>
      </w:r>
      <w:r>
        <w:rPr>
          <w:rFonts w:hint="default"/>
          <w:color w:val="auto"/>
          <w:highlight w:val="none"/>
          <w:lang w:val="en-US" w:eastAsia="zh-CN"/>
        </w:rPr>
        <w:t>万元</w:t>
      </w:r>
      <w:r>
        <w:rPr>
          <w:rFonts w:hint="eastAsia"/>
          <w:color w:val="auto"/>
          <w:highlight w:val="none"/>
          <w:lang w:val="en-US" w:eastAsia="zh-CN"/>
        </w:rPr>
        <w:t>、残疾人两项补贴30.59万元、殡葬救助发放12人9600元。</w:t>
      </w:r>
      <w:r>
        <w:rPr>
          <w:rFonts w:hint="default"/>
          <w:color w:val="auto"/>
          <w:highlight w:val="none"/>
          <w:lang w:val="en-US" w:eastAsia="zh-CN"/>
        </w:rPr>
        <w:t>我镇城乡居民医疗保险参缴人数</w:t>
      </w:r>
      <w:r>
        <w:rPr>
          <w:rFonts w:hint="eastAsia"/>
          <w:color w:val="auto"/>
          <w:highlight w:val="none"/>
          <w:lang w:val="en-US" w:eastAsia="zh-CN"/>
        </w:rPr>
        <w:t>10456</w:t>
      </w:r>
      <w:r>
        <w:rPr>
          <w:rFonts w:hint="default"/>
          <w:color w:val="auto"/>
          <w:highlight w:val="none"/>
          <w:lang w:val="en-US" w:eastAsia="zh-CN"/>
        </w:rPr>
        <w:t>人，参保率</w:t>
      </w:r>
      <w:r>
        <w:rPr>
          <w:rFonts w:hint="eastAsia"/>
          <w:color w:val="auto"/>
          <w:highlight w:val="none"/>
          <w:lang w:val="en-US" w:eastAsia="zh-CN"/>
        </w:rPr>
        <w:t>98.79</w:t>
      </w:r>
      <w:r>
        <w:rPr>
          <w:rFonts w:hint="default"/>
          <w:color w:val="auto"/>
          <w:highlight w:val="none"/>
          <w:lang w:val="en-US" w:eastAsia="zh-CN"/>
        </w:rPr>
        <w:t>%。新建</w:t>
      </w:r>
      <w:r>
        <w:rPr>
          <w:rFonts w:hint="eastAsia"/>
          <w:color w:val="auto"/>
          <w:highlight w:val="none"/>
          <w:lang w:val="en-US" w:eastAsia="zh-CN"/>
        </w:rPr>
        <w:t>12</w:t>
      </w:r>
      <w:r>
        <w:rPr>
          <w:rFonts w:hint="default"/>
          <w:color w:val="auto"/>
          <w:highlight w:val="none"/>
          <w:lang w:val="en-US" w:eastAsia="zh-CN"/>
        </w:rPr>
        <w:t>套抗震安居房，群众住房条件得到进一步改善。</w:t>
      </w:r>
    </w:p>
    <w:p>
      <w:pPr>
        <w:keepNext w:val="0"/>
        <w:keepLines w:val="0"/>
        <w:pageBreakBefore w:val="0"/>
        <w:widowControl w:val="0"/>
        <w:numPr>
          <w:ilvl w:val="0"/>
          <w:numId w:val="0"/>
        </w:numPr>
        <w:pBdr>
          <w:bottom w:val="single" w:color="FFFFFF" w:sz="4" w:space="31"/>
        </w:pBdr>
        <w:tabs>
          <w:tab w:val="left" w:pos="420"/>
          <w:tab w:val="left" w:pos="630"/>
        </w:tabs>
        <w:kinsoku/>
        <w:wordWrap/>
        <w:overflowPunct/>
        <w:topLinePunct w:val="0"/>
        <w:autoSpaceDE/>
        <w:autoSpaceDN/>
        <w:bidi w:val="0"/>
        <w:adjustRightInd/>
        <w:snapToGrid/>
        <w:spacing w:after="0" w:line="560" w:lineRule="exact"/>
        <w:ind w:firstLine="562" w:firstLineChars="200"/>
        <w:jc w:val="both"/>
        <w:textAlignment w:val="baseline"/>
        <w:outlineLvl w:val="9"/>
        <w:rPr>
          <w:rFonts w:hint="eastAsia"/>
          <w:color w:val="auto"/>
          <w:highlight w:val="none"/>
          <w:lang w:val="en-US" w:eastAsia="zh-CN"/>
        </w:rPr>
      </w:pPr>
      <w:r>
        <w:rPr>
          <w:rFonts w:hint="eastAsia"/>
          <w:b/>
          <w:bCs/>
          <w:color w:val="auto"/>
          <w:highlight w:val="none"/>
          <w:lang w:val="en-US" w:eastAsia="zh-CN"/>
        </w:rPr>
        <w:t>4.严格组织生活，</w:t>
      </w:r>
      <w:r>
        <w:rPr>
          <w:rFonts w:hint="default"/>
          <w:b/>
          <w:bCs/>
          <w:color w:val="auto"/>
          <w:highlight w:val="none"/>
          <w:lang w:val="en-US" w:eastAsia="zh-CN"/>
        </w:rPr>
        <w:t>强化</w:t>
      </w:r>
      <w:r>
        <w:rPr>
          <w:rFonts w:hint="eastAsia"/>
          <w:b/>
          <w:bCs/>
          <w:color w:val="auto"/>
          <w:highlight w:val="none"/>
          <w:lang w:val="en-US" w:eastAsia="zh-CN"/>
        </w:rPr>
        <w:t>基层组织建设</w:t>
      </w:r>
      <w:r>
        <w:rPr>
          <w:rFonts w:hint="default"/>
          <w:b/>
          <w:bCs/>
          <w:color w:val="auto"/>
          <w:highlight w:val="none"/>
          <w:lang w:val="en-US" w:eastAsia="zh-CN"/>
        </w:rPr>
        <w:t>。</w:t>
      </w:r>
      <w:r>
        <w:rPr>
          <w:rFonts w:hint="default"/>
          <w:color w:val="auto"/>
          <w:highlight w:val="none"/>
          <w:lang w:val="en-US" w:eastAsia="zh-CN"/>
        </w:rPr>
        <w:t>深入学习党的二十大精神、习近平新时代中国特色社会主义思想</w:t>
      </w:r>
      <w:r>
        <w:rPr>
          <w:rFonts w:hint="eastAsia"/>
          <w:color w:val="auto"/>
          <w:highlight w:val="none"/>
          <w:lang w:val="en-US" w:eastAsia="zh-CN"/>
        </w:rPr>
        <w:t>。严格落实党委会、中心组会议、</w:t>
      </w:r>
      <w:r>
        <w:rPr>
          <w:rFonts w:hint="default"/>
          <w:color w:val="auto"/>
          <w:highlight w:val="none"/>
          <w:lang w:val="en-US" w:eastAsia="zh-CN"/>
        </w:rPr>
        <w:t>“三会一课”</w:t>
      </w:r>
      <w:r>
        <w:rPr>
          <w:rFonts w:hint="eastAsia"/>
          <w:color w:val="auto"/>
          <w:highlight w:val="none"/>
          <w:lang w:val="en-US" w:eastAsia="zh-CN"/>
        </w:rPr>
        <w:t>等“第一议题”制度和“党旗映天山”主题党日活动“首学制”。</w:t>
      </w:r>
      <w:r>
        <w:rPr>
          <w:rFonts w:hint="default"/>
          <w:color w:val="auto"/>
          <w:highlight w:val="none"/>
          <w:lang w:val="en-US" w:eastAsia="zh-CN"/>
        </w:rPr>
        <w:t>今年</w:t>
      </w:r>
      <w:r>
        <w:rPr>
          <w:rFonts w:hint="eastAsia"/>
          <w:color w:val="auto"/>
          <w:highlight w:val="none"/>
          <w:lang w:val="en-US" w:eastAsia="zh-CN"/>
        </w:rPr>
        <w:t>以来，</w:t>
      </w:r>
      <w:r>
        <w:rPr>
          <w:rFonts w:hint="default"/>
          <w:color w:val="auto"/>
          <w:highlight w:val="none"/>
          <w:lang w:val="en-US" w:eastAsia="zh-CN"/>
        </w:rPr>
        <w:t>开展</w:t>
      </w:r>
      <w:r>
        <w:rPr>
          <w:rFonts w:hint="eastAsia"/>
          <w:color w:val="auto"/>
          <w:highlight w:val="none"/>
          <w:lang w:val="en-US" w:eastAsia="zh-CN"/>
        </w:rPr>
        <w:t>理论</w:t>
      </w:r>
      <w:r>
        <w:rPr>
          <w:rFonts w:hint="default"/>
          <w:color w:val="auto"/>
          <w:highlight w:val="none"/>
          <w:lang w:val="en-US" w:eastAsia="zh-CN"/>
        </w:rPr>
        <w:t>中心组学习</w:t>
      </w:r>
      <w:r>
        <w:rPr>
          <w:rFonts w:hint="eastAsia"/>
          <w:color w:val="auto"/>
          <w:highlight w:val="none"/>
          <w:lang w:val="en-US" w:eastAsia="zh-CN"/>
        </w:rPr>
        <w:t>11</w:t>
      </w:r>
      <w:r>
        <w:rPr>
          <w:rFonts w:hint="default"/>
          <w:color w:val="auto"/>
          <w:highlight w:val="none"/>
          <w:lang w:val="en-US" w:eastAsia="zh-CN"/>
        </w:rPr>
        <w:t>次，讲党课</w:t>
      </w:r>
      <w:r>
        <w:rPr>
          <w:rFonts w:hint="eastAsia"/>
          <w:color w:val="auto"/>
          <w:highlight w:val="none"/>
          <w:lang w:val="en-US" w:eastAsia="zh-CN"/>
        </w:rPr>
        <w:t>4</w:t>
      </w:r>
      <w:r>
        <w:rPr>
          <w:rFonts w:hint="default"/>
          <w:color w:val="auto"/>
          <w:highlight w:val="none"/>
          <w:lang w:val="en-US" w:eastAsia="zh-CN"/>
        </w:rPr>
        <w:t>次</w:t>
      </w:r>
      <w:r>
        <w:rPr>
          <w:rFonts w:hint="eastAsia"/>
          <w:color w:val="auto"/>
          <w:highlight w:val="none"/>
          <w:lang w:val="en-US" w:eastAsia="zh-CN"/>
        </w:rPr>
        <w:t>，召开党委会32次，</w:t>
      </w:r>
      <w:r>
        <w:rPr>
          <w:rFonts w:hint="default"/>
          <w:color w:val="auto"/>
          <w:highlight w:val="none"/>
          <w:lang w:val="en-US" w:eastAsia="zh-CN"/>
        </w:rPr>
        <w:t>召开党建工作专题会议</w:t>
      </w:r>
      <w:r>
        <w:rPr>
          <w:rFonts w:hint="eastAsia"/>
          <w:color w:val="auto"/>
          <w:highlight w:val="none"/>
          <w:lang w:val="en-US" w:eastAsia="zh-CN"/>
        </w:rPr>
        <w:t>2</w:t>
      </w:r>
      <w:r>
        <w:rPr>
          <w:rFonts w:hint="default"/>
          <w:color w:val="auto"/>
          <w:highlight w:val="none"/>
          <w:lang w:val="en-US" w:eastAsia="zh-CN"/>
        </w:rPr>
        <w:t>次</w:t>
      </w:r>
      <w:r>
        <w:rPr>
          <w:rFonts w:hint="eastAsia"/>
          <w:color w:val="auto"/>
          <w:highlight w:val="none"/>
          <w:lang w:val="en-US" w:eastAsia="zh-CN"/>
        </w:rPr>
        <w:t>，将学习放在首位，逢会必学，将学习贯穿始终。</w:t>
      </w:r>
    </w:p>
    <w:p>
      <w:pPr>
        <w:keepNext w:val="0"/>
        <w:keepLines w:val="0"/>
        <w:pageBreakBefore w:val="0"/>
        <w:widowControl w:val="0"/>
        <w:numPr>
          <w:ilvl w:val="0"/>
          <w:numId w:val="0"/>
        </w:numPr>
        <w:pBdr>
          <w:bottom w:val="single" w:color="FFFFFF" w:sz="4" w:space="31"/>
        </w:pBdr>
        <w:tabs>
          <w:tab w:val="left" w:pos="420"/>
          <w:tab w:val="left" w:pos="630"/>
        </w:tabs>
        <w:kinsoku/>
        <w:wordWrap/>
        <w:overflowPunct/>
        <w:topLinePunct w:val="0"/>
        <w:autoSpaceDE/>
        <w:autoSpaceDN/>
        <w:bidi w:val="0"/>
        <w:adjustRightInd/>
        <w:snapToGrid/>
        <w:spacing w:after="0" w:line="560" w:lineRule="exact"/>
        <w:ind w:firstLine="562" w:firstLineChars="200"/>
        <w:jc w:val="both"/>
        <w:textAlignment w:val="baseline"/>
        <w:outlineLvl w:val="9"/>
        <w:rPr>
          <w:rFonts w:hint="eastAsia"/>
          <w:color w:val="auto"/>
          <w:highlight w:val="none"/>
          <w:lang w:val="en-US" w:eastAsia="zh-CN"/>
        </w:rPr>
      </w:pPr>
      <w:r>
        <w:rPr>
          <w:rFonts w:hint="eastAsia"/>
          <w:b/>
          <w:bCs/>
          <w:color w:val="auto"/>
          <w:highlight w:val="none"/>
          <w:lang w:val="en-US" w:eastAsia="zh-CN"/>
        </w:rPr>
        <w:t>5.加强廉政教育，筑牢廉政防线。</w:t>
      </w:r>
      <w:r>
        <w:rPr>
          <w:rFonts w:hint="eastAsia"/>
          <w:color w:val="auto"/>
          <w:highlight w:val="none"/>
          <w:lang w:val="en-US" w:eastAsia="zh-CN"/>
        </w:rPr>
        <w:t>加强和改进作风，落实中央八项规定精神，持续整治“四风”。镇纪委严格按照中央八项规定及其实施细则精神，紧盯元旦、春节、五一、端午、国庆等节日节点，强化全体党员干部教育监督，深入推进党的作风建设。截至目前，通过不定期督查镇机关、站所、村、社区干部作风建设30余次，对涉农涉牧资金、扶贫项目建设、低保等民生工作进行专项督查10次，有效推进作风建设，营造了风清气正、凝心聚力、干事创业的良好环境。</w:t>
      </w:r>
    </w:p>
    <w:p>
      <w:pPr>
        <w:bidi w:val="0"/>
        <w:rPr>
          <w:rFonts w:hint="eastAsia"/>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color w:val="auto"/>
          <w:highlight w:val="none"/>
          <w:lang w:val="en-US" w:eastAsia="zh-CN"/>
        </w:rPr>
      </w:pPr>
      <w:r>
        <w:rPr>
          <w:rFonts w:hint="eastAsia"/>
          <w:color w:val="auto"/>
          <w:highlight w:val="none"/>
          <w:lang w:val="en-US" w:eastAsia="zh-CN"/>
        </w:rPr>
        <w:t>1.预算执行情况</w:t>
      </w:r>
    </w:p>
    <w:p>
      <w:pPr>
        <w:bidi w:val="0"/>
        <w:rPr>
          <w:rFonts w:hint="eastAsia"/>
          <w:color w:val="auto"/>
          <w:highlight w:val="none"/>
          <w:lang w:val="en-US" w:eastAsia="zh-CN"/>
        </w:rPr>
      </w:pPr>
      <w:r>
        <w:rPr>
          <w:rFonts w:hint="eastAsia"/>
          <w:color w:val="auto"/>
          <w:highlight w:val="none"/>
          <w:lang w:val="en-US" w:eastAsia="zh-CN"/>
        </w:rPr>
        <w:t>（1）年初预算执行情况</w:t>
      </w:r>
    </w:p>
    <w:p>
      <w:pPr>
        <w:bidi w:val="0"/>
        <w:rPr>
          <w:rFonts w:hint="eastAsia"/>
          <w:color w:val="auto"/>
          <w:highlight w:val="none"/>
          <w:lang w:val="en-US" w:eastAsia="zh-CN"/>
        </w:rPr>
      </w:pPr>
      <w:r>
        <w:rPr>
          <w:rFonts w:hint="eastAsia"/>
          <w:color w:val="auto"/>
          <w:highlight w:val="none"/>
          <w:lang w:val="en-US" w:eastAsia="zh-CN"/>
        </w:rPr>
        <w:t>我单位年初预算数为2470.95万元，实际预算执行数2418.12万元，预算执行率为97.86%。</w:t>
      </w:r>
    </w:p>
    <w:p>
      <w:pPr>
        <w:bidi w:val="0"/>
        <w:rPr>
          <w:rFonts w:hint="eastAsia" w:ascii="Times New Roman" w:hAnsi="Times New Roman" w:cs="Times New Roman"/>
          <w:bCs/>
          <w:color w:val="auto"/>
          <w:highlight w:val="none"/>
          <w:lang w:val="en-US" w:eastAsia="zh-CN"/>
        </w:rPr>
      </w:pPr>
      <w:r>
        <w:rPr>
          <w:rFonts w:hint="eastAsia"/>
          <w:color w:val="auto"/>
          <w:highlight w:val="none"/>
          <w:lang w:val="en-US" w:eastAsia="zh-CN"/>
        </w:rPr>
        <w:t>（2）</w:t>
      </w:r>
      <w:r>
        <w:rPr>
          <w:rFonts w:hint="eastAsia" w:ascii="Times New Roman" w:hAnsi="Times New Roman" w:cs="Times New Roman"/>
          <w:bCs/>
          <w:color w:val="auto"/>
          <w:highlight w:val="none"/>
          <w:lang w:val="en-US" w:eastAsia="zh-CN"/>
        </w:rPr>
        <w:t xml:space="preserve">全年预算执行情况 </w:t>
      </w:r>
    </w:p>
    <w:p>
      <w:pPr>
        <w:bidi w:val="0"/>
        <w:rPr>
          <w:rFonts w:hint="eastAsia"/>
          <w:color w:val="auto"/>
          <w:highlight w:val="none"/>
          <w:lang w:val="en-US" w:eastAsia="zh-CN"/>
        </w:rPr>
      </w:pPr>
      <w:r>
        <w:rPr>
          <w:rFonts w:hint="eastAsia"/>
          <w:color w:val="auto"/>
          <w:highlight w:val="none"/>
          <w:lang w:val="en-US" w:eastAsia="zh-CN"/>
        </w:rPr>
        <w:t>全年预算数为2978.72万元，全年实际支出资金2978.72万元，预算执行率为100%。</w:t>
      </w:r>
    </w:p>
    <w:p>
      <w:pPr>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color w:val="auto"/>
          <w:highlight w:val="none"/>
          <w:lang w:val="en-US" w:eastAsia="zh-CN"/>
        </w:rPr>
        <w:t>我单位年初批复预算数2470.95万元，年中调整数507.77万元，调整后全年预算数2978.72万元，预算调整率20.55%。（预算调整率=调整数/年初预算数*100%=20.55%。）</w:t>
      </w:r>
    </w:p>
    <w:p>
      <w:pPr>
        <w:keepNext w:val="0"/>
        <w:keepLines w:val="0"/>
        <w:pageBreakBefore w:val="0"/>
        <w:widowControl w:val="0"/>
        <w:numPr>
          <w:ilvl w:val="0"/>
          <w:numId w:val="0"/>
        </w:numPr>
        <w:pBdr>
          <w:bottom w:val="single" w:color="FFFFFF" w:sz="4" w:space="31"/>
        </w:pBdr>
        <w:tabs>
          <w:tab w:val="left" w:pos="420"/>
          <w:tab w:val="left" w:pos="630"/>
        </w:tabs>
        <w:kinsoku/>
        <w:wordWrap/>
        <w:overflowPunct/>
        <w:topLinePunct w:val="0"/>
        <w:autoSpaceDE/>
        <w:autoSpaceDN/>
        <w:bidi w:val="0"/>
        <w:adjustRightInd/>
        <w:snapToGrid/>
        <w:spacing w:after="0" w:line="560" w:lineRule="exact"/>
        <w:ind w:left="280" w:leftChars="100" w:firstLine="280" w:firstLineChars="100"/>
        <w:jc w:val="both"/>
        <w:textAlignment w:val="baseline"/>
        <w:outlineLvl w:val="9"/>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2978.72</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基本支出1636</w:t>
      </w:r>
      <w:r>
        <w:rPr>
          <w:rFonts w:hint="eastAsia"/>
          <w:color w:val="auto"/>
          <w:highlight w:val="none"/>
          <w:lang w:val="en-US" w:eastAsia="zh-CN"/>
        </w:rPr>
        <w:t>.</w:t>
      </w:r>
      <w:r>
        <w:rPr>
          <w:rFonts w:hint="default"/>
          <w:color w:val="auto"/>
          <w:highlight w:val="none"/>
          <w:lang w:val="en-US" w:eastAsia="zh-CN"/>
        </w:rPr>
        <w:t>4</w:t>
      </w:r>
      <w:r>
        <w:rPr>
          <w:rFonts w:hint="eastAsia"/>
          <w:color w:val="auto"/>
          <w:highlight w:val="none"/>
          <w:lang w:val="en-US" w:eastAsia="zh-CN"/>
        </w:rPr>
        <w:t>7</w:t>
      </w:r>
      <w:r>
        <w:rPr>
          <w:rFonts w:hint="default"/>
          <w:color w:val="auto"/>
          <w:highlight w:val="none"/>
          <w:lang w:val="en-US" w:eastAsia="zh-CN"/>
        </w:rPr>
        <w:t>万元，资金的使用方向为我单位机关人员经费支出1590</w:t>
      </w:r>
      <w:r>
        <w:rPr>
          <w:rFonts w:hint="eastAsia"/>
          <w:color w:val="auto"/>
          <w:highlight w:val="none"/>
          <w:lang w:val="en-US" w:eastAsia="zh-CN"/>
        </w:rPr>
        <w:t>.</w:t>
      </w:r>
      <w:r>
        <w:rPr>
          <w:rFonts w:hint="default"/>
          <w:color w:val="auto"/>
          <w:highlight w:val="none"/>
          <w:lang w:val="en-US" w:eastAsia="zh-CN"/>
        </w:rPr>
        <w:t>44万元</w:t>
      </w:r>
      <w:r>
        <w:rPr>
          <w:rFonts w:hint="eastAsia"/>
          <w:color w:val="auto"/>
          <w:highlight w:val="none"/>
          <w:lang w:val="en-US" w:eastAsia="zh-CN"/>
        </w:rPr>
        <w:t>，</w:t>
      </w:r>
      <w:r>
        <w:rPr>
          <w:rFonts w:hint="default"/>
          <w:color w:val="auto"/>
          <w:highlight w:val="none"/>
          <w:lang w:val="en-US" w:eastAsia="zh-CN"/>
        </w:rPr>
        <w:t>日常公用经费支出46</w:t>
      </w:r>
      <w:r>
        <w:rPr>
          <w:rFonts w:hint="eastAsia"/>
          <w:color w:val="auto"/>
          <w:highlight w:val="none"/>
          <w:lang w:val="en-US" w:eastAsia="zh-CN"/>
        </w:rPr>
        <w:t>.</w:t>
      </w:r>
      <w:r>
        <w:rPr>
          <w:rFonts w:hint="default"/>
          <w:color w:val="auto"/>
          <w:highlight w:val="none"/>
          <w:lang w:val="en-US" w:eastAsia="zh-CN"/>
        </w:rPr>
        <w:t>02万元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1342.26</w:t>
      </w:r>
      <w:r>
        <w:rPr>
          <w:rFonts w:hint="default"/>
          <w:color w:val="auto"/>
          <w:highlight w:val="none"/>
          <w:lang w:val="en-US" w:eastAsia="zh-CN"/>
        </w:rPr>
        <w:t>万元，主要用于保障2022乡镇干部周转宿舍建设项目、和静县协比乃尔布呼镇团结社区综合服务设施建设项目、协比乃尔布呼镇乡协比乃尔布呼村环境综合治理示范项目</w:t>
      </w:r>
      <w:r>
        <w:rPr>
          <w:rFonts w:hint="eastAsia"/>
          <w:color w:val="auto"/>
          <w:highlight w:val="none"/>
          <w:lang w:val="en-US" w:eastAsia="zh-CN"/>
        </w:rPr>
        <w:t>等</w:t>
      </w:r>
      <w:r>
        <w:rPr>
          <w:rFonts w:hint="default"/>
          <w:color w:val="auto"/>
          <w:highlight w:val="none"/>
          <w:lang w:val="en-US" w:eastAsia="zh-CN"/>
        </w:rPr>
        <w:t>支出。</w:t>
      </w:r>
    </w:p>
    <w:p>
      <w:pPr>
        <w:pStyle w:val="4"/>
        <w:bidi w:val="0"/>
        <w:ind w:left="0" w:leftChars="0" w:firstLine="0" w:firstLineChars="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5"/>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1636.47万元，全年实际支出1636.47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w:t>
      </w:r>
      <w:r>
        <w:rPr>
          <w:rFonts w:hint="default"/>
          <w:color w:val="auto"/>
          <w:highlight w:val="none"/>
          <w:lang w:val="en-US" w:eastAsia="zh-CN"/>
        </w:rPr>
        <w:t>1590</w:t>
      </w:r>
      <w:r>
        <w:rPr>
          <w:rFonts w:hint="eastAsia"/>
          <w:color w:val="auto"/>
          <w:highlight w:val="none"/>
          <w:lang w:val="en-US" w:eastAsia="zh-CN"/>
        </w:rPr>
        <w:t>.</w:t>
      </w:r>
      <w:r>
        <w:rPr>
          <w:rFonts w:hint="default"/>
          <w:color w:val="auto"/>
          <w:highlight w:val="none"/>
          <w:lang w:val="en-US" w:eastAsia="zh-CN"/>
        </w:rPr>
        <w:t>44</w:t>
      </w:r>
      <w:r>
        <w:rPr>
          <w:rFonts w:hint="eastAsia"/>
          <w:color w:val="auto"/>
          <w:highlight w:val="none"/>
          <w:lang w:val="en-US" w:eastAsia="zh-CN"/>
        </w:rPr>
        <w:t>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46.02万元，主要包括：办公费、印刷费、水费、电费、邮电费、取暖费、物业管理费、差旅费、培训费、公务接待费、工会经费、福利费、公务用车运行维护费、其他交通费用、其他商品和服务支出。</w:t>
      </w:r>
    </w:p>
    <w:p>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项目支出预算1342.26</w:t>
      </w:r>
      <w:r>
        <w:rPr>
          <w:rFonts w:hint="eastAsia"/>
          <w:color w:val="auto"/>
          <w:highlight w:val="none"/>
          <w:lang w:eastAsia="zh-CN"/>
        </w:rPr>
        <w:t>万</w:t>
      </w:r>
      <w:r>
        <w:rPr>
          <w:rFonts w:hint="eastAsia"/>
          <w:color w:val="auto"/>
          <w:highlight w:val="none"/>
          <w:lang w:val="en-US" w:eastAsia="zh-CN"/>
        </w:rPr>
        <w:t>元</w:t>
      </w:r>
      <w:r>
        <w:rPr>
          <w:rFonts w:hint="eastAsia"/>
          <w:color w:val="auto"/>
          <w:highlight w:val="none"/>
          <w:lang w:eastAsia="zh-CN"/>
        </w:rPr>
        <w:t>，</w:t>
      </w:r>
      <w:r>
        <w:rPr>
          <w:rFonts w:hint="eastAsia"/>
          <w:color w:val="auto"/>
          <w:highlight w:val="none"/>
          <w:lang w:val="en-US" w:eastAsia="zh-CN"/>
        </w:rPr>
        <w:t>其中：上级专项资金1026.59万元，本级财政资金315.67万元</w:t>
      </w:r>
      <w:r>
        <w:rPr>
          <w:rFonts w:hint="eastAsia"/>
          <w:color w:val="auto"/>
          <w:highlight w:val="none"/>
          <w:lang w:eastAsia="zh-CN"/>
        </w:rPr>
        <w:t>。</w:t>
      </w:r>
    </w:p>
    <w:p>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1342.26万元，其中</w:t>
      </w:r>
      <w:r>
        <w:rPr>
          <w:rFonts w:hint="default"/>
          <w:color w:val="auto"/>
          <w:highlight w:val="none"/>
          <w:lang w:val="en-US" w:eastAsia="zh-CN"/>
        </w:rPr>
        <w:t>2022乡镇干部周转宿舍建设项目、和静县协比乃尔布呼镇团结社区综合服务设施建设项目、协比乃尔布呼镇乡协比乃尔布呼村环境综合治理示范项目</w:t>
      </w:r>
      <w:r>
        <w:rPr>
          <w:rFonts w:hint="eastAsia"/>
          <w:color w:val="auto"/>
          <w:highlight w:val="none"/>
          <w:lang w:val="en-US" w:eastAsia="zh-CN"/>
        </w:rPr>
        <w:t>等全部通过财政国库集中支付方式直接拨给项目实施单位。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default"/>
          <w:color w:val="auto"/>
          <w:highlight w:val="none"/>
          <w:lang w:val="en-US" w:eastAsia="zh-CN"/>
        </w:rPr>
        <w:t>2022乡镇干部周转宿舍建设</w:t>
      </w:r>
      <w:r>
        <w:rPr>
          <w:rFonts w:hint="eastAsia"/>
          <w:color w:val="auto"/>
          <w:highlight w:val="none"/>
          <w:lang w:val="en-US" w:eastAsia="zh-CN"/>
        </w:rPr>
        <w:t>项目：截至2023年12月31日，本项目实际已完成新建政府干部周转房34套，建筑面积1190平方米。 通过本次建设，有效改善生活与居住条件与环境，使公务人员能够安心工作，扎实基层。</w:t>
      </w:r>
      <w:r>
        <w:rPr>
          <w:rFonts w:hint="default"/>
          <w:color w:val="auto"/>
          <w:highlight w:val="none"/>
          <w:lang w:val="en-US" w:eastAsia="zh-CN"/>
        </w:rPr>
        <w:t>和静县协比乃尔布呼镇团结社区综合服务设施建设项</w:t>
      </w:r>
      <w:r>
        <w:rPr>
          <w:rFonts w:hint="eastAsia"/>
          <w:color w:val="auto"/>
          <w:highlight w:val="none"/>
          <w:lang w:val="en-US" w:eastAsia="zh-CN"/>
        </w:rPr>
        <w:t>目：截至2023年12月31日，本项目实际形成支出85万元，通过本次建设，有效改善工作与居住条件与环境，使公务人员能够安心工作，扎实基层。是能吸引更多的人才，到协比乃尔布呼镇团结社区来工作，提高整体素质与工作质量。</w:t>
      </w:r>
      <w:r>
        <w:rPr>
          <w:rFonts w:hint="default"/>
          <w:color w:val="auto"/>
          <w:highlight w:val="none"/>
          <w:lang w:val="en-US" w:eastAsia="zh-CN"/>
        </w:rPr>
        <w:t>协比乃尔布呼镇乡协比乃尔布呼村环境综合治理示范项目</w:t>
      </w:r>
      <w:r>
        <w:rPr>
          <w:rFonts w:hint="eastAsia"/>
          <w:color w:val="auto"/>
          <w:highlight w:val="none"/>
          <w:lang w:val="en-US" w:eastAsia="zh-CN"/>
        </w:rPr>
        <w:t>：截至2023年12月31日，本项目实际形成支出46.31万元，已完成占用耕地51.4545亩，通过该项目可以实现保护生态环境、促进公平合理利益分配的双赢局面，对于土地保护发展有重要意义。群众满意度达到95%。</w:t>
      </w:r>
    </w:p>
    <w:p>
      <w:pPr>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度安排项目支出资金1342.26万元，</w:t>
      </w:r>
      <w:r>
        <w:rPr>
          <w:rFonts w:hint="eastAsia"/>
          <w:color w:val="auto"/>
          <w:highlight w:val="none"/>
          <w:lang w:eastAsia="zh-CN"/>
        </w:rPr>
        <w:t>实际</w:t>
      </w:r>
      <w:r>
        <w:rPr>
          <w:rFonts w:hint="eastAsia"/>
          <w:color w:val="auto"/>
          <w:highlight w:val="none"/>
          <w:lang w:val="en-US" w:eastAsia="zh-CN"/>
        </w:rPr>
        <w:t>支出1342.26</w:t>
      </w:r>
      <w:r>
        <w:rPr>
          <w:rFonts w:hint="eastAsia"/>
          <w:color w:val="auto"/>
          <w:highlight w:val="none"/>
          <w:lang w:eastAsia="zh-CN"/>
        </w:rPr>
        <w:t>万元，</w:t>
      </w:r>
      <w:r>
        <w:rPr>
          <w:rFonts w:hint="eastAsia"/>
          <w:color w:val="auto"/>
          <w:highlight w:val="none"/>
          <w:lang w:val="en-US" w:eastAsia="zh-CN"/>
        </w:rPr>
        <w:t>其中：上级专项资金支出1026.59万元，本级财政安排项目资金支出315.67万元，项目预算资金</w:t>
      </w:r>
      <w:r>
        <w:rPr>
          <w:rFonts w:hint="eastAsia"/>
          <w:color w:val="auto"/>
          <w:highlight w:val="none"/>
        </w:rPr>
        <w:t>执行率</w:t>
      </w:r>
      <w:r>
        <w:rPr>
          <w:rFonts w:hint="eastAsia"/>
          <w:color w:val="auto"/>
          <w:highlight w:val="none"/>
          <w:lang w:val="en-US" w:eastAsia="zh-CN"/>
        </w:rPr>
        <w:t>100%</w:t>
      </w:r>
      <w:bookmarkStart w:id="2" w:name="_Toc1734_WPSOffice_Level1"/>
      <w:r>
        <w:rPr>
          <w:rFonts w:hint="eastAsia"/>
          <w:color w:val="auto"/>
          <w:highlight w:val="none"/>
          <w:lang w:val="en-US" w:eastAsia="zh-CN"/>
        </w:rPr>
        <w:t>。</w:t>
      </w:r>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人大事务支出1.11</w:t>
      </w:r>
      <w:r>
        <w:rPr>
          <w:rFonts w:hint="default"/>
          <w:color w:val="auto"/>
          <w:highlight w:val="none"/>
          <w:lang w:val="en-US" w:eastAsia="zh-CN"/>
        </w:rPr>
        <w:t>万元，纪检监察事务支出</w:t>
      </w:r>
      <w:r>
        <w:rPr>
          <w:rFonts w:hint="eastAsia"/>
          <w:color w:val="auto"/>
          <w:highlight w:val="none"/>
          <w:lang w:val="en-US" w:eastAsia="zh-CN"/>
        </w:rPr>
        <w:t>1.5</w:t>
      </w:r>
      <w:r>
        <w:rPr>
          <w:rFonts w:hint="default"/>
          <w:color w:val="auto"/>
          <w:highlight w:val="none"/>
          <w:lang w:val="en-US" w:eastAsia="zh-CN"/>
        </w:rPr>
        <w:t>万元，组织事务支出</w:t>
      </w:r>
      <w:r>
        <w:rPr>
          <w:rFonts w:hint="eastAsia"/>
          <w:color w:val="auto"/>
          <w:highlight w:val="none"/>
          <w:lang w:val="en-US" w:eastAsia="zh-CN"/>
        </w:rPr>
        <w:t>86</w:t>
      </w:r>
      <w:r>
        <w:rPr>
          <w:rFonts w:hint="default"/>
          <w:color w:val="auto"/>
          <w:highlight w:val="none"/>
          <w:lang w:val="en-US" w:eastAsia="zh-CN"/>
        </w:rPr>
        <w:t>万元，文化旅游体育与传媒支出</w:t>
      </w:r>
      <w:r>
        <w:rPr>
          <w:rFonts w:hint="eastAsia"/>
          <w:color w:val="auto"/>
          <w:highlight w:val="none"/>
          <w:lang w:val="en-US" w:eastAsia="zh-CN"/>
        </w:rPr>
        <w:t>0.24</w:t>
      </w:r>
      <w:r>
        <w:rPr>
          <w:rFonts w:hint="default"/>
          <w:color w:val="auto"/>
          <w:highlight w:val="none"/>
          <w:lang w:val="en-US" w:eastAsia="zh-CN"/>
        </w:rPr>
        <w:t>万元，农业农村支出</w:t>
      </w:r>
      <w:r>
        <w:rPr>
          <w:rFonts w:hint="eastAsia"/>
          <w:color w:val="auto"/>
          <w:highlight w:val="none"/>
          <w:lang w:val="en-US" w:eastAsia="zh-CN"/>
        </w:rPr>
        <w:t>229.24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农村</w:t>
      </w:r>
      <w:r>
        <w:rPr>
          <w:rFonts w:hint="eastAsia"/>
          <w:color w:val="auto"/>
          <w:highlight w:val="none"/>
          <w:lang w:val="en-US" w:eastAsia="zh-CN"/>
        </w:rPr>
        <w:t>基础设施建设343</w:t>
      </w:r>
      <w:r>
        <w:rPr>
          <w:rFonts w:hint="default"/>
          <w:color w:val="auto"/>
          <w:highlight w:val="none"/>
          <w:lang w:val="en-US" w:eastAsia="zh-CN"/>
        </w:rPr>
        <w:t>万元，生产发展</w:t>
      </w:r>
      <w:r>
        <w:rPr>
          <w:rFonts w:hint="eastAsia"/>
          <w:color w:val="auto"/>
          <w:highlight w:val="none"/>
          <w:lang w:val="en-US" w:eastAsia="zh-CN"/>
        </w:rPr>
        <w:t>595.84</w:t>
      </w:r>
      <w:r>
        <w:rPr>
          <w:rFonts w:hint="default"/>
          <w:color w:val="auto"/>
          <w:highlight w:val="none"/>
          <w:lang w:val="en-US" w:eastAsia="zh-CN"/>
        </w:rPr>
        <w:t>万元，对村民委员会和村党支部的补助</w:t>
      </w:r>
      <w:r>
        <w:rPr>
          <w:rFonts w:hint="eastAsia"/>
          <w:color w:val="auto"/>
          <w:highlight w:val="none"/>
          <w:lang w:val="en-US" w:eastAsia="zh-CN"/>
        </w:rPr>
        <w:t>85.33</w:t>
      </w:r>
      <w:r>
        <w:rPr>
          <w:rFonts w:hint="default"/>
          <w:color w:val="auto"/>
          <w:highlight w:val="none"/>
          <w:lang w:val="en-US" w:eastAsia="zh-CN"/>
        </w:rPr>
        <w:t>万元</w:t>
      </w:r>
      <w:r>
        <w:rPr>
          <w:rFonts w:hint="eastAsia"/>
          <w:color w:val="auto"/>
          <w:highlight w:val="none"/>
          <w:lang w:val="en-US" w:eastAsia="zh-CN"/>
        </w:rPr>
        <w:t>。</w:t>
      </w:r>
    </w:p>
    <w:bookmarkEnd w:id="2"/>
    <w:p>
      <w:pPr>
        <w:pStyle w:val="4"/>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9</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5"/>
        <w:spacing w:before="156"/>
        <w:ind w:left="0" w:leftChars="0" w:firstLine="321" w:firstLineChars="100"/>
        <w:rPr>
          <w:color w:val="auto"/>
          <w:highlight w:val="none"/>
        </w:rPr>
      </w:pPr>
      <w:r>
        <w:rPr>
          <w:rFonts w:hint="eastAsia"/>
          <w:color w:val="auto"/>
          <w:highlight w:val="none"/>
        </w:rPr>
        <w:t>（一）项目支出预算执行率指标完成情况分析</w:t>
      </w:r>
    </w:p>
    <w:p>
      <w:pPr>
        <w:ind w:firstLine="560"/>
        <w:rPr>
          <w:color w:val="auto"/>
          <w:highlight w:val="none"/>
        </w:rPr>
      </w:pPr>
      <w:r>
        <w:rPr>
          <w:rFonts w:hint="eastAsia"/>
          <w:color w:val="auto"/>
          <w:highlight w:val="none"/>
        </w:rPr>
        <w:t>项目支出预算执行率指标年初设定目标是=100%，年中绩效运行监控时完成值</w:t>
      </w:r>
      <w:r>
        <w:rPr>
          <w:rFonts w:hint="eastAsia"/>
          <w:color w:val="auto"/>
          <w:highlight w:val="none"/>
          <w:lang w:val="en-US" w:eastAsia="zh-CN"/>
        </w:rPr>
        <w:t>83.94</w:t>
      </w:r>
      <w:r>
        <w:rPr>
          <w:rFonts w:hint="eastAsia"/>
          <w:color w:val="auto"/>
          <w:highlight w:val="none"/>
        </w:rPr>
        <w:t>%，年终实际完成值是100%，指标完成率是100%，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pPr>
        <w:pStyle w:val="5"/>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）“三公经费”控制率指标完成情况分析</w:t>
      </w:r>
    </w:p>
    <w:p>
      <w:pPr>
        <w:ind w:firstLine="560"/>
        <w:rPr>
          <w:color w:val="auto"/>
          <w:highlight w:val="none"/>
        </w:rPr>
      </w:pPr>
      <w:r>
        <w:rPr>
          <w:rFonts w:hint="eastAsia"/>
          <w:color w:val="auto"/>
          <w:highlight w:val="none"/>
        </w:rPr>
        <w:t>“三公经费”控制率年初设定目标是=100%，年中绩效运行监控时完成值100%，年终实际完成值是100%，指标完成率是100%，</w:t>
      </w:r>
      <w:r>
        <w:rPr>
          <w:rFonts w:hint="eastAsia"/>
          <w:color w:val="auto"/>
          <w:highlight w:val="none"/>
          <w:lang w:val="en-US" w:eastAsia="zh-CN"/>
        </w:rPr>
        <w:t>达到保障公车正常运转的预期目标</w:t>
      </w:r>
      <w:r>
        <w:rPr>
          <w:rFonts w:hint="eastAsia"/>
          <w:color w:val="auto"/>
          <w:highlight w:val="none"/>
        </w:rPr>
        <w:t>。偏差原因：无偏差。</w:t>
      </w:r>
    </w:p>
    <w:p>
      <w:pPr>
        <w:pStyle w:val="5"/>
        <w:numPr>
          <w:ilvl w:val="0"/>
          <w:numId w:val="0"/>
        </w:num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三）保障职工数量指标完成</w:t>
      </w:r>
      <w:r>
        <w:rPr>
          <w:rFonts w:hint="eastAsia"/>
          <w:color w:val="auto"/>
          <w:highlight w:val="none"/>
          <w:lang w:eastAsia="zh-CN"/>
        </w:rPr>
        <w:t>情况分析</w:t>
      </w:r>
    </w:p>
    <w:p>
      <w:pPr>
        <w:ind w:firstLine="560"/>
        <w:rPr>
          <w:rFonts w:hint="eastAsia"/>
          <w:bCs/>
          <w:color w:val="auto"/>
          <w:highlight w:val="none"/>
        </w:rPr>
      </w:pPr>
      <w:r>
        <w:rPr>
          <w:rFonts w:hint="eastAsia"/>
          <w:bCs/>
          <w:color w:val="auto"/>
          <w:highlight w:val="none"/>
        </w:rPr>
        <w:t>保障职工数量年初设定目标≥</w:t>
      </w:r>
      <w:r>
        <w:rPr>
          <w:rFonts w:hint="eastAsia"/>
          <w:bCs/>
          <w:color w:val="auto"/>
          <w:highlight w:val="none"/>
          <w:lang w:val="en-US" w:eastAsia="zh-CN"/>
        </w:rPr>
        <w:t>283</w:t>
      </w:r>
      <w:r>
        <w:rPr>
          <w:rFonts w:hint="eastAsia"/>
          <w:bCs/>
          <w:color w:val="auto"/>
          <w:highlight w:val="none"/>
        </w:rPr>
        <w:t>人，年中绩效运行监控时完成值</w:t>
      </w:r>
      <w:r>
        <w:rPr>
          <w:rFonts w:hint="eastAsia"/>
          <w:bCs/>
          <w:color w:val="auto"/>
          <w:highlight w:val="none"/>
          <w:lang w:val="en-US" w:eastAsia="zh-CN"/>
        </w:rPr>
        <w:t>283</w:t>
      </w:r>
      <w:r>
        <w:rPr>
          <w:rFonts w:hint="eastAsia"/>
          <w:bCs/>
          <w:color w:val="auto"/>
          <w:highlight w:val="none"/>
        </w:rPr>
        <w:t>人，年终实际完成值是</w:t>
      </w:r>
      <w:r>
        <w:rPr>
          <w:rFonts w:hint="eastAsia"/>
          <w:bCs/>
          <w:color w:val="auto"/>
          <w:highlight w:val="none"/>
          <w:lang w:val="en-US" w:eastAsia="zh-CN"/>
        </w:rPr>
        <w:t>283</w:t>
      </w:r>
      <w:r>
        <w:rPr>
          <w:rFonts w:hint="eastAsia"/>
          <w:bCs/>
          <w:color w:val="auto"/>
          <w:highlight w:val="none"/>
        </w:rPr>
        <w:t>人，指标完成率是100%，</w:t>
      </w:r>
      <w:r>
        <w:rPr>
          <w:rFonts w:hint="eastAsia"/>
          <w:bCs/>
          <w:color w:val="auto"/>
          <w:highlight w:val="none"/>
          <w:lang w:val="en-US" w:eastAsia="zh-CN"/>
        </w:rPr>
        <w:t>达到了单位在职职工工资的按时足额发放，单位的正常</w:t>
      </w:r>
      <w:r>
        <w:rPr>
          <w:rFonts w:hint="eastAsia"/>
          <w:color w:val="auto"/>
          <w:highlight w:val="none"/>
          <w:lang w:val="en-US" w:eastAsia="zh-CN"/>
        </w:rPr>
        <w:t>运转，广大干部职工工作积极性提高的预期目标</w:t>
      </w:r>
      <w:r>
        <w:rPr>
          <w:rFonts w:hint="eastAsia"/>
          <w:bCs/>
          <w:color w:val="auto"/>
          <w:highlight w:val="none"/>
        </w:rPr>
        <w:t>。偏差原因：无偏差。</w:t>
      </w:r>
    </w:p>
    <w:p>
      <w:pPr>
        <w:pStyle w:val="5"/>
        <w:numPr>
          <w:ilvl w:val="0"/>
          <w:numId w:val="0"/>
        </w:num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四）购买番茄采收机数量指标完成</w:t>
      </w:r>
      <w:r>
        <w:rPr>
          <w:rFonts w:hint="eastAsia"/>
          <w:color w:val="auto"/>
          <w:highlight w:val="none"/>
          <w:lang w:eastAsia="zh-CN"/>
        </w:rPr>
        <w:t>情况分析</w:t>
      </w:r>
    </w:p>
    <w:p>
      <w:pPr>
        <w:ind w:firstLine="560"/>
        <w:rPr>
          <w:rFonts w:hint="eastAsia"/>
          <w:bCs/>
          <w:color w:val="auto"/>
          <w:highlight w:val="none"/>
        </w:rPr>
      </w:pPr>
      <w:r>
        <w:rPr>
          <w:rFonts w:hint="eastAsia"/>
          <w:color w:val="auto"/>
          <w:highlight w:val="none"/>
          <w:lang w:val="en-US" w:eastAsia="zh-CN"/>
        </w:rPr>
        <w:t>购买番茄采收机数量</w:t>
      </w:r>
      <w:r>
        <w:rPr>
          <w:rFonts w:hint="eastAsia"/>
          <w:bCs/>
          <w:color w:val="auto"/>
          <w:highlight w:val="none"/>
        </w:rPr>
        <w:t>年初设定目标是≥</w:t>
      </w:r>
      <w:r>
        <w:rPr>
          <w:rFonts w:hint="eastAsia"/>
          <w:bCs/>
          <w:color w:val="auto"/>
          <w:highlight w:val="none"/>
          <w:lang w:val="en-US" w:eastAsia="zh-CN"/>
        </w:rPr>
        <w:t>1辆</w:t>
      </w:r>
      <w:r>
        <w:rPr>
          <w:rFonts w:hint="eastAsia"/>
          <w:bCs/>
          <w:color w:val="auto"/>
          <w:highlight w:val="none"/>
        </w:rPr>
        <w:t>，年中绩效运行监控时完成值</w:t>
      </w:r>
      <w:r>
        <w:rPr>
          <w:rFonts w:hint="eastAsia"/>
          <w:bCs/>
          <w:color w:val="auto"/>
          <w:highlight w:val="none"/>
          <w:lang w:val="en-US" w:eastAsia="zh-CN"/>
        </w:rPr>
        <w:t>1辆</w:t>
      </w:r>
      <w:r>
        <w:rPr>
          <w:rFonts w:hint="eastAsia"/>
          <w:bCs/>
          <w:color w:val="auto"/>
          <w:highlight w:val="none"/>
        </w:rPr>
        <w:t>，年终实际完成值是</w:t>
      </w:r>
      <w:r>
        <w:rPr>
          <w:rFonts w:hint="eastAsia"/>
          <w:bCs/>
          <w:color w:val="auto"/>
          <w:highlight w:val="none"/>
          <w:lang w:val="en-US" w:eastAsia="zh-CN"/>
        </w:rPr>
        <w:t>1辆</w:t>
      </w:r>
      <w:r>
        <w:rPr>
          <w:rFonts w:hint="eastAsia"/>
          <w:bCs/>
          <w:color w:val="auto"/>
          <w:highlight w:val="none"/>
        </w:rPr>
        <w:t>，指标完成率是100%，</w:t>
      </w:r>
      <w:r>
        <w:rPr>
          <w:rFonts w:hint="eastAsia"/>
          <w:bCs/>
          <w:color w:val="auto"/>
          <w:highlight w:val="none"/>
          <w:lang w:val="en-US" w:eastAsia="zh-CN"/>
        </w:rPr>
        <w:t>达到了</w:t>
      </w:r>
      <w:r>
        <w:rPr>
          <w:rFonts w:hint="default"/>
          <w:color w:val="auto"/>
          <w:highlight w:val="none"/>
          <w:lang w:val="en-US" w:eastAsia="zh-CN"/>
        </w:rPr>
        <w:t>推动协比乃尔布呼</w:t>
      </w:r>
      <w:r>
        <w:rPr>
          <w:rFonts w:hint="eastAsia"/>
          <w:color w:val="auto"/>
          <w:highlight w:val="none"/>
          <w:lang w:val="en-US" w:eastAsia="zh-CN"/>
        </w:rPr>
        <w:t>镇农业发展</w:t>
      </w:r>
      <w:r>
        <w:rPr>
          <w:rFonts w:hint="default"/>
          <w:color w:val="auto"/>
          <w:highlight w:val="none"/>
          <w:lang w:val="en-US" w:eastAsia="zh-CN"/>
        </w:rPr>
        <w:t>，</w:t>
      </w:r>
      <w:r>
        <w:rPr>
          <w:rFonts w:hint="eastAsia"/>
          <w:color w:val="auto"/>
          <w:highlight w:val="none"/>
          <w:lang w:val="en-US" w:eastAsia="zh-CN"/>
        </w:rPr>
        <w:t>科学种植</w:t>
      </w:r>
      <w:r>
        <w:rPr>
          <w:rFonts w:hint="default"/>
          <w:color w:val="auto"/>
          <w:highlight w:val="none"/>
          <w:lang w:val="en-US" w:eastAsia="zh-CN"/>
        </w:rPr>
        <w:t>、合理布局、设施配套，为高产、优质、高效的生产打下坚实的基础。</w:t>
      </w:r>
      <w:r>
        <w:rPr>
          <w:rFonts w:hint="eastAsia"/>
          <w:bCs/>
          <w:color w:val="auto"/>
          <w:highlight w:val="none"/>
        </w:rPr>
        <w:t>偏差原因：无偏差。</w:t>
      </w:r>
    </w:p>
    <w:p>
      <w:pPr>
        <w:pStyle w:val="5"/>
        <w:numPr>
          <w:ilvl w:val="0"/>
          <w:numId w:val="0"/>
        </w:num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五）修建机耕道公路数指标完成</w:t>
      </w:r>
      <w:r>
        <w:rPr>
          <w:rFonts w:hint="eastAsia"/>
          <w:color w:val="auto"/>
          <w:highlight w:val="none"/>
          <w:lang w:eastAsia="zh-CN"/>
        </w:rPr>
        <w:t>情况分析</w:t>
      </w:r>
    </w:p>
    <w:p>
      <w:pPr>
        <w:ind w:firstLine="560"/>
        <w:rPr>
          <w:rFonts w:hint="eastAsia"/>
          <w:color w:val="auto"/>
          <w:highlight w:val="none"/>
        </w:rPr>
      </w:pPr>
      <w:r>
        <w:rPr>
          <w:rFonts w:hint="eastAsia"/>
          <w:color w:val="auto"/>
          <w:highlight w:val="none"/>
          <w:lang w:val="en-US" w:eastAsia="zh-CN"/>
        </w:rPr>
        <w:t>修建机耕道公路数</w:t>
      </w:r>
      <w:r>
        <w:rPr>
          <w:rFonts w:hint="eastAsia"/>
          <w:bCs/>
          <w:color w:val="auto"/>
          <w:highlight w:val="none"/>
        </w:rPr>
        <w:t>年初设定目标是≥</w:t>
      </w:r>
      <w:r>
        <w:rPr>
          <w:rFonts w:hint="eastAsia"/>
          <w:bCs/>
          <w:color w:val="auto"/>
          <w:highlight w:val="none"/>
          <w:lang w:val="en-US" w:eastAsia="zh-CN"/>
        </w:rPr>
        <w:t>22公里</w:t>
      </w:r>
      <w:r>
        <w:rPr>
          <w:rFonts w:hint="eastAsia"/>
          <w:bCs/>
          <w:color w:val="auto"/>
          <w:highlight w:val="none"/>
        </w:rPr>
        <w:t>，年中绩效运行监控时完成值</w:t>
      </w:r>
      <w:r>
        <w:rPr>
          <w:rFonts w:hint="eastAsia"/>
          <w:bCs/>
          <w:color w:val="auto"/>
          <w:highlight w:val="none"/>
          <w:lang w:val="en-US" w:eastAsia="zh-CN"/>
        </w:rPr>
        <w:t>22公里</w:t>
      </w:r>
      <w:r>
        <w:rPr>
          <w:rFonts w:hint="eastAsia"/>
          <w:bCs/>
          <w:color w:val="auto"/>
          <w:highlight w:val="none"/>
        </w:rPr>
        <w:t>，年终实际完成值是</w:t>
      </w:r>
      <w:r>
        <w:rPr>
          <w:rFonts w:hint="eastAsia"/>
          <w:bCs/>
          <w:color w:val="auto"/>
          <w:highlight w:val="none"/>
          <w:lang w:val="en-US" w:eastAsia="zh-CN"/>
        </w:rPr>
        <w:t>22公里</w:t>
      </w:r>
      <w:r>
        <w:rPr>
          <w:rFonts w:hint="eastAsia"/>
          <w:bCs/>
          <w:color w:val="auto"/>
          <w:highlight w:val="none"/>
        </w:rPr>
        <w:t>，指标完成率是100%，</w:t>
      </w:r>
      <w:r>
        <w:rPr>
          <w:rFonts w:hint="eastAsia"/>
          <w:bCs/>
          <w:color w:val="auto"/>
          <w:highlight w:val="none"/>
          <w:lang w:val="en-US" w:eastAsia="zh-CN"/>
        </w:rPr>
        <w:t>达到了促进农业增收，改善农业生产环境，提高了农业生产率</w:t>
      </w:r>
      <w:r>
        <w:rPr>
          <w:rFonts w:hint="eastAsia"/>
          <w:color w:val="auto"/>
          <w:highlight w:val="none"/>
          <w:lang w:val="en-US" w:eastAsia="zh-CN"/>
        </w:rPr>
        <w:t>的预期目标</w:t>
      </w:r>
      <w:r>
        <w:rPr>
          <w:rFonts w:hint="eastAsia"/>
          <w:bCs/>
          <w:color w:val="auto"/>
          <w:highlight w:val="none"/>
        </w:rPr>
        <w:t>。偏差原因：无偏差。</w:t>
      </w:r>
    </w:p>
    <w:p>
      <w:pPr>
        <w:pStyle w:val="5"/>
        <w:numPr>
          <w:ilvl w:val="0"/>
          <w:numId w:val="0"/>
        </w:numPr>
        <w:bidi w:val="0"/>
        <w:rPr>
          <w:rFonts w:hint="default" w:eastAsia="仿宋"/>
          <w:color w:val="auto"/>
          <w:highlight w:val="none"/>
          <w:lang w:val="en-US" w:eastAsia="zh-CN"/>
        </w:rPr>
      </w:pPr>
      <w:r>
        <w:rPr>
          <w:rFonts w:hint="eastAsia"/>
          <w:bCs/>
          <w:color w:val="auto"/>
          <w:highlight w:val="none"/>
          <w:lang w:eastAsia="zh-CN"/>
        </w:rPr>
        <w:t>（</w:t>
      </w:r>
      <w:r>
        <w:rPr>
          <w:rFonts w:hint="eastAsia"/>
          <w:bCs/>
          <w:color w:val="auto"/>
          <w:highlight w:val="none"/>
          <w:lang w:val="en-US" w:eastAsia="zh-CN"/>
        </w:rPr>
        <w:t>六）</w:t>
      </w:r>
      <w:r>
        <w:rPr>
          <w:rFonts w:hint="eastAsia"/>
          <w:color w:val="auto"/>
          <w:highlight w:val="none"/>
          <w:lang w:val="en-US" w:eastAsia="zh-CN"/>
        </w:rPr>
        <w:t>为民办实事件事指标完成情况分析</w:t>
      </w:r>
    </w:p>
    <w:p>
      <w:pPr>
        <w:ind w:firstLine="560"/>
        <w:rPr>
          <w:bCs/>
          <w:color w:val="auto"/>
          <w:highlight w:val="none"/>
        </w:rPr>
      </w:pPr>
      <w:r>
        <w:rPr>
          <w:rFonts w:hint="eastAsia"/>
          <w:bCs/>
          <w:color w:val="auto"/>
          <w:highlight w:val="none"/>
        </w:rPr>
        <w:t>为民</w:t>
      </w:r>
      <w:r>
        <w:rPr>
          <w:rFonts w:hint="eastAsia"/>
          <w:bCs/>
          <w:color w:val="auto"/>
          <w:highlight w:val="none"/>
          <w:lang w:eastAsia="zh-CN"/>
        </w:rPr>
        <w:t>办实事</w:t>
      </w:r>
      <w:r>
        <w:rPr>
          <w:rFonts w:hint="eastAsia"/>
          <w:bCs/>
          <w:color w:val="auto"/>
          <w:highlight w:val="none"/>
        </w:rPr>
        <w:t>数量年初设定目标是≥</w:t>
      </w:r>
      <w:r>
        <w:rPr>
          <w:rFonts w:hint="eastAsia"/>
          <w:bCs/>
          <w:color w:val="auto"/>
          <w:highlight w:val="none"/>
          <w:lang w:val="en-US" w:eastAsia="zh-CN"/>
        </w:rPr>
        <w:t>60</w:t>
      </w:r>
      <w:r>
        <w:rPr>
          <w:rFonts w:hint="eastAsia"/>
          <w:bCs/>
          <w:color w:val="auto"/>
          <w:highlight w:val="none"/>
        </w:rPr>
        <w:t>件，年中绩效运行监控时完成值</w:t>
      </w:r>
      <w:r>
        <w:rPr>
          <w:rFonts w:hint="eastAsia"/>
          <w:bCs/>
          <w:color w:val="auto"/>
          <w:highlight w:val="none"/>
          <w:lang w:val="en-US" w:eastAsia="zh-CN"/>
        </w:rPr>
        <w:t>20</w:t>
      </w:r>
      <w:r>
        <w:rPr>
          <w:rFonts w:hint="eastAsia"/>
          <w:bCs/>
          <w:color w:val="auto"/>
          <w:highlight w:val="none"/>
        </w:rPr>
        <w:t>件，年终实际完成值是</w:t>
      </w:r>
      <w:r>
        <w:rPr>
          <w:rFonts w:hint="eastAsia"/>
          <w:bCs/>
          <w:color w:val="auto"/>
          <w:highlight w:val="none"/>
          <w:lang w:val="en-US" w:eastAsia="zh-CN"/>
        </w:rPr>
        <w:t>60</w:t>
      </w:r>
      <w:r>
        <w:rPr>
          <w:rFonts w:hint="eastAsia"/>
          <w:bCs/>
          <w:color w:val="auto"/>
          <w:highlight w:val="none"/>
        </w:rPr>
        <w:t>件，指标完成率是100%，</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pPr>
        <w:pStyle w:val="5"/>
        <w:numPr>
          <w:ilvl w:val="0"/>
          <w:numId w:val="0"/>
        </w:numPr>
        <w:bidi w:val="0"/>
        <w:rPr>
          <w:color w:val="auto"/>
          <w:highlight w:val="none"/>
        </w:rPr>
      </w:pPr>
      <w:r>
        <w:rPr>
          <w:rFonts w:hint="eastAsia"/>
          <w:color w:val="auto"/>
          <w:highlight w:val="none"/>
          <w:lang w:eastAsia="zh-CN"/>
        </w:rPr>
        <w:t>（</w:t>
      </w:r>
      <w:r>
        <w:rPr>
          <w:rFonts w:hint="eastAsia"/>
          <w:color w:val="auto"/>
          <w:highlight w:val="none"/>
          <w:lang w:val="en-US" w:eastAsia="zh-CN"/>
        </w:rPr>
        <w:t>七）项目实施及时率指标完成情况分析</w:t>
      </w:r>
    </w:p>
    <w:p>
      <w:pPr>
        <w:ind w:firstLine="560"/>
        <w:rPr>
          <w:rFonts w:hint="eastAsia"/>
          <w:color w:val="auto"/>
          <w:highlight w:val="none"/>
        </w:rPr>
      </w:pPr>
      <w:r>
        <w:rPr>
          <w:rFonts w:hint="eastAsia"/>
          <w:color w:val="auto"/>
          <w:highlight w:val="none"/>
        </w:rPr>
        <w:t>项目实施及时率年初设定目标是≥95%，年中绩效运行监控时完成值95%，年终实际完成值是</w:t>
      </w:r>
      <w:r>
        <w:rPr>
          <w:rFonts w:hint="eastAsia"/>
          <w:color w:val="auto"/>
          <w:highlight w:val="none"/>
          <w:lang w:val="en-US" w:eastAsia="zh-CN"/>
        </w:rPr>
        <w:t>100</w:t>
      </w:r>
      <w:r>
        <w:rPr>
          <w:rFonts w:hint="eastAsia"/>
          <w:color w:val="auto"/>
          <w:highlight w:val="none"/>
        </w:rPr>
        <w:t>%，指标完成率是100%，</w:t>
      </w:r>
      <w:r>
        <w:rPr>
          <w:rFonts w:hint="eastAsia"/>
          <w:color w:val="auto"/>
          <w:highlight w:val="none"/>
          <w:lang w:val="en-US" w:eastAsia="zh-CN"/>
        </w:rPr>
        <w:t>达到项目及时实施，能按期完成的预期目标</w:t>
      </w:r>
      <w:r>
        <w:rPr>
          <w:rFonts w:hint="eastAsia"/>
          <w:color w:val="auto"/>
          <w:highlight w:val="none"/>
        </w:rPr>
        <w:t>。偏差原因：无偏差。</w:t>
      </w:r>
    </w:p>
    <w:p>
      <w:pPr>
        <w:pStyle w:val="5"/>
        <w:numPr>
          <w:ilvl w:val="0"/>
          <w:numId w:val="0"/>
        </w:numPr>
        <w:bidi w:val="0"/>
        <w:rPr>
          <w:color w:val="auto"/>
          <w:highlight w:val="none"/>
        </w:rPr>
      </w:pPr>
      <w:r>
        <w:rPr>
          <w:rFonts w:hint="eastAsia"/>
          <w:color w:val="auto"/>
          <w:highlight w:val="none"/>
          <w:lang w:eastAsia="zh-CN"/>
        </w:rPr>
        <w:t>（</w:t>
      </w:r>
      <w:r>
        <w:rPr>
          <w:rFonts w:hint="eastAsia"/>
          <w:color w:val="auto"/>
          <w:highlight w:val="none"/>
          <w:lang w:val="en-US" w:eastAsia="zh-CN"/>
        </w:rPr>
        <w:t>八）受益行政村社区数量指标完成情况分析</w:t>
      </w:r>
    </w:p>
    <w:p>
      <w:pPr>
        <w:ind w:firstLine="560"/>
        <w:rPr>
          <w:rFonts w:hint="eastAsia"/>
          <w:color w:val="auto"/>
          <w:highlight w:val="none"/>
        </w:rPr>
      </w:pPr>
      <w:r>
        <w:rPr>
          <w:rFonts w:hint="eastAsia"/>
          <w:color w:val="auto"/>
          <w:highlight w:val="none"/>
        </w:rPr>
        <w:t>受益行政村社区数量年初设定目标是≥</w:t>
      </w:r>
      <w:r>
        <w:rPr>
          <w:rFonts w:hint="eastAsia"/>
          <w:color w:val="auto"/>
          <w:highlight w:val="none"/>
          <w:lang w:val="en-US" w:eastAsia="zh-CN"/>
        </w:rPr>
        <w:t>6个</w:t>
      </w:r>
      <w:r>
        <w:rPr>
          <w:rFonts w:hint="eastAsia"/>
          <w:color w:val="auto"/>
          <w:highlight w:val="none"/>
        </w:rPr>
        <w:t>，年中绩效运行监控时完成值</w:t>
      </w:r>
      <w:r>
        <w:rPr>
          <w:rFonts w:hint="eastAsia"/>
          <w:color w:val="auto"/>
          <w:highlight w:val="none"/>
          <w:lang w:val="en-US" w:eastAsia="zh-CN"/>
        </w:rPr>
        <w:t>6个</w:t>
      </w:r>
      <w:r>
        <w:rPr>
          <w:rFonts w:hint="eastAsia"/>
          <w:color w:val="auto"/>
          <w:highlight w:val="none"/>
        </w:rPr>
        <w:t>，年终实际完成值是</w:t>
      </w:r>
      <w:r>
        <w:rPr>
          <w:rFonts w:hint="eastAsia"/>
          <w:color w:val="auto"/>
          <w:highlight w:val="none"/>
          <w:lang w:val="en-US" w:eastAsia="zh-CN"/>
        </w:rPr>
        <w:t>100</w:t>
      </w:r>
      <w:r>
        <w:rPr>
          <w:rFonts w:hint="eastAsia"/>
          <w:color w:val="auto"/>
          <w:highlight w:val="none"/>
        </w:rPr>
        <w:t>%，指标完成率是100%，</w:t>
      </w:r>
      <w:r>
        <w:rPr>
          <w:rFonts w:hint="eastAsia"/>
          <w:color w:val="auto"/>
          <w:highlight w:val="none"/>
          <w:lang w:val="en-US" w:eastAsia="zh-CN"/>
        </w:rPr>
        <w:t>达到项目及时实施，能按期完成的预期目标</w:t>
      </w:r>
      <w:r>
        <w:rPr>
          <w:rFonts w:hint="eastAsia"/>
          <w:color w:val="auto"/>
          <w:highlight w:val="none"/>
        </w:rPr>
        <w:t>。偏差原因：无偏差。</w:t>
      </w:r>
    </w:p>
    <w:p>
      <w:pPr>
        <w:pStyle w:val="5"/>
        <w:numPr>
          <w:ilvl w:val="0"/>
          <w:numId w:val="0"/>
        </w:numPr>
        <w:bidi w:val="0"/>
        <w:rPr>
          <w:rFonts w:hint="eastAsia"/>
          <w:color w:val="auto"/>
          <w:highlight w:val="none"/>
          <w:lang w:val="en-US" w:eastAsia="zh-CN"/>
        </w:rPr>
      </w:pPr>
      <w:r>
        <w:rPr>
          <w:rFonts w:hint="eastAsia"/>
          <w:color w:val="auto"/>
          <w:highlight w:val="none"/>
          <w:lang w:val="en-US" w:eastAsia="zh-CN"/>
        </w:rPr>
        <w:t>（九）</w:t>
      </w:r>
      <w:r>
        <w:rPr>
          <w:rFonts w:hint="eastAsia"/>
          <w:color w:val="auto"/>
          <w:highlight w:val="none"/>
        </w:rPr>
        <w:t>受</w:t>
      </w:r>
      <w:r>
        <w:rPr>
          <w:rFonts w:hint="eastAsia"/>
          <w:color w:val="auto"/>
          <w:highlight w:val="none"/>
          <w:lang w:val="en-US" w:eastAsia="zh-CN"/>
        </w:rPr>
        <w:t>益群众满意度指标完成情况分析</w:t>
      </w:r>
    </w:p>
    <w:p>
      <w:pPr>
        <w:ind w:firstLine="560"/>
        <w:rPr>
          <w:bCs/>
          <w:color w:val="auto"/>
          <w:highlight w:val="none"/>
        </w:rPr>
      </w:pPr>
      <w:r>
        <w:rPr>
          <w:rFonts w:hint="eastAsia"/>
          <w:color w:val="auto"/>
          <w:highlight w:val="none"/>
        </w:rPr>
        <w:t>受</w:t>
      </w:r>
      <w:r>
        <w:rPr>
          <w:rFonts w:hint="eastAsia"/>
          <w:bCs/>
          <w:color w:val="auto"/>
          <w:highlight w:val="none"/>
          <w:lang w:val="en-US" w:eastAsia="zh-CN"/>
        </w:rPr>
        <w:t>益群众</w:t>
      </w:r>
      <w:r>
        <w:rPr>
          <w:rFonts w:hint="eastAsia"/>
          <w:bCs/>
          <w:color w:val="auto"/>
          <w:highlight w:val="none"/>
        </w:rPr>
        <w:t>满意度年初设定目标是≥95%，年中绩效运行监控时完成值未达监控节点，年终实际完成值是95%，指标完成率是100%，</w:t>
      </w:r>
      <w:r>
        <w:rPr>
          <w:rFonts w:hint="eastAsia"/>
          <w:color w:val="auto"/>
          <w:highlight w:val="none"/>
          <w:lang w:val="en-US" w:eastAsia="zh-CN"/>
        </w:rPr>
        <w:t>达到提高群众满意度，调动群众积极性预期目标</w:t>
      </w:r>
      <w:r>
        <w:rPr>
          <w:rFonts w:hint="eastAsia"/>
          <w:bCs/>
          <w:color w:val="auto"/>
          <w:highlight w:val="none"/>
        </w:rPr>
        <w:t>。偏差原因：无偏差。</w:t>
      </w:r>
    </w:p>
    <w:p>
      <w:pPr>
        <w:pStyle w:val="4"/>
        <w:numPr>
          <w:ilvl w:val="0"/>
          <w:numId w:val="0"/>
        </w:numPr>
        <w:bidi w:val="0"/>
        <w:ind w:firstLine="960" w:firstLineChars="300"/>
        <w:rPr>
          <w:rFonts w:hint="default"/>
          <w:color w:val="auto"/>
          <w:highlight w:val="none"/>
          <w:lang w:val="en-US"/>
        </w:rPr>
      </w:pPr>
      <w:r>
        <w:rPr>
          <w:rFonts w:hint="eastAsia"/>
          <w:color w:val="auto"/>
          <w:highlight w:val="none"/>
          <w:lang w:val="en-US" w:eastAsia="zh-CN"/>
        </w:rPr>
        <w:t>四、评价结论</w:t>
      </w:r>
    </w:p>
    <w:p>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pPr>
        <w:ind w:firstLine="840" w:firstLineChars="300"/>
        <w:rPr>
          <w:rFonts w:hint="default"/>
          <w:bCs/>
          <w:color w:val="auto"/>
          <w:highlight w:val="none"/>
          <w:lang w:val="en-US" w:eastAsia="zh-CN"/>
        </w:rPr>
      </w:pPr>
      <w:r>
        <w:rPr>
          <w:rFonts w:hint="default"/>
          <w:bCs/>
          <w:color w:val="auto"/>
          <w:highlight w:val="none"/>
          <w:lang w:val="en-US" w:eastAsia="zh-CN"/>
        </w:rPr>
        <w:t>一是强化组织保障。先后召开党委会议、巩固拓展脱贫攻坚与乡村振兴领导小组会议7次，对乡村振兴工作进行安排部署。落实镇、村“两级书记”一起抓机制，明确工作任务，压实各级责任。为镇乡村振兴办配备人员10名，</w:t>
      </w:r>
      <w:r>
        <w:rPr>
          <w:rFonts w:hint="eastAsia"/>
          <w:bCs/>
          <w:color w:val="auto"/>
          <w:highlight w:val="none"/>
          <w:lang w:val="en-US" w:eastAsia="zh-CN"/>
        </w:rPr>
        <w:t>2</w:t>
      </w:r>
      <w:r>
        <w:rPr>
          <w:rFonts w:hint="default"/>
          <w:bCs/>
          <w:color w:val="auto"/>
          <w:highlight w:val="none"/>
          <w:lang w:val="en-US" w:eastAsia="zh-CN"/>
        </w:rPr>
        <w:t>个村均成立了乡村振兴站，配备人员</w:t>
      </w:r>
      <w:r>
        <w:rPr>
          <w:rFonts w:hint="eastAsia"/>
          <w:bCs/>
          <w:color w:val="auto"/>
          <w:highlight w:val="none"/>
          <w:lang w:val="en-US" w:eastAsia="zh-CN"/>
        </w:rPr>
        <w:t>8</w:t>
      </w:r>
      <w:r>
        <w:rPr>
          <w:rFonts w:hint="default"/>
          <w:bCs/>
          <w:color w:val="auto"/>
          <w:highlight w:val="none"/>
          <w:lang w:val="en-US" w:eastAsia="zh-CN"/>
        </w:rPr>
        <w:t>名。二是将防返贫动态监测帮扶工作抓在平时、严在日常，组织开展专项培训5次。聚焦“一收入、两不愁、三保障、一饮水安全”等重要指标，全覆盖入户走访摸排，利用升国旗、微信群、显眼位置张贴宣传单等多种形式宣传防返贫动态监测和帮扶工作，张贴《防止返贫</w:t>
      </w:r>
      <w:r>
        <w:rPr>
          <w:rFonts w:hint="eastAsia"/>
          <w:bCs/>
          <w:color w:val="auto"/>
          <w:highlight w:val="none"/>
          <w:lang w:val="en-US" w:eastAsia="zh-CN"/>
        </w:rPr>
        <w:t>监测</w:t>
      </w:r>
      <w:r>
        <w:rPr>
          <w:rFonts w:hint="default"/>
          <w:bCs/>
          <w:color w:val="auto"/>
          <w:highlight w:val="none"/>
          <w:lang w:val="en-US" w:eastAsia="zh-CN"/>
        </w:rPr>
        <w:t>对象申报政策明白卡》23张。三是广泛宣传小额信贷，使脱贫人口掌握贷款相关政策。四是落实水库移民后期扶持政策。定期组织镇、村两级干部对水库移民进行入户走访，积极向移民宣传党和国家的移民后期扶持政策。五是扎实做好学生资助工作，</w:t>
      </w:r>
      <w:r>
        <w:rPr>
          <w:rFonts w:hint="eastAsia"/>
          <w:bCs/>
          <w:color w:val="auto"/>
          <w:highlight w:val="none"/>
          <w:lang w:val="en-US" w:eastAsia="zh-CN"/>
        </w:rPr>
        <w:t>截至现在，</w:t>
      </w:r>
      <w:r>
        <w:rPr>
          <w:rFonts w:hint="default"/>
          <w:bCs/>
          <w:color w:val="auto"/>
          <w:highlight w:val="none"/>
          <w:lang w:val="en-US" w:eastAsia="zh-CN"/>
        </w:rPr>
        <w:t>为在内地上大学监测户发放援疆助学金发放11人，每人6000元，共计66000元。六是持续推进卫生厕改工作，</w:t>
      </w:r>
      <w:r>
        <w:rPr>
          <w:rFonts w:hint="eastAsia"/>
          <w:bCs/>
          <w:color w:val="auto"/>
          <w:highlight w:val="none"/>
          <w:lang w:val="en-US" w:eastAsia="zh-CN"/>
        </w:rPr>
        <w:t>截至现在，</w:t>
      </w:r>
      <w:r>
        <w:rPr>
          <w:rFonts w:hint="default"/>
          <w:bCs/>
          <w:color w:val="auto"/>
          <w:highlight w:val="none"/>
          <w:lang w:val="en-US" w:eastAsia="zh-CN"/>
        </w:rPr>
        <w:t>镇党委召开4次专题会、调度会安排部署卫生厕改工作，乡村振兴办及领导小组对各村问题排查整改工作进展情况进行实地巡查督导。七是乡村产业振兴势头向好。各村先后召开专题会议3次积极谋划项目，实施产业类项目4个。2024年纳入</w:t>
      </w:r>
      <w:r>
        <w:rPr>
          <w:rFonts w:hint="eastAsia"/>
          <w:bCs/>
          <w:color w:val="auto"/>
          <w:highlight w:val="none"/>
          <w:lang w:val="en-US" w:eastAsia="zh-CN"/>
        </w:rPr>
        <w:t>协镇</w:t>
      </w:r>
      <w:r>
        <w:rPr>
          <w:rFonts w:hint="default"/>
          <w:bCs/>
          <w:color w:val="auto"/>
          <w:highlight w:val="none"/>
          <w:lang w:val="en-US" w:eastAsia="zh-CN"/>
        </w:rPr>
        <w:t>2023年县级巩固脱贫攻坚成果和乡村振兴项目库</w:t>
      </w:r>
      <w:r>
        <w:rPr>
          <w:rFonts w:hint="eastAsia"/>
          <w:bCs/>
          <w:color w:val="auto"/>
          <w:highlight w:val="none"/>
          <w:lang w:val="en-US" w:eastAsia="zh-CN"/>
        </w:rPr>
        <w:t>2</w:t>
      </w:r>
      <w:r>
        <w:rPr>
          <w:rFonts w:hint="default"/>
          <w:bCs/>
          <w:color w:val="auto"/>
          <w:highlight w:val="none"/>
          <w:lang w:val="en-US" w:eastAsia="zh-CN"/>
        </w:rPr>
        <w:t>个项目。打好“文化旅游</w:t>
      </w:r>
      <w:r>
        <w:rPr>
          <w:rFonts w:hint="eastAsia"/>
          <w:bCs/>
          <w:color w:val="auto"/>
          <w:highlight w:val="none"/>
          <w:lang w:val="en-US" w:eastAsia="zh-CN"/>
        </w:rPr>
        <w:t>镇</w:t>
      </w:r>
      <w:r>
        <w:rPr>
          <w:rFonts w:hint="default"/>
          <w:bCs/>
          <w:color w:val="auto"/>
          <w:highlight w:val="none"/>
          <w:lang w:val="en-US" w:eastAsia="zh-CN"/>
        </w:rPr>
        <w:t>”的品牌，整合民俗文化巷、民俗文化馆、</w:t>
      </w:r>
      <w:r>
        <w:rPr>
          <w:rFonts w:hint="eastAsia"/>
          <w:bCs/>
          <w:color w:val="auto"/>
          <w:highlight w:val="none"/>
          <w:lang w:val="en-US" w:eastAsia="zh-CN"/>
        </w:rPr>
        <w:t>儿童乐园</w:t>
      </w:r>
      <w:r>
        <w:rPr>
          <w:rFonts w:hint="default"/>
          <w:bCs/>
          <w:color w:val="auto"/>
          <w:highlight w:val="none"/>
          <w:lang w:val="en-US" w:eastAsia="zh-CN"/>
        </w:rPr>
        <w:t>、观光采摘等资源，组织开展大型活动5次，每周开巴扎，助力乡村振兴。八是加强扶贫资产管理。建立《2013年</w:t>
      </w:r>
      <w:r>
        <w:rPr>
          <w:rFonts w:hint="eastAsia"/>
          <w:bCs/>
          <w:color w:val="auto"/>
          <w:highlight w:val="none"/>
          <w:lang w:val="en-US" w:eastAsia="zh-CN"/>
        </w:rPr>
        <w:t>—</w:t>
      </w:r>
      <w:r>
        <w:rPr>
          <w:rFonts w:hint="default"/>
          <w:bCs/>
          <w:color w:val="auto"/>
          <w:highlight w:val="none"/>
          <w:lang w:val="en-US" w:eastAsia="zh-CN"/>
        </w:rPr>
        <w:t>2022年项目统计台账》，按照经营性、公益性、到户类资产，分类建立资产台账，并根据项目具体情况建立运营方案、风险防控方案、收益分配方案、后期管护方案，对经营性资产加强运营管理，完善公益类、到户类资产后期管护制度。</w:t>
      </w:r>
      <w:r>
        <w:rPr>
          <w:rFonts w:hint="eastAsia"/>
          <w:color w:val="auto"/>
          <w:highlight w:val="none"/>
          <w:lang w:val="en-US" w:eastAsia="zh-CN"/>
        </w:rPr>
        <w:t>资金运行维护决策正确，资金管理规范，项目管理到位，政策执行有力，有效发挥了财政资金的使用效率。</w:t>
      </w:r>
    </w:p>
    <w:p>
      <w:pPr>
        <w:pStyle w:val="4"/>
        <w:bidi w:val="0"/>
        <w:ind w:left="0" w:leftChars="0" w:firstLine="0" w:firstLineChars="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pStyle w:val="5"/>
        <w:numPr>
          <w:ilvl w:val="0"/>
          <w:numId w:val="1"/>
        </w:numPr>
        <w:ind w:firstLine="643"/>
        <w:rPr>
          <w:color w:val="auto"/>
          <w:highlight w:val="none"/>
        </w:rPr>
      </w:pPr>
      <w:bookmarkStart w:id="5" w:name="_Toc29546_WPSOffice_Level1"/>
      <w:r>
        <w:rPr>
          <w:rFonts w:hint="eastAsia"/>
          <w:color w:val="auto"/>
          <w:highlight w:val="none"/>
        </w:rPr>
        <w:t>存在的问题及原因分析</w:t>
      </w:r>
    </w:p>
    <w:p>
      <w:pPr>
        <w:pStyle w:val="4"/>
        <w:ind w:firstLine="643"/>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1.</w:t>
      </w:r>
      <w:r>
        <w:rPr>
          <w:rFonts w:hint="eastAsia" w:ascii="Times New Roman" w:hAnsi="Times New Roman" w:eastAsia="仿宋_GB2312" w:cs="Times New Roman"/>
          <w:b w:val="0"/>
          <w:color w:val="auto"/>
          <w:kern w:val="2"/>
          <w:sz w:val="28"/>
          <w:szCs w:val="24"/>
          <w:highlight w:val="none"/>
          <w:u w:color="000000"/>
          <w:lang w:val="zh-TW" w:eastAsia="zh-TW" w:bidi="ar-SA"/>
        </w:rPr>
        <w:t>单位分工职责不明确；</w:t>
      </w:r>
    </w:p>
    <w:p>
      <w:pPr>
        <w:pStyle w:val="4"/>
        <w:ind w:firstLine="643"/>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2.</w:t>
      </w:r>
      <w:r>
        <w:rPr>
          <w:rFonts w:hint="eastAsia" w:ascii="Times New Roman" w:hAnsi="Times New Roman" w:eastAsia="仿宋_GB2312" w:cs="Times New Roman"/>
          <w:b w:val="0"/>
          <w:color w:val="auto"/>
          <w:kern w:val="2"/>
          <w:sz w:val="28"/>
          <w:szCs w:val="24"/>
          <w:highlight w:val="none"/>
          <w:u w:color="000000"/>
          <w:lang w:val="zh-TW" w:eastAsia="zh-TW" w:bidi="ar-SA"/>
        </w:rPr>
        <w:t>项目审批程序复杂，建设用地指标少、审批难，因各项手续多、周期长，在一定程度上影响了项目建设和资金支付进度；</w:t>
      </w:r>
    </w:p>
    <w:p>
      <w:pPr>
        <w:pStyle w:val="4"/>
        <w:ind w:firstLine="643"/>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3.</w:t>
      </w:r>
      <w:r>
        <w:rPr>
          <w:rFonts w:hint="eastAsia" w:ascii="Times New Roman" w:hAnsi="Times New Roman" w:eastAsia="仿宋_GB2312" w:cs="Times New Roman"/>
          <w:b w:val="0"/>
          <w:color w:val="auto"/>
          <w:kern w:val="2"/>
          <w:sz w:val="28"/>
          <w:szCs w:val="24"/>
          <w:highlight w:val="none"/>
          <w:u w:color="000000"/>
          <w:lang w:val="zh-TW" w:eastAsia="zh-TW" w:bidi="ar-SA"/>
        </w:rPr>
        <w:t>社会化融资渠道较为单一，社会资本投资由于受投资额度大、盈利能力弱、回收周期长、城镇人口少、小城镇规模小等因素的制约，参与新型城镇化建设项目的投资积极性不足。</w:t>
      </w:r>
    </w:p>
    <w:p>
      <w:pPr>
        <w:pStyle w:val="4"/>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p>
    <w:p>
      <w:pPr>
        <w:bidi w:val="0"/>
        <w:rPr>
          <w:rFonts w:hint="default" w:eastAsia="仿宋_GB2312"/>
          <w:color w:val="auto"/>
          <w:highlight w:val="none"/>
          <w:lang w:val="en-US" w:eastAsia="zh-CN"/>
        </w:rPr>
      </w:pPr>
      <w:r>
        <w:rPr>
          <w:rFonts w:hint="eastAsia"/>
          <w:color w:val="auto"/>
          <w:highlight w:val="none"/>
          <w:lang w:val="en-US" w:eastAsia="zh-CN"/>
        </w:rPr>
        <w:t>1、制定明确的岗位职责和工作内容、制定清晰的工作流程和标准可以帮助更好地理解任务分配和协作方式。建立明确的沟通渠道可以使各个岗位之间的沟通更顺畅提高工作质量和效率。</w:t>
      </w:r>
    </w:p>
    <w:p>
      <w:pPr>
        <w:bidi w:val="0"/>
        <w:rPr>
          <w:rFonts w:hint="eastAsia"/>
          <w:color w:val="auto"/>
          <w:highlight w:val="none"/>
          <w:lang w:val="en-US" w:eastAsia="zh-CN"/>
        </w:rPr>
      </w:pPr>
      <w:r>
        <w:rPr>
          <w:rFonts w:hint="eastAsia"/>
          <w:color w:val="auto"/>
          <w:highlight w:val="none"/>
          <w:lang w:val="en-US" w:eastAsia="zh-CN"/>
        </w:rPr>
        <w:t>2、通过优化审批环节，减少不必要的审批步骤，缩短审批时间。通过审批人员的业务素质和审批技能，提高审批质量和效率</w:t>
      </w:r>
      <w:r>
        <w:rPr>
          <w:rFonts w:hint="eastAsia"/>
          <w:color w:val="auto"/>
          <w:highlight w:val="none"/>
          <w:lang w:val="zh-TW" w:eastAsia="zh-TW"/>
        </w:rPr>
        <w:t>。</w:t>
      </w:r>
      <w:r>
        <w:rPr>
          <w:rFonts w:hint="eastAsia"/>
          <w:color w:val="auto"/>
          <w:highlight w:val="none"/>
          <w:lang w:val="en-US" w:eastAsia="zh-CN"/>
        </w:rPr>
        <w:t xml:space="preserve"> 明确审批条件和要求，减少审批结果的不确定性和争议性。加大对项目审批的监管力度，建立健全审批监督机制，对涉及多个部门的审批事项进行联合审批，减少审批环节和时间。             </w:t>
      </w:r>
    </w:p>
    <w:p>
      <w:pPr>
        <w:bidi w:val="0"/>
        <w:rPr>
          <w:rFonts w:hint="default"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b w:val="0"/>
          <w:color w:val="auto"/>
          <w:kern w:val="2"/>
          <w:sz w:val="28"/>
          <w:szCs w:val="24"/>
          <w:highlight w:val="none"/>
          <w:u w:color="000000"/>
          <w:lang w:val="en-US" w:eastAsia="zh-CN" w:bidi="ar-SA"/>
        </w:rPr>
        <w:t>3</w:t>
      </w:r>
      <w:r>
        <w:rPr>
          <w:rFonts w:hint="eastAsia" w:ascii="Times New Roman" w:hAnsi="Times New Roman" w:eastAsia="仿宋_GB2312" w:cs="Times New Roman"/>
          <w:b w:val="0"/>
          <w:color w:val="auto"/>
          <w:kern w:val="2"/>
          <w:sz w:val="28"/>
          <w:szCs w:val="24"/>
          <w:highlight w:val="none"/>
          <w:u w:color="000000"/>
          <w:lang w:val="zh-TW" w:eastAsia="zh-TW" w:bidi="ar-SA"/>
        </w:rPr>
        <w:t>、</w:t>
      </w:r>
      <w:r>
        <w:rPr>
          <w:rFonts w:hint="eastAsia" w:ascii="Times New Roman" w:hAnsi="Times New Roman" w:cs="Times New Roman"/>
          <w:b w:val="0"/>
          <w:color w:val="auto"/>
          <w:kern w:val="2"/>
          <w:sz w:val="28"/>
          <w:szCs w:val="24"/>
          <w:highlight w:val="none"/>
          <w:u w:color="000000"/>
          <w:lang w:val="en-US" w:eastAsia="zh-CN" w:bidi="ar-SA"/>
        </w:rPr>
        <w:t>推动融资渠道多样化、加强政策引导和支持，优化融资环境，加强风险管理、提升市场透明度、促进金融市场的健康稳定发展。通过科学规划，确保项目符合市场需求，提升项目的长期盈利能力，确保项目质量，避免因质量问题导致的盈利能力下降。提升城镇基础设施和公共服务水平，增强城镇对人口的吸引力。为</w:t>
      </w:r>
      <w:r>
        <w:rPr>
          <w:rFonts w:hint="eastAsia" w:ascii="Times New Roman" w:hAnsi="Times New Roman" w:eastAsia="仿宋_GB2312" w:cs="Times New Roman"/>
          <w:b w:val="0"/>
          <w:color w:val="auto"/>
          <w:kern w:val="2"/>
          <w:sz w:val="28"/>
          <w:szCs w:val="24"/>
          <w:highlight w:val="none"/>
          <w:u w:color="000000"/>
          <w:lang w:val="zh-TW" w:eastAsia="zh-TW" w:bidi="ar-SA"/>
        </w:rPr>
        <w:t>新型城镇化</w:t>
      </w:r>
      <w:r>
        <w:rPr>
          <w:rFonts w:hint="eastAsia" w:ascii="Times New Roman" w:hAnsi="Times New Roman" w:cs="Times New Roman"/>
          <w:b w:val="0"/>
          <w:color w:val="auto"/>
          <w:kern w:val="2"/>
          <w:sz w:val="28"/>
          <w:szCs w:val="24"/>
          <w:highlight w:val="none"/>
          <w:u w:color="000000"/>
          <w:lang w:val="en-US" w:eastAsia="zh-CN" w:bidi="ar-SA"/>
        </w:rPr>
        <w:t>建设提供法律保障，增强投资者的法律信心，加大对</w:t>
      </w:r>
      <w:r>
        <w:rPr>
          <w:rFonts w:hint="eastAsia" w:ascii="Times New Roman" w:hAnsi="Times New Roman" w:eastAsia="仿宋_GB2312" w:cs="Times New Roman"/>
          <w:b w:val="0"/>
          <w:color w:val="auto"/>
          <w:kern w:val="2"/>
          <w:sz w:val="28"/>
          <w:szCs w:val="24"/>
          <w:highlight w:val="none"/>
          <w:u w:color="000000"/>
          <w:lang w:val="zh-TW" w:eastAsia="zh-TW" w:bidi="ar-SA"/>
        </w:rPr>
        <w:t>新型城镇化</w:t>
      </w:r>
      <w:r>
        <w:rPr>
          <w:rFonts w:hint="eastAsia" w:ascii="Times New Roman" w:hAnsi="Times New Roman" w:cs="Times New Roman"/>
          <w:b w:val="0"/>
          <w:color w:val="auto"/>
          <w:kern w:val="2"/>
          <w:sz w:val="28"/>
          <w:szCs w:val="24"/>
          <w:highlight w:val="none"/>
          <w:u w:color="000000"/>
          <w:lang w:val="en-US" w:eastAsia="zh-CN" w:bidi="ar-SA"/>
        </w:rPr>
        <w:t>建设的财政支持力度有效地</w:t>
      </w:r>
      <w:bookmarkStart w:id="6" w:name="_GoBack"/>
      <w:bookmarkEnd w:id="6"/>
      <w:r>
        <w:rPr>
          <w:rFonts w:hint="eastAsia" w:ascii="Times New Roman" w:hAnsi="Times New Roman" w:cs="Times New Roman"/>
          <w:b w:val="0"/>
          <w:color w:val="auto"/>
          <w:kern w:val="2"/>
          <w:sz w:val="28"/>
          <w:szCs w:val="24"/>
          <w:highlight w:val="none"/>
          <w:u w:color="000000"/>
          <w:lang w:val="en-US" w:eastAsia="zh-CN" w:bidi="ar-SA"/>
        </w:rPr>
        <w:t>推动我国</w:t>
      </w:r>
      <w:r>
        <w:rPr>
          <w:rFonts w:hint="eastAsia" w:ascii="Times New Roman" w:hAnsi="Times New Roman" w:eastAsia="仿宋_GB2312" w:cs="Times New Roman"/>
          <w:b w:val="0"/>
          <w:color w:val="auto"/>
          <w:kern w:val="2"/>
          <w:sz w:val="28"/>
          <w:szCs w:val="24"/>
          <w:highlight w:val="none"/>
          <w:u w:color="000000"/>
          <w:lang w:val="zh-TW" w:eastAsia="zh-TW" w:bidi="ar-SA"/>
        </w:rPr>
        <w:t>新型城镇化</w:t>
      </w:r>
      <w:r>
        <w:rPr>
          <w:rFonts w:hint="eastAsia" w:ascii="Times New Roman" w:hAnsi="Times New Roman" w:cs="Times New Roman"/>
          <w:b w:val="0"/>
          <w:color w:val="auto"/>
          <w:kern w:val="2"/>
          <w:sz w:val="28"/>
          <w:szCs w:val="24"/>
          <w:highlight w:val="none"/>
          <w:u w:color="000000"/>
          <w:lang w:val="en-US" w:eastAsia="zh-CN" w:bidi="ar-SA"/>
        </w:rPr>
        <w:t>建设的健康发展。</w:t>
      </w:r>
    </w:p>
    <w:bookmarkEnd w:id="5"/>
    <w:p>
      <w:pPr>
        <w:pStyle w:val="4"/>
        <w:bidi w:val="0"/>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66511E"/>
    <w:multiLevelType w:val="singleLevel"/>
    <w:tmpl w:val="4166511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1A6C4F"/>
    <w:rsid w:val="02337D11"/>
    <w:rsid w:val="02C40969"/>
    <w:rsid w:val="0353105C"/>
    <w:rsid w:val="04DB4953"/>
    <w:rsid w:val="04FF0482"/>
    <w:rsid w:val="05062887"/>
    <w:rsid w:val="052B2F21"/>
    <w:rsid w:val="05464D81"/>
    <w:rsid w:val="05F70F85"/>
    <w:rsid w:val="0607573C"/>
    <w:rsid w:val="06547701"/>
    <w:rsid w:val="072B19D6"/>
    <w:rsid w:val="084208C4"/>
    <w:rsid w:val="098A3C0A"/>
    <w:rsid w:val="09A24E4E"/>
    <w:rsid w:val="0A9A7091"/>
    <w:rsid w:val="0AD57F91"/>
    <w:rsid w:val="0BB51797"/>
    <w:rsid w:val="0C6738B8"/>
    <w:rsid w:val="0CA57A5D"/>
    <w:rsid w:val="0D860EC5"/>
    <w:rsid w:val="0DE87C01"/>
    <w:rsid w:val="0E7D784C"/>
    <w:rsid w:val="0EC341CA"/>
    <w:rsid w:val="10300946"/>
    <w:rsid w:val="10FE60D7"/>
    <w:rsid w:val="134358DA"/>
    <w:rsid w:val="134F7771"/>
    <w:rsid w:val="13E513B9"/>
    <w:rsid w:val="14F74BCE"/>
    <w:rsid w:val="158C5316"/>
    <w:rsid w:val="15B240E2"/>
    <w:rsid w:val="15B904C0"/>
    <w:rsid w:val="165C118C"/>
    <w:rsid w:val="16BE1E47"/>
    <w:rsid w:val="172D035F"/>
    <w:rsid w:val="175A3BA5"/>
    <w:rsid w:val="175D58E3"/>
    <w:rsid w:val="18061B60"/>
    <w:rsid w:val="18493992"/>
    <w:rsid w:val="190C3DF8"/>
    <w:rsid w:val="191B41DD"/>
    <w:rsid w:val="19AA4D08"/>
    <w:rsid w:val="19F83E30"/>
    <w:rsid w:val="1ADD03C2"/>
    <w:rsid w:val="1B403139"/>
    <w:rsid w:val="1C6D319F"/>
    <w:rsid w:val="1D384A93"/>
    <w:rsid w:val="1D4D74D6"/>
    <w:rsid w:val="1DE32CFD"/>
    <w:rsid w:val="1EF81C6E"/>
    <w:rsid w:val="1F1A602A"/>
    <w:rsid w:val="1F2854B6"/>
    <w:rsid w:val="217D20CE"/>
    <w:rsid w:val="21C67E02"/>
    <w:rsid w:val="21C768CD"/>
    <w:rsid w:val="223B582C"/>
    <w:rsid w:val="22E14253"/>
    <w:rsid w:val="238E0DF3"/>
    <w:rsid w:val="23931BB2"/>
    <w:rsid w:val="23F209A3"/>
    <w:rsid w:val="2403516E"/>
    <w:rsid w:val="24D42836"/>
    <w:rsid w:val="24E71FCC"/>
    <w:rsid w:val="256A2A9E"/>
    <w:rsid w:val="25FF533A"/>
    <w:rsid w:val="272B3D0D"/>
    <w:rsid w:val="278C389C"/>
    <w:rsid w:val="27F7226E"/>
    <w:rsid w:val="2805537E"/>
    <w:rsid w:val="28072F22"/>
    <w:rsid w:val="289437EE"/>
    <w:rsid w:val="297873DB"/>
    <w:rsid w:val="29F35E61"/>
    <w:rsid w:val="2A285817"/>
    <w:rsid w:val="2B6F150A"/>
    <w:rsid w:val="2BB557CB"/>
    <w:rsid w:val="2BC51751"/>
    <w:rsid w:val="2D085772"/>
    <w:rsid w:val="2D166684"/>
    <w:rsid w:val="2EBF757D"/>
    <w:rsid w:val="313A1C72"/>
    <w:rsid w:val="31927D00"/>
    <w:rsid w:val="31AE39CE"/>
    <w:rsid w:val="31B83F5F"/>
    <w:rsid w:val="328E2AB6"/>
    <w:rsid w:val="329B12EA"/>
    <w:rsid w:val="32DC7485"/>
    <w:rsid w:val="32FB1A54"/>
    <w:rsid w:val="331A3077"/>
    <w:rsid w:val="33291F9F"/>
    <w:rsid w:val="337D3B4E"/>
    <w:rsid w:val="339C4E66"/>
    <w:rsid w:val="33A83F87"/>
    <w:rsid w:val="340D2D0F"/>
    <w:rsid w:val="348F1A9E"/>
    <w:rsid w:val="34F81A39"/>
    <w:rsid w:val="355C2B3F"/>
    <w:rsid w:val="355F7EFA"/>
    <w:rsid w:val="356B4AF0"/>
    <w:rsid w:val="35F12468"/>
    <w:rsid w:val="36851B5C"/>
    <w:rsid w:val="36BD137C"/>
    <w:rsid w:val="37616477"/>
    <w:rsid w:val="37661A13"/>
    <w:rsid w:val="379871D0"/>
    <w:rsid w:val="37BA58BB"/>
    <w:rsid w:val="37D360CA"/>
    <w:rsid w:val="381B0A50"/>
    <w:rsid w:val="38CB5066"/>
    <w:rsid w:val="38E054C9"/>
    <w:rsid w:val="3A565DE9"/>
    <w:rsid w:val="3AC36A27"/>
    <w:rsid w:val="3B4A3407"/>
    <w:rsid w:val="3DDD08BE"/>
    <w:rsid w:val="3E104487"/>
    <w:rsid w:val="3F301058"/>
    <w:rsid w:val="417A34F9"/>
    <w:rsid w:val="418810F4"/>
    <w:rsid w:val="41A37673"/>
    <w:rsid w:val="41A63364"/>
    <w:rsid w:val="42503F5E"/>
    <w:rsid w:val="42C30950"/>
    <w:rsid w:val="450B1E4C"/>
    <w:rsid w:val="45561319"/>
    <w:rsid w:val="459B4F7E"/>
    <w:rsid w:val="45A65C7F"/>
    <w:rsid w:val="45F13359"/>
    <w:rsid w:val="46647A66"/>
    <w:rsid w:val="468C2A4A"/>
    <w:rsid w:val="46AC2579"/>
    <w:rsid w:val="46AD2493"/>
    <w:rsid w:val="46EC7F14"/>
    <w:rsid w:val="47CA7D9C"/>
    <w:rsid w:val="47DB3D58"/>
    <w:rsid w:val="480D0379"/>
    <w:rsid w:val="48194880"/>
    <w:rsid w:val="48AF4C7F"/>
    <w:rsid w:val="49C56A6D"/>
    <w:rsid w:val="4A5B46DD"/>
    <w:rsid w:val="4A6F6A56"/>
    <w:rsid w:val="4A81677A"/>
    <w:rsid w:val="4AA04DE4"/>
    <w:rsid w:val="4B3B5348"/>
    <w:rsid w:val="4BA6642B"/>
    <w:rsid w:val="4BD27EC1"/>
    <w:rsid w:val="4C9C56B3"/>
    <w:rsid w:val="4DA177B2"/>
    <w:rsid w:val="4DA370C6"/>
    <w:rsid w:val="4DC334A7"/>
    <w:rsid w:val="4DF36D4F"/>
    <w:rsid w:val="4E766588"/>
    <w:rsid w:val="4ECF2727"/>
    <w:rsid w:val="4F0973FC"/>
    <w:rsid w:val="501B7C76"/>
    <w:rsid w:val="504D5CCF"/>
    <w:rsid w:val="511A2CA6"/>
    <w:rsid w:val="533A7469"/>
    <w:rsid w:val="53526129"/>
    <w:rsid w:val="53876B42"/>
    <w:rsid w:val="538B4CD8"/>
    <w:rsid w:val="53A21BCD"/>
    <w:rsid w:val="53E27FF6"/>
    <w:rsid w:val="540E1011"/>
    <w:rsid w:val="54394F3D"/>
    <w:rsid w:val="55D3606E"/>
    <w:rsid w:val="56405B8A"/>
    <w:rsid w:val="565F61A9"/>
    <w:rsid w:val="56AD4B11"/>
    <w:rsid w:val="57232FC4"/>
    <w:rsid w:val="572D2326"/>
    <w:rsid w:val="57365691"/>
    <w:rsid w:val="58B73A25"/>
    <w:rsid w:val="59D86349"/>
    <w:rsid w:val="59EE1E48"/>
    <w:rsid w:val="5A490F5C"/>
    <w:rsid w:val="5AE40D1D"/>
    <w:rsid w:val="5B692B8F"/>
    <w:rsid w:val="5B805E16"/>
    <w:rsid w:val="5BD21464"/>
    <w:rsid w:val="5BDE2B83"/>
    <w:rsid w:val="5C3C27FA"/>
    <w:rsid w:val="5C777282"/>
    <w:rsid w:val="5C9522CF"/>
    <w:rsid w:val="5D487342"/>
    <w:rsid w:val="5F9920D6"/>
    <w:rsid w:val="61635F72"/>
    <w:rsid w:val="618606C5"/>
    <w:rsid w:val="6224402D"/>
    <w:rsid w:val="62540537"/>
    <w:rsid w:val="6254181C"/>
    <w:rsid w:val="6384067A"/>
    <w:rsid w:val="638D125E"/>
    <w:rsid w:val="6396333E"/>
    <w:rsid w:val="63E114D3"/>
    <w:rsid w:val="64872094"/>
    <w:rsid w:val="679D64DC"/>
    <w:rsid w:val="67E86901"/>
    <w:rsid w:val="69166546"/>
    <w:rsid w:val="6A484E25"/>
    <w:rsid w:val="6AD46D46"/>
    <w:rsid w:val="6B07083C"/>
    <w:rsid w:val="6B623CC4"/>
    <w:rsid w:val="6B6C65E0"/>
    <w:rsid w:val="6C2B67AC"/>
    <w:rsid w:val="6C6B6BA9"/>
    <w:rsid w:val="6CB31465"/>
    <w:rsid w:val="6DE07909"/>
    <w:rsid w:val="6E58438A"/>
    <w:rsid w:val="6E7066F8"/>
    <w:rsid w:val="6E9D5508"/>
    <w:rsid w:val="6F871359"/>
    <w:rsid w:val="6FC7059A"/>
    <w:rsid w:val="701E2184"/>
    <w:rsid w:val="711B7F18"/>
    <w:rsid w:val="71324139"/>
    <w:rsid w:val="71AB735C"/>
    <w:rsid w:val="71EB22B3"/>
    <w:rsid w:val="72010FA6"/>
    <w:rsid w:val="720F6228"/>
    <w:rsid w:val="7231619E"/>
    <w:rsid w:val="727A0766"/>
    <w:rsid w:val="733F48EB"/>
    <w:rsid w:val="74212849"/>
    <w:rsid w:val="744C1D4E"/>
    <w:rsid w:val="748A4F72"/>
    <w:rsid w:val="74961819"/>
    <w:rsid w:val="750202C6"/>
    <w:rsid w:val="75664078"/>
    <w:rsid w:val="761E4132"/>
    <w:rsid w:val="77B43AFA"/>
    <w:rsid w:val="78061A79"/>
    <w:rsid w:val="79181486"/>
    <w:rsid w:val="7AFE508C"/>
    <w:rsid w:val="7B2561EC"/>
    <w:rsid w:val="7B5A6766"/>
    <w:rsid w:val="7BC003CA"/>
    <w:rsid w:val="7CBF4BB4"/>
    <w:rsid w:val="7DA43CC8"/>
    <w:rsid w:val="7E0D3F6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link w:val="29"/>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link w:val="28"/>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sz w:val="21"/>
      <w:szCs w:val="24"/>
    </w:rPr>
  </w:style>
  <w:style w:type="paragraph" w:styleId="3">
    <w:name w:val="Body Text"/>
    <w:basedOn w:val="1"/>
    <w:qFormat/>
    <w:uiPriority w:val="0"/>
    <w:pPr>
      <w:spacing w:before="240" w:after="240" w:line="360" w:lineRule="auto"/>
      <w:jc w:val="center"/>
    </w:pPr>
    <w:rPr>
      <w:b/>
      <w:sz w:val="44"/>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Title"/>
    <w:basedOn w:val="1"/>
    <w:next w:val="1"/>
    <w:qFormat/>
    <w:uiPriority w:val="99"/>
    <w:pPr>
      <w:spacing w:before="240" w:after="60"/>
      <w:jc w:val="center"/>
      <w:outlineLvl w:val="0"/>
    </w:pPr>
    <w:rPr>
      <w:rFonts w:ascii="Arial" w:hAnsi="Arial" w:cs="Arial"/>
      <w:b/>
      <w:bCs/>
      <w:sz w:val="32"/>
      <w:szCs w:val="32"/>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8">
    <w:name w:val="标题 3 Char"/>
    <w:basedOn w:val="20"/>
    <w:link w:val="6"/>
    <w:qFormat/>
    <w:uiPriority w:val="9"/>
    <w:rPr>
      <w:b/>
      <w:bCs/>
      <w:sz w:val="30"/>
      <w:szCs w:val="32"/>
    </w:rPr>
  </w:style>
  <w:style w:type="character" w:customStyle="1" w:styleId="29">
    <w:name w:val="标题 1 Char"/>
    <w:link w:val="4"/>
    <w:qFormat/>
    <w:uiPriority w:val="0"/>
    <w:rPr>
      <w:rFonts w:ascii="宋体" w:hAnsi="宋体" w:eastAsia="黑体"/>
      <w:bCs/>
      <w:kern w:val="44"/>
      <w:sz w:val="32"/>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6245</Words>
  <Characters>6744</Characters>
  <Lines>7</Lines>
  <Paragraphs>2</Paragraphs>
  <TotalTime>26</TotalTime>
  <ScaleCrop>false</ScaleCrop>
  <LinksUpToDate>false</LinksUpToDate>
  <CharactersWithSpaces>6760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