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7"/>
        <w:pageBreakBefore w:val="0"/>
        <w:widowControl w:val="0"/>
        <w:kinsoku/>
        <w:wordWrap/>
        <w:overflowPunct/>
        <w:topLinePunct w:val="0"/>
        <w:autoSpaceDE/>
        <w:autoSpaceDN/>
        <w:bidi w:val="0"/>
        <w:spacing w:line="560" w:lineRule="exact"/>
        <w:ind w:leftChars="0"/>
        <w:textAlignment w:val="auto"/>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8"/>
        <w:pageBreakBefore w:val="0"/>
        <w:widowControl w:val="0"/>
        <w:kinsoku/>
        <w:wordWrap/>
        <w:overflowPunct/>
        <w:topLinePunct w:val="0"/>
        <w:autoSpaceDE/>
        <w:autoSpaceDN/>
        <w:bidi w:val="0"/>
        <w:spacing w:before="0" w:beforeLines="0" w:afterLines="0" w:line="560" w:lineRule="exact"/>
        <w:ind w:leftChars="0"/>
        <w:textAlignment w:val="auto"/>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9"/>
        <w:pageBreakBefore w:val="0"/>
        <w:widowControl w:val="0"/>
        <w:kinsoku/>
        <w:wordWrap/>
        <w:overflowPunct/>
        <w:topLinePunct w:val="0"/>
        <w:autoSpaceDE/>
        <w:autoSpaceDN/>
        <w:bidi w:val="0"/>
        <w:spacing w:before="0" w:line="560" w:lineRule="exact"/>
        <w:ind w:leftChars="0"/>
        <w:textAlignment w:val="auto"/>
        <w:rPr>
          <w:rFonts w:hint="eastAsia"/>
          <w:color w:val="auto"/>
          <w:highlight w:val="none"/>
          <w:lang w:val="en-US" w:eastAsia="zh-CN"/>
        </w:rPr>
      </w:pPr>
      <w:r>
        <w:rPr>
          <w:rFonts w:hint="eastAsia"/>
          <w:color w:val="auto"/>
          <w:highlight w:val="none"/>
          <w:lang w:val="en-US" w:eastAsia="zh-CN"/>
        </w:rPr>
        <w:t>1.部门主要职能</w:t>
      </w:r>
    </w:p>
    <w:p>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 xml:space="preserve">和静县人民政府办公室是和静县人民政府工作部门，为正科级。单位主要职责是：负责县人民政府会议的准备工作，协助县人民政府领导同志组织会议决定事项的实施；协助县人民政府领导同志组织起草或审核以和静县人民政府、和静县人民政府办公室名义发布的公告；研究和静县人民政府各部门和各乡镇人民政府请示县人民政府的事项，提出审核意见，报县人民政府领导同志审定；负责全县信访宣传工作，向人民群众提供有关信访工作方面的法律法规和政策咨询；负责管理信访档案；负责指导、协调、推进“放管服”改革、政务公开工作等。                                                  </w:t>
      </w:r>
      <w:r>
        <w:rPr>
          <w:rFonts w:hint="eastAsia"/>
          <w:color w:val="auto"/>
          <w:highlight w:val="none"/>
          <w:lang w:val="en-US" w:eastAsia="zh-CN"/>
        </w:rPr>
        <w:t xml:space="preserve">                                      </w:t>
      </w:r>
    </w:p>
    <w:p>
      <w:pPr>
        <w:pStyle w:val="9"/>
        <w:pageBreakBefore w:val="0"/>
        <w:widowControl w:val="0"/>
        <w:kinsoku/>
        <w:wordWrap/>
        <w:overflowPunct/>
        <w:topLinePunct w:val="0"/>
        <w:autoSpaceDE/>
        <w:autoSpaceDN/>
        <w:bidi w:val="0"/>
        <w:spacing w:before="0" w:line="560" w:lineRule="exact"/>
        <w:ind w:leftChars="0"/>
        <w:textAlignment w:val="auto"/>
        <w:rPr>
          <w:rFonts w:hint="eastAsia"/>
          <w:color w:val="auto"/>
          <w:highlight w:val="none"/>
          <w:lang w:val="en-US" w:eastAsia="zh-CN"/>
        </w:rPr>
      </w:pPr>
      <w:r>
        <w:rPr>
          <w:rFonts w:hint="eastAsia"/>
          <w:color w:val="auto"/>
          <w:highlight w:val="none"/>
          <w:lang w:val="en-US" w:eastAsia="zh-CN"/>
        </w:rPr>
        <w:t>2.部门机构设置及人员构成</w:t>
      </w:r>
    </w:p>
    <w:p>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和静县人民政府办公室机构设置：有1个下属预算单位，内设6个科室，分别是：综合一室、综合二室、和静县电子政务和大数据发展服务中心、和静县人民政府政策研究室、和静县行政服务中心、信访局、和静县人工天气影响办公室。和静县人民政府办公室在职人员总数47名，其中：在职47名，退休29名，离休0名。</w:t>
      </w:r>
    </w:p>
    <w:p>
      <w:pPr>
        <w:pStyle w:val="8"/>
        <w:pageBreakBefore w:val="0"/>
        <w:widowControl w:val="0"/>
        <w:kinsoku/>
        <w:wordWrap/>
        <w:overflowPunct/>
        <w:topLinePunct w:val="0"/>
        <w:autoSpaceDE/>
        <w:autoSpaceDN/>
        <w:bidi w:val="0"/>
        <w:spacing w:before="0" w:beforeLines="0" w:afterLines="0" w:line="560" w:lineRule="exact"/>
        <w:ind w:leftChars="0"/>
        <w:textAlignment w:val="auto"/>
        <w:outlineLvl w:val="1"/>
        <w:rPr>
          <w:rFonts w:hint="eastAsia"/>
          <w:color w:val="auto"/>
          <w:highlight w:val="none"/>
          <w:lang w:val="en-US" w:eastAsia="zh-CN"/>
        </w:rPr>
      </w:pPr>
      <w:r>
        <w:rPr>
          <w:rFonts w:hint="eastAsia"/>
          <w:color w:val="auto"/>
          <w:highlight w:val="none"/>
          <w:lang w:val="en-US" w:eastAsia="zh-CN"/>
        </w:rPr>
        <w:t>（二）部门单位年度重点工作</w:t>
      </w:r>
    </w:p>
    <w:p>
      <w:pPr>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color w:val="auto"/>
          <w:highlight w:val="none"/>
          <w:lang w:val="en-US" w:eastAsia="zh-CN"/>
        </w:rPr>
      </w:pPr>
      <w:r>
        <w:rPr>
          <w:rFonts w:hint="eastAsia"/>
          <w:color w:val="auto"/>
          <w:highlight w:val="none"/>
          <w:lang w:val="en-US" w:eastAsia="zh-CN"/>
        </w:rPr>
        <w:t>今年以来，县人民政府办公室坚持以习近平新时代中国特色社会主义思想为指导，全面贯彻党的二十大精神，完整准确贯彻新时代党的治疆方略，紧紧围绕县委、县人民政府中心工作，充分发挥综合协调、参谋助手、督查落实、服务保障等职能，圆满完成各项工作任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textAlignment w:val="auto"/>
        <w:rPr>
          <w:rFonts w:hint="eastAsia" w:ascii="方正黑体_GBK" w:hAnsi="方正黑体_GBK" w:eastAsia="方正黑体_GBK" w:cs="方正黑体_GBK"/>
          <w:color w:val="auto"/>
          <w:spacing w:val="0"/>
          <w:sz w:val="31"/>
          <w:szCs w:val="31"/>
          <w:highlight w:val="none"/>
          <w:lang w:val="en-US" w:eastAsia="zh-CN"/>
        </w:rPr>
      </w:pPr>
      <w:r>
        <w:rPr>
          <w:rFonts w:hint="eastAsia"/>
          <w:b/>
          <w:bCs/>
          <w:color w:val="auto"/>
          <w:highlight w:val="none"/>
          <w:lang w:val="en-US" w:eastAsia="zh-CN"/>
        </w:rPr>
        <w:t>一是</w:t>
      </w:r>
      <w:r>
        <w:rPr>
          <w:rFonts w:hint="eastAsia"/>
          <w:color w:val="auto"/>
          <w:highlight w:val="none"/>
          <w:lang w:val="en-US" w:eastAsia="zh-CN"/>
        </w:rPr>
        <w:t>坚持政治引领，思想认识和党性意识持续强化。全面落实新时代党的建设总要求，强化思想政治建设，坚定政治立场、把稳政治方向。坚持把学习贯彻习近平新时代中国特色社会主义思想作为首要政治任务，严格落实“第一议题”制度，深入学习习近平总书记重要讲话重要指示批示精神，忠诚拥护“两个确立”，坚决做到“两个维护”。</w:t>
      </w:r>
      <w:r>
        <w:rPr>
          <w:rFonts w:hint="eastAsia" w:ascii="方正黑体_GBK" w:hAnsi="方正黑体_GBK" w:eastAsia="方正黑体_GBK" w:cs="方正黑体_GBK"/>
          <w:color w:val="auto"/>
          <w:spacing w:val="0"/>
          <w:sz w:val="31"/>
          <w:szCs w:val="31"/>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textAlignment w:val="auto"/>
        <w:rPr>
          <w:rFonts w:hint="eastAsia"/>
          <w:color w:val="auto"/>
          <w:highlight w:val="none"/>
          <w:lang w:val="en-US" w:eastAsia="zh-CN"/>
        </w:rPr>
      </w:pPr>
      <w:r>
        <w:rPr>
          <w:rFonts w:hint="eastAsia"/>
          <w:b/>
          <w:bCs/>
          <w:color w:val="auto"/>
          <w:highlight w:val="none"/>
          <w:lang w:val="en-US" w:eastAsia="zh-CN"/>
        </w:rPr>
        <w:t>二是</w:t>
      </w:r>
      <w:r>
        <w:rPr>
          <w:rFonts w:hint="eastAsia"/>
          <w:color w:val="auto"/>
          <w:highlight w:val="none"/>
          <w:lang w:val="en-US" w:eastAsia="zh-CN"/>
        </w:rPr>
        <w:t>聚焦主责主业，参谋助手和综合辅政能力不断增强。紧紧围绕县委、县人民政府中心工作，自觉做到服务发展、服务决策、服务落实，不断推进办公室工作再上新台阶。今年以来，共收发上级文件2809件，制发各类文件387件，起草会议讲话、工作报告和其他综合材料600余篇、共服务保障</w:t>
      </w:r>
      <w:r>
        <w:rPr>
          <w:rFonts w:hint="default"/>
          <w:color w:val="auto"/>
          <w:highlight w:val="none"/>
          <w:lang w:val="en-US" w:eastAsia="zh-CN"/>
        </w:rPr>
        <w:t>各类会议337场次</w:t>
      </w:r>
      <w:r>
        <w:rPr>
          <w:rFonts w:hint="eastAsia"/>
          <w:color w:val="auto"/>
          <w:highlight w:val="none"/>
          <w:lang w:val="en-US" w:eastAsia="zh-CN"/>
        </w:rPr>
        <w:t>、共办理转办的自治州人大代表建议2件、政协委员提案3件，县人大代表建议33件、政协委员提案60件，回复率、满意率均100%，做到事事有交代、件件有落实。严格落实保密责任制，加强对干部日常教育和涉密计算机、文件材料规范管理，强化干部保密意识，年内未发生失泄密事件。县信访局共受理群众来信来访298批次、432人次，其中：来访135批次、242人次，网上信访163件次，办结率100%。</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color w:val="auto"/>
          <w:highlight w:val="none"/>
          <w:lang w:val="en-US" w:eastAsia="zh-CN"/>
        </w:rPr>
      </w:pPr>
      <w:r>
        <w:rPr>
          <w:rFonts w:hint="eastAsia"/>
          <w:color w:val="auto"/>
          <w:highlight w:val="none"/>
          <w:lang w:val="en-US" w:eastAsia="zh-CN"/>
        </w:rPr>
        <w:t>三是强化廉政建设，思想防线和纪法红线全面筑牢。坚持把党风廉政建设列入重要议事日程，同各项工作同安排、同部署、同落实。认真履行党风廉政建设“一岗双责”，用好党组织“第一种形态”，让红脸出汗、咬耳扯袖成为常态。严格执行领导干部个人重大事项请示报告制度，健全完善干部廉政档案，为廉政教育、制度防范和强化监督提供依据。</w:t>
      </w:r>
    </w:p>
    <w:p>
      <w:pPr>
        <w:pStyle w:val="8"/>
        <w:pageBreakBefore w:val="0"/>
        <w:widowControl w:val="0"/>
        <w:kinsoku/>
        <w:wordWrap/>
        <w:overflowPunct/>
        <w:topLinePunct w:val="0"/>
        <w:autoSpaceDE/>
        <w:autoSpaceDN/>
        <w:bidi w:val="0"/>
        <w:spacing w:before="0" w:beforeLines="0" w:afterLines="0" w:line="560" w:lineRule="exact"/>
        <w:ind w:leftChars="0"/>
        <w:textAlignment w:val="auto"/>
        <w:rPr>
          <w:rFonts w:hint="default"/>
          <w:color w:val="auto"/>
          <w:highlight w:val="none"/>
          <w:lang w:val="en-US" w:eastAsia="zh-CN"/>
        </w:rPr>
      </w:pPr>
      <w:r>
        <w:rPr>
          <w:rFonts w:hint="eastAsia"/>
          <w:color w:val="auto"/>
          <w:highlight w:val="none"/>
          <w:lang w:val="en-US" w:eastAsia="zh-CN"/>
        </w:rPr>
        <w:t>（三）部门单位整体预算规模及安排情况</w:t>
      </w:r>
    </w:p>
    <w:p>
      <w:pPr>
        <w:pageBreakBefore w:val="0"/>
        <w:widowControl w:val="0"/>
        <w:kinsoku/>
        <w:wordWrap/>
        <w:overflowPunct/>
        <w:topLinePunct w:val="0"/>
        <w:autoSpaceDE/>
        <w:autoSpaceDN/>
        <w:bidi w:val="0"/>
        <w:spacing w:line="560" w:lineRule="exact"/>
        <w:ind w:leftChars="0"/>
        <w:textAlignment w:val="auto"/>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pageBreakBefore w:val="0"/>
        <w:widowControl w:val="0"/>
        <w:kinsoku/>
        <w:wordWrap/>
        <w:overflowPunct/>
        <w:topLinePunct w:val="0"/>
        <w:autoSpaceDE/>
        <w:autoSpaceDN/>
        <w:bidi w:val="0"/>
        <w:spacing w:line="560" w:lineRule="exact"/>
        <w:ind w:leftChars="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pageBreakBefore w:val="0"/>
        <w:widowControl w:val="0"/>
        <w:kinsoku/>
        <w:wordWrap/>
        <w:overflowPunct/>
        <w:topLinePunct w:val="0"/>
        <w:autoSpaceDE/>
        <w:autoSpaceDN/>
        <w:bidi w:val="0"/>
        <w:spacing w:line="560" w:lineRule="exact"/>
        <w:ind w:leftChars="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w:t>
      </w:r>
      <w:r>
        <w:rPr>
          <w:rFonts w:hint="eastAsia" w:ascii="Times New Roman" w:hAnsi="Times New Roman" w:cs="Times New Roman"/>
          <w:bCs/>
          <w:color w:val="auto"/>
          <w:highlight w:val="none"/>
          <w:lang w:val="en-US" w:eastAsia="zh-CN"/>
        </w:rPr>
        <w:t>875.07万元，实际预算执行数868.82万元，预算执行率为99.29%。（因做年初整体绩效目标表时将</w:t>
      </w:r>
      <w:r>
        <w:rPr>
          <w:rFonts w:hint="eastAsia" w:ascii="Times New Roman" w:hAnsi="Times New Roman" w:cs="Times New Roman"/>
          <w:bCs/>
          <w:color w:val="auto"/>
          <w:highlight w:val="none"/>
          <w:lang w:val="en-US" w:eastAsia="zh-CN"/>
        </w:rPr>
        <w:t>下级预算单位机关事务中心的数据并入年初预算了，故目标表中年初预算数为1871.38万元。和静县人民政府办公室实际年初预算数为875.07万元。）</w:t>
      </w:r>
    </w:p>
    <w:p>
      <w:pPr>
        <w:pageBreakBefore w:val="0"/>
        <w:widowControl w:val="0"/>
        <w:kinsoku/>
        <w:wordWrap/>
        <w:overflowPunct/>
        <w:topLinePunct w:val="0"/>
        <w:autoSpaceDE/>
        <w:autoSpaceDN/>
        <w:bidi w:val="0"/>
        <w:spacing w:line="560" w:lineRule="exact"/>
        <w:ind w:leftChars="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w:t>
      </w:r>
      <w:r>
        <w:rPr>
          <w:rFonts w:hint="eastAsia" w:ascii="Times New Roman" w:hAnsi="Times New Roman" w:cs="Times New Roman"/>
          <w:bCs/>
          <w:color w:val="auto"/>
          <w:highlight w:val="none"/>
          <w:lang w:val="en-US" w:eastAsia="zh-CN"/>
        </w:rPr>
        <w:t>执行情况</w:t>
      </w:r>
    </w:p>
    <w:p>
      <w:pPr>
        <w:pageBreakBefore w:val="0"/>
        <w:widowControl w:val="0"/>
        <w:kinsoku/>
        <w:wordWrap/>
        <w:overflowPunct/>
        <w:topLinePunct w:val="0"/>
        <w:autoSpaceDE/>
        <w:autoSpaceDN/>
        <w:bidi w:val="0"/>
        <w:spacing w:line="560" w:lineRule="exact"/>
        <w:ind w:leftChars="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全年预算数为979.94万元，全年实际支出资金979.94万元，预算执行率为100%。</w:t>
      </w:r>
    </w:p>
    <w:p>
      <w:pPr>
        <w:pStyle w:val="9"/>
        <w:pageBreakBefore w:val="0"/>
        <w:widowControl w:val="0"/>
        <w:kinsoku/>
        <w:wordWrap/>
        <w:overflowPunct/>
        <w:topLinePunct w:val="0"/>
        <w:autoSpaceDE/>
        <w:autoSpaceDN/>
        <w:bidi w:val="0"/>
        <w:spacing w:before="0" w:line="560" w:lineRule="exact"/>
        <w:ind w:leftChars="0"/>
        <w:textAlignment w:val="auto"/>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w:t>
      </w:r>
      <w:r>
        <w:rPr>
          <w:rFonts w:hint="eastAsia" w:ascii="Times New Roman" w:hAnsi="Times New Roman" w:cs="Times New Roman"/>
          <w:bCs/>
          <w:color w:val="auto"/>
          <w:highlight w:val="none"/>
          <w:lang w:eastAsia="zh-CN"/>
        </w:rPr>
        <w:t>预算数</w:t>
      </w:r>
      <w:r>
        <w:rPr>
          <w:rFonts w:hint="eastAsia" w:ascii="Times New Roman" w:hAnsi="Times New Roman" w:cs="Times New Roman"/>
          <w:bCs/>
          <w:color w:val="auto"/>
          <w:highlight w:val="none"/>
          <w:lang w:val="en-US" w:eastAsia="zh-CN"/>
        </w:rPr>
        <w:t>875.07</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104.87</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979.94</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11.98</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11.98</w:t>
      </w:r>
      <w:r>
        <w:rPr>
          <w:rFonts w:hint="eastAsia" w:ascii="Times New Roman" w:hAnsi="Times New Roman" w:cs="Times New Roman"/>
          <w:bCs/>
          <w:color w:val="auto"/>
          <w:highlight w:val="none"/>
          <w:lang w:eastAsia="zh-CN"/>
        </w:rPr>
        <w:t>%。）</w:t>
      </w:r>
    </w:p>
    <w:p>
      <w:pPr>
        <w:pStyle w:val="9"/>
        <w:pageBreakBefore w:val="0"/>
        <w:widowControl w:val="0"/>
        <w:kinsoku/>
        <w:wordWrap/>
        <w:overflowPunct/>
        <w:topLinePunct w:val="0"/>
        <w:autoSpaceDE/>
        <w:autoSpaceDN/>
        <w:bidi w:val="0"/>
        <w:spacing w:before="0" w:line="560" w:lineRule="exact"/>
        <w:ind w:leftChars="0"/>
        <w:textAlignment w:val="auto"/>
        <w:rPr>
          <w:rFonts w:hint="default"/>
          <w:color w:val="auto"/>
          <w:highlight w:val="none"/>
          <w:lang w:val="en-US" w:eastAsia="zh-CN"/>
        </w:rPr>
      </w:pPr>
      <w:r>
        <w:rPr>
          <w:rFonts w:hint="default"/>
          <w:color w:val="auto"/>
          <w:highlight w:val="none"/>
          <w:lang w:val="en-US" w:eastAsia="zh-CN"/>
        </w:rPr>
        <w:t>3.资金使用主要内容、涉及的范围</w:t>
      </w:r>
    </w:p>
    <w:p>
      <w:pPr>
        <w:pageBreakBefore w:val="0"/>
        <w:widowControl w:val="0"/>
        <w:kinsoku/>
        <w:wordWrap/>
        <w:overflowPunct/>
        <w:topLinePunct w:val="0"/>
        <w:autoSpaceDE/>
        <w:autoSpaceDN/>
        <w:bidi w:val="0"/>
        <w:spacing w:line="560" w:lineRule="exact"/>
        <w:ind w:leftChars="0"/>
        <w:textAlignment w:val="auto"/>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979.94</w:t>
      </w:r>
      <w:r>
        <w:rPr>
          <w:rFonts w:hint="default"/>
          <w:color w:val="auto"/>
          <w:highlight w:val="none"/>
          <w:lang w:val="en-US" w:eastAsia="zh-CN"/>
        </w:rPr>
        <w:t>万元，其中：</w:t>
      </w:r>
    </w:p>
    <w:p>
      <w:pPr>
        <w:pageBreakBefore w:val="0"/>
        <w:widowControl w:val="0"/>
        <w:kinsoku/>
        <w:wordWrap/>
        <w:overflowPunct/>
        <w:topLinePunct w:val="0"/>
        <w:autoSpaceDE/>
        <w:autoSpaceDN/>
        <w:bidi w:val="0"/>
        <w:spacing w:line="560" w:lineRule="exact"/>
        <w:ind w:leftChars="0"/>
        <w:textAlignment w:val="auto"/>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860.51</w:t>
      </w:r>
      <w:r>
        <w:rPr>
          <w:rFonts w:hint="default"/>
          <w:color w:val="auto"/>
          <w:highlight w:val="none"/>
          <w:lang w:val="en-US" w:eastAsia="zh-CN"/>
        </w:rPr>
        <w:t>万元，资金的使用方向为我单位机关人员经费支出</w:t>
      </w:r>
      <w:r>
        <w:rPr>
          <w:rFonts w:hint="eastAsia"/>
          <w:color w:val="auto"/>
          <w:highlight w:val="none"/>
          <w:lang w:val="en-US" w:eastAsia="zh-CN"/>
        </w:rPr>
        <w:t>791.51</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69</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pageBreakBefore w:val="0"/>
        <w:widowControl w:val="0"/>
        <w:kinsoku/>
        <w:wordWrap/>
        <w:overflowPunct/>
        <w:topLinePunct w:val="0"/>
        <w:autoSpaceDE/>
        <w:autoSpaceDN/>
        <w:bidi w:val="0"/>
        <w:spacing w:line="560" w:lineRule="exact"/>
        <w:ind w:leftChars="0"/>
        <w:textAlignment w:val="auto"/>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119.43</w:t>
      </w:r>
      <w:r>
        <w:rPr>
          <w:rFonts w:hint="default"/>
          <w:color w:val="auto"/>
          <w:highlight w:val="none"/>
          <w:lang w:val="en-US" w:eastAsia="zh-CN"/>
        </w:rPr>
        <w:t>万元，主要用于保障</w:t>
      </w:r>
      <w:r>
        <w:rPr>
          <w:rFonts w:hint="eastAsia"/>
          <w:color w:val="auto"/>
          <w:highlight w:val="none"/>
          <w:lang w:val="en-US" w:eastAsia="zh-CN"/>
        </w:rPr>
        <w:t>行政运行保障经费</w:t>
      </w:r>
      <w:r>
        <w:rPr>
          <w:rFonts w:hint="default"/>
          <w:color w:val="auto"/>
          <w:highlight w:val="none"/>
          <w:lang w:val="en-US" w:eastAsia="zh-CN"/>
        </w:rPr>
        <w:t>项目、</w:t>
      </w:r>
      <w:r>
        <w:rPr>
          <w:rFonts w:hint="eastAsia"/>
          <w:color w:val="auto"/>
          <w:highlight w:val="none"/>
          <w:lang w:val="en-US" w:eastAsia="zh-CN"/>
        </w:rPr>
        <w:t>人工影响作业经费</w:t>
      </w:r>
      <w:r>
        <w:rPr>
          <w:rFonts w:hint="default"/>
          <w:color w:val="auto"/>
          <w:highlight w:val="none"/>
          <w:lang w:val="en-US" w:eastAsia="zh-CN"/>
        </w:rPr>
        <w:t>项目、</w:t>
      </w:r>
      <w:r>
        <w:rPr>
          <w:rFonts w:hint="eastAsia"/>
          <w:color w:val="auto"/>
          <w:highlight w:val="none"/>
          <w:lang w:val="en-US" w:eastAsia="zh-CN"/>
        </w:rPr>
        <w:t>唐志明信访案件化解资金项目、通信保障及相关费用</w:t>
      </w:r>
      <w:r>
        <w:rPr>
          <w:rFonts w:hint="default"/>
          <w:color w:val="auto"/>
          <w:highlight w:val="none"/>
          <w:lang w:val="en-US" w:eastAsia="zh-CN"/>
        </w:rPr>
        <w:t>项目等项目支出。</w:t>
      </w:r>
    </w:p>
    <w:p>
      <w:pPr>
        <w:pStyle w:val="7"/>
        <w:pageBreakBefore w:val="0"/>
        <w:widowControl w:val="0"/>
        <w:kinsoku/>
        <w:wordWrap/>
        <w:overflowPunct/>
        <w:topLinePunct w:val="0"/>
        <w:autoSpaceDE/>
        <w:autoSpaceDN/>
        <w:bidi w:val="0"/>
        <w:spacing w:line="560" w:lineRule="exact"/>
        <w:ind w:leftChars="0"/>
        <w:textAlignment w:val="auto"/>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8"/>
        <w:pageBreakBefore w:val="0"/>
        <w:widowControl w:val="0"/>
        <w:kinsoku/>
        <w:wordWrap/>
        <w:overflowPunct/>
        <w:topLinePunct w:val="0"/>
        <w:autoSpaceDE/>
        <w:autoSpaceDN/>
        <w:bidi w:val="0"/>
        <w:spacing w:before="0" w:beforeLines="0" w:afterLines="0" w:line="560" w:lineRule="exact"/>
        <w:ind w:leftChars="0"/>
        <w:textAlignment w:val="auto"/>
        <w:rPr>
          <w:rFonts w:hint="eastAsia"/>
          <w:color w:val="auto"/>
          <w:highlight w:val="none"/>
          <w:lang w:val="en-US" w:eastAsia="zh-CN"/>
        </w:rPr>
      </w:pPr>
      <w:r>
        <w:rPr>
          <w:rFonts w:hint="eastAsia"/>
          <w:color w:val="auto"/>
          <w:highlight w:val="none"/>
          <w:lang w:val="en-US" w:eastAsia="zh-CN"/>
        </w:rPr>
        <w:t>（一）基本支出和使用情况</w:t>
      </w:r>
    </w:p>
    <w:p>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860.51万元，全年实际支出860.51万元，资金执行率100%。基本支出严格按照财务管理制度执行，其中：</w:t>
      </w:r>
    </w:p>
    <w:p>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人员经费支出791.51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公用经费支出69万元，主要包括：办公费、印刷费、水费、电费、邮电费、取暖费、物业管理费、差旅费、培训费、公务接待费、工会经费、公务用车运行维护费、其他交通费用、其他商品和服务支出。</w:t>
      </w:r>
    </w:p>
    <w:p>
      <w:pPr>
        <w:pStyle w:val="8"/>
        <w:pageBreakBefore w:val="0"/>
        <w:widowControl w:val="0"/>
        <w:kinsoku/>
        <w:wordWrap/>
        <w:overflowPunct/>
        <w:topLinePunct w:val="0"/>
        <w:autoSpaceDE/>
        <w:autoSpaceDN/>
        <w:bidi w:val="0"/>
        <w:spacing w:before="0" w:beforeLines="0" w:afterLines="0" w:line="560" w:lineRule="exact"/>
        <w:ind w:leftChars="0"/>
        <w:textAlignment w:val="auto"/>
        <w:rPr>
          <w:rFonts w:hint="eastAsia"/>
          <w:color w:val="auto"/>
          <w:highlight w:val="none"/>
          <w:lang w:val="en-US" w:eastAsia="zh-CN"/>
        </w:rPr>
      </w:pPr>
      <w:r>
        <w:rPr>
          <w:rFonts w:hint="eastAsia"/>
          <w:color w:val="auto"/>
          <w:highlight w:val="none"/>
          <w:lang w:val="en-US" w:eastAsia="zh-CN"/>
        </w:rPr>
        <w:t>（二）政策、项目支出和使用情况</w:t>
      </w:r>
    </w:p>
    <w:p>
      <w:pPr>
        <w:pStyle w:val="9"/>
        <w:pageBreakBefore w:val="0"/>
        <w:widowControl w:val="0"/>
        <w:kinsoku/>
        <w:wordWrap/>
        <w:overflowPunct/>
        <w:topLinePunct w:val="0"/>
        <w:autoSpaceDE/>
        <w:autoSpaceDN/>
        <w:bidi w:val="0"/>
        <w:spacing w:before="0" w:line="560" w:lineRule="exact"/>
        <w:ind w:leftChars="0"/>
        <w:textAlignment w:val="auto"/>
        <w:rPr>
          <w:rFonts w:hint="eastAsia"/>
          <w:color w:val="auto"/>
          <w:highlight w:val="none"/>
          <w:lang w:val="en-US" w:eastAsia="zh-CN"/>
        </w:rPr>
      </w:pPr>
      <w:r>
        <w:rPr>
          <w:rFonts w:hint="eastAsia"/>
          <w:color w:val="auto"/>
          <w:highlight w:val="none"/>
          <w:lang w:val="en-US" w:eastAsia="zh-CN"/>
        </w:rPr>
        <w:t>1.政策、项目支出的投入情况分析</w:t>
      </w:r>
    </w:p>
    <w:p>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项目支出预算119.43</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其中：上级专项资金13.75万元，本级财政资金105.68万元</w:t>
      </w:r>
      <w:r>
        <w:rPr>
          <w:rFonts w:hint="eastAsia"/>
          <w:color w:val="auto"/>
          <w:highlight w:val="none"/>
          <w:lang w:eastAsia="zh-CN"/>
        </w:rPr>
        <w:t>。</w:t>
      </w:r>
    </w:p>
    <w:p>
      <w:pPr>
        <w:pStyle w:val="9"/>
        <w:pageBreakBefore w:val="0"/>
        <w:widowControl w:val="0"/>
        <w:kinsoku/>
        <w:wordWrap/>
        <w:overflowPunct/>
        <w:topLinePunct w:val="0"/>
        <w:autoSpaceDE/>
        <w:autoSpaceDN/>
        <w:bidi w:val="0"/>
        <w:spacing w:before="0" w:line="560" w:lineRule="exact"/>
        <w:ind w:leftChars="0"/>
        <w:textAlignment w:val="auto"/>
        <w:rPr>
          <w:rFonts w:hint="eastAsia"/>
          <w:color w:val="auto"/>
          <w:highlight w:val="none"/>
          <w:lang w:val="en-US" w:eastAsia="zh-CN"/>
        </w:rPr>
      </w:pPr>
      <w:r>
        <w:rPr>
          <w:rFonts w:hint="eastAsia"/>
          <w:color w:val="auto"/>
          <w:highlight w:val="none"/>
          <w:lang w:val="en-US" w:eastAsia="zh-CN"/>
        </w:rPr>
        <w:t>2.政策、项目支出管理情况</w:t>
      </w:r>
    </w:p>
    <w:p>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w:t>
      </w:r>
      <w:r>
        <w:rPr>
          <w:rFonts w:hint="eastAsia"/>
          <w:color w:val="auto"/>
          <w:highlight w:val="none"/>
          <w:lang w:val="en-US" w:eastAsia="zh-CN"/>
        </w:rPr>
        <w:t>2023年上级财政下达我单位专项资金</w:t>
      </w:r>
      <w:r>
        <w:rPr>
          <w:rFonts w:hint="eastAsia"/>
          <w:color w:val="auto"/>
          <w:highlight w:val="none"/>
          <w:lang w:val="en-US" w:eastAsia="zh-CN"/>
        </w:rPr>
        <w:t>119.43</w:t>
      </w:r>
      <w:r>
        <w:rPr>
          <w:rFonts w:hint="eastAsia"/>
          <w:color w:val="auto"/>
          <w:highlight w:val="none"/>
          <w:lang w:val="en-US" w:eastAsia="zh-CN"/>
        </w:rPr>
        <w:t>万元，其中</w:t>
      </w:r>
      <w:r>
        <w:rPr>
          <w:rFonts w:hint="default"/>
          <w:color w:val="auto"/>
          <w:highlight w:val="none"/>
          <w:lang w:val="en-US" w:eastAsia="zh-CN"/>
        </w:rPr>
        <w:t>保障</w:t>
      </w:r>
      <w:r>
        <w:rPr>
          <w:rFonts w:hint="eastAsia"/>
          <w:color w:val="auto"/>
          <w:highlight w:val="none"/>
          <w:lang w:val="en-US" w:eastAsia="zh-CN"/>
        </w:rPr>
        <w:t>行政运行保障经费</w:t>
      </w:r>
      <w:r>
        <w:rPr>
          <w:rFonts w:hint="default"/>
          <w:color w:val="auto"/>
          <w:highlight w:val="none"/>
          <w:lang w:val="en-US" w:eastAsia="zh-CN"/>
        </w:rPr>
        <w:t>项目、</w:t>
      </w:r>
      <w:r>
        <w:rPr>
          <w:rFonts w:hint="eastAsia"/>
          <w:color w:val="auto"/>
          <w:highlight w:val="none"/>
          <w:lang w:val="en-US" w:eastAsia="zh-CN"/>
        </w:rPr>
        <w:t>人工影响作业经费</w:t>
      </w:r>
      <w:r>
        <w:rPr>
          <w:rFonts w:hint="default"/>
          <w:color w:val="auto"/>
          <w:highlight w:val="none"/>
          <w:lang w:val="en-US" w:eastAsia="zh-CN"/>
        </w:rPr>
        <w:t>项目、</w:t>
      </w:r>
      <w:r>
        <w:rPr>
          <w:rFonts w:hint="eastAsia"/>
          <w:color w:val="auto"/>
          <w:highlight w:val="none"/>
          <w:lang w:val="en-US" w:eastAsia="zh-CN"/>
        </w:rPr>
        <w:t>唐志明信访案件化解资金项目、通信保障及相关费用</w:t>
      </w:r>
      <w:r>
        <w:rPr>
          <w:rFonts w:hint="default"/>
          <w:color w:val="auto"/>
          <w:highlight w:val="none"/>
          <w:lang w:val="en-US" w:eastAsia="zh-CN"/>
        </w:rPr>
        <w:t>项目</w:t>
      </w:r>
      <w:r>
        <w:rPr>
          <w:rFonts w:hint="default"/>
          <w:color w:val="auto"/>
          <w:highlight w:val="none"/>
          <w:lang w:val="en-US" w:eastAsia="zh-CN"/>
        </w:rPr>
        <w:t>等项目支出。</w:t>
      </w:r>
      <w:r>
        <w:rPr>
          <w:rFonts w:hint="eastAsia"/>
          <w:color w:val="auto"/>
          <w:highlight w:val="none"/>
          <w:lang w:val="en-US" w:eastAsia="zh-CN"/>
        </w:rPr>
        <w:t>全部通过财政国库集中支付方式直接拨给项目实施单位。</w:t>
      </w:r>
    </w:p>
    <w:p>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w:t>
      </w:r>
      <w:r>
        <w:rPr>
          <w:rFonts w:hint="eastAsia"/>
          <w:color w:val="auto"/>
          <w:highlight w:val="none"/>
          <w:lang w:val="en-US" w:eastAsia="zh-CN"/>
        </w:rPr>
        <w:t>对2023</w:t>
      </w:r>
      <w:r>
        <w:rPr>
          <w:rFonts w:hint="eastAsia"/>
          <w:color w:val="auto"/>
          <w:highlight w:val="none"/>
          <w:lang w:val="en-US" w:eastAsia="zh-CN"/>
        </w:rPr>
        <w:t>年我单位严格按照上级党委、政府要求做好了各项工作，做好了宣传贯彻执行党的路线方针、政策、贯彻落实上级党组织的决议、指示，完成</w:t>
      </w:r>
      <w:r>
        <w:rPr>
          <w:rFonts w:hint="eastAsia"/>
          <w:color w:val="auto"/>
          <w:highlight w:val="none"/>
          <w:lang w:val="en-US" w:eastAsia="zh-CN"/>
        </w:rPr>
        <w:t>行政服务中心</w:t>
      </w:r>
      <w:r>
        <w:rPr>
          <w:rFonts w:hint="default"/>
          <w:color w:val="auto"/>
          <w:highlight w:val="none"/>
          <w:lang w:val="en-US" w:eastAsia="zh-CN"/>
        </w:rPr>
        <w:t>、</w:t>
      </w:r>
      <w:r>
        <w:rPr>
          <w:rFonts w:hint="eastAsia"/>
          <w:color w:val="auto"/>
          <w:highlight w:val="none"/>
          <w:lang w:val="en-US" w:eastAsia="zh-CN"/>
        </w:rPr>
        <w:t>信访局、电子政务和大数据发展服务中心的各项工作有序开展；保障唐志明信访案件有效化解、保障政府党政大楼光纤和固话通讯正常运行</w:t>
      </w:r>
      <w:r>
        <w:rPr>
          <w:rFonts w:hint="eastAsia"/>
          <w:color w:val="auto"/>
          <w:highlight w:val="none"/>
          <w:lang w:val="en-US" w:eastAsia="zh-CN"/>
        </w:rPr>
        <w:t>，逐步有效提升了公务服务水平，维护了办公大楼正常运转。</w:t>
      </w:r>
    </w:p>
    <w:p>
      <w:pPr>
        <w:pStyle w:val="9"/>
        <w:pageBreakBefore w:val="0"/>
        <w:widowControl w:val="0"/>
        <w:kinsoku/>
        <w:wordWrap/>
        <w:overflowPunct/>
        <w:topLinePunct w:val="0"/>
        <w:autoSpaceDE/>
        <w:autoSpaceDN/>
        <w:bidi w:val="0"/>
        <w:spacing w:before="0" w:line="560" w:lineRule="exact"/>
        <w:ind w:leftChars="0"/>
        <w:textAlignment w:val="auto"/>
        <w:rPr>
          <w:rFonts w:hint="eastAsia"/>
          <w:color w:val="auto"/>
          <w:highlight w:val="none"/>
          <w:lang w:val="en-US" w:eastAsia="zh-CN"/>
        </w:rPr>
      </w:pPr>
      <w:r>
        <w:rPr>
          <w:rFonts w:hint="eastAsia"/>
          <w:color w:val="auto"/>
          <w:highlight w:val="none"/>
          <w:lang w:val="en-US" w:eastAsia="zh-CN"/>
        </w:rPr>
        <w:t>3.政策、项目支出总体实际使用情况</w:t>
      </w:r>
    </w:p>
    <w:p>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度安排项目支出资金119.43万元，</w:t>
      </w:r>
      <w:r>
        <w:rPr>
          <w:rFonts w:hint="eastAsia"/>
          <w:color w:val="auto"/>
          <w:highlight w:val="none"/>
          <w:lang w:eastAsia="zh-CN"/>
        </w:rPr>
        <w:t>实际</w:t>
      </w:r>
      <w:r>
        <w:rPr>
          <w:rFonts w:hint="eastAsia"/>
          <w:color w:val="auto"/>
          <w:highlight w:val="none"/>
          <w:lang w:val="en-US" w:eastAsia="zh-CN"/>
        </w:rPr>
        <w:t>支出119.43</w:t>
      </w:r>
      <w:r>
        <w:rPr>
          <w:rFonts w:hint="eastAsia"/>
          <w:color w:val="auto"/>
          <w:highlight w:val="none"/>
          <w:lang w:eastAsia="zh-CN"/>
        </w:rPr>
        <w:t>万元，</w:t>
      </w:r>
      <w:r>
        <w:rPr>
          <w:rFonts w:hint="eastAsia"/>
          <w:color w:val="auto"/>
          <w:highlight w:val="none"/>
          <w:lang w:val="en-US" w:eastAsia="zh-CN"/>
        </w:rPr>
        <w:t>其中：上级专项资金支出13.75万元，本级财政安排项目资金支出105.68万元，项目预算资金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r>
        <w:rPr>
          <w:rFonts w:hint="eastAsia"/>
          <w:color w:val="auto"/>
          <w:highlight w:val="none"/>
          <w:lang w:eastAsia="zh-CN"/>
        </w:rPr>
        <w:t>。</w:t>
      </w:r>
      <w:bookmarkStart w:id="2" w:name="_Toc1734_WPSOffice_Level1"/>
    </w:p>
    <w:p>
      <w:pPr>
        <w:pageBreakBefore w:val="0"/>
        <w:widowControl w:val="0"/>
        <w:kinsoku/>
        <w:wordWrap/>
        <w:overflowPunct/>
        <w:topLinePunct w:val="0"/>
        <w:autoSpaceDE/>
        <w:autoSpaceDN/>
        <w:bidi w:val="0"/>
        <w:spacing w:line="560" w:lineRule="exact"/>
        <w:ind w:leftChars="0"/>
        <w:textAlignment w:val="auto"/>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bookmarkStart w:id="6" w:name="_GoBack"/>
      <w:bookmarkEnd w:id="6"/>
      <w:r>
        <w:rPr>
          <w:rFonts w:hint="default"/>
          <w:color w:val="auto"/>
          <w:highlight w:val="none"/>
          <w:lang w:val="en-US" w:eastAsia="zh-CN"/>
        </w:rPr>
        <w:t>包括</w:t>
      </w:r>
      <w:r>
        <w:rPr>
          <w:rFonts w:hint="eastAsia"/>
          <w:color w:val="auto"/>
          <w:highlight w:val="none"/>
          <w:lang w:val="en-US" w:eastAsia="zh-CN"/>
        </w:rPr>
        <w:t>其他政府办公厅（室）及相关机构事务支出84.43万元、信访事务支出35万元。</w:t>
      </w:r>
    </w:p>
    <w:bookmarkEnd w:id="2"/>
    <w:p>
      <w:pPr>
        <w:pStyle w:val="7"/>
        <w:pageBreakBefore w:val="0"/>
        <w:widowControl w:val="0"/>
        <w:kinsoku/>
        <w:wordWrap/>
        <w:overflowPunct/>
        <w:topLinePunct w:val="0"/>
        <w:autoSpaceDE/>
        <w:autoSpaceDN/>
        <w:bidi w:val="0"/>
        <w:spacing w:line="560" w:lineRule="exact"/>
        <w:ind w:leftChars="0"/>
        <w:textAlignment w:val="auto"/>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pageBreakBefore w:val="0"/>
        <w:widowControl w:val="0"/>
        <w:kinsoku/>
        <w:wordWrap/>
        <w:overflowPunct/>
        <w:topLinePunct w:val="0"/>
        <w:autoSpaceDE/>
        <w:autoSpaceDN/>
        <w:bidi w:val="0"/>
        <w:spacing w:line="560" w:lineRule="exact"/>
        <w:ind w:leftChars="0"/>
        <w:textAlignment w:val="auto"/>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w:t>
      </w:r>
      <w:r>
        <w:rPr>
          <w:rFonts w:hint="eastAsia"/>
          <w:color w:val="auto"/>
          <w:highlight w:val="none"/>
        </w:rPr>
        <w:t>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11</w:t>
      </w:r>
      <w:r>
        <w:rPr>
          <w:rFonts w:hint="eastAsia"/>
          <w:color w:val="auto"/>
          <w:highlight w:val="none"/>
        </w:rPr>
        <w:t>个，三级指标</w:t>
      </w:r>
      <w:r>
        <w:rPr>
          <w:rFonts w:hint="eastAsia"/>
          <w:color w:val="auto"/>
          <w:highlight w:val="none"/>
          <w:lang w:val="en-US" w:eastAsia="zh-CN"/>
        </w:rPr>
        <w:t>11</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11</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8"/>
        <w:pageBreakBefore w:val="0"/>
        <w:widowControl w:val="0"/>
        <w:kinsoku/>
        <w:wordWrap/>
        <w:overflowPunct/>
        <w:topLinePunct w:val="0"/>
        <w:autoSpaceDE/>
        <w:autoSpaceDN/>
        <w:bidi w:val="0"/>
        <w:spacing w:before="0" w:beforeLines="0" w:afterLines="0" w:line="560" w:lineRule="exact"/>
        <w:ind w:leftChars="0"/>
        <w:textAlignment w:val="auto"/>
        <w:rPr>
          <w:rFonts w:hint="eastAsia"/>
          <w:color w:val="auto"/>
          <w:highlight w:val="none"/>
        </w:rPr>
      </w:pPr>
      <w:r>
        <w:rPr>
          <w:rFonts w:hint="eastAsia"/>
          <w:color w:val="auto"/>
          <w:highlight w:val="none"/>
          <w:lang w:eastAsia="zh-CN"/>
        </w:rPr>
        <w:t>（</w:t>
      </w:r>
      <w:r>
        <w:rPr>
          <w:rFonts w:hint="eastAsia"/>
          <w:color w:val="auto"/>
          <w:highlight w:val="none"/>
          <w:lang w:val="en-US" w:eastAsia="zh-CN"/>
        </w:rPr>
        <w:t>一）工资薪金发放人员</w:t>
      </w:r>
      <w:r>
        <w:rPr>
          <w:rFonts w:hint="eastAsia"/>
          <w:color w:val="auto"/>
          <w:highlight w:val="none"/>
        </w:rPr>
        <w:t>指标完成情况分析</w:t>
      </w:r>
    </w:p>
    <w:p>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工资薪金发放人员指标年初设定目标是76人，年中绩效运行监控时完成值75人，年终实际完成值是76人，指标完成率是100%，达到保障在职人员工资薪金（基本工资、津贴补贴、奖金、绩效工资等）足额发放。偏差原因：无偏差。</w:t>
      </w:r>
    </w:p>
    <w:p>
      <w:pPr>
        <w:pStyle w:val="8"/>
        <w:pageBreakBefore w:val="0"/>
        <w:widowControl w:val="0"/>
        <w:numPr>
          <w:ilvl w:val="0"/>
          <w:numId w:val="1"/>
        </w:numPr>
        <w:kinsoku/>
        <w:wordWrap/>
        <w:overflowPunct/>
        <w:topLinePunct w:val="0"/>
        <w:autoSpaceDE/>
        <w:autoSpaceDN/>
        <w:bidi w:val="0"/>
        <w:spacing w:before="0" w:beforeLines="0" w:afterLines="0" w:line="560" w:lineRule="exact"/>
        <w:ind w:leftChars="0"/>
        <w:textAlignment w:val="auto"/>
        <w:rPr>
          <w:rFonts w:hint="eastAsia"/>
          <w:color w:val="auto"/>
          <w:highlight w:val="none"/>
          <w:lang w:val="en-US" w:eastAsia="zh-CN"/>
        </w:rPr>
      </w:pPr>
      <w:r>
        <w:rPr>
          <w:rFonts w:hint="eastAsia"/>
          <w:color w:val="auto"/>
          <w:highlight w:val="none"/>
          <w:lang w:val="en-US" w:eastAsia="zh-CN"/>
        </w:rPr>
        <w:t>项目支出预算执行率指标完成情况分析</w:t>
      </w:r>
    </w:p>
    <w:p>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w:t>
      </w:r>
      <w:r>
        <w:rPr>
          <w:rFonts w:hint="eastAsia"/>
          <w:color w:val="auto"/>
          <w:highlight w:val="none"/>
          <w:lang w:val="en-US" w:eastAsia="zh-CN"/>
        </w:rPr>
        <w:t>监控时完成值55.29%，年终实际完成值是100%，指标完成率是100%，达到</w:t>
      </w:r>
      <w:r>
        <w:rPr>
          <w:rFonts w:hint="eastAsia" w:ascii="仿宋_GB2312" w:hAnsi="仿宋_GB2312" w:eastAsia="仿宋_GB2312" w:cs="仿宋_GB2312"/>
          <w:color w:val="auto"/>
          <w:sz w:val="28"/>
          <w:szCs w:val="28"/>
          <w:highlight w:val="none"/>
          <w:lang w:val="en-US" w:eastAsia="zh-CN" w:bidi="ar-SA"/>
        </w:rPr>
        <w:t>202</w:t>
      </w:r>
      <w:r>
        <w:rPr>
          <w:rFonts w:hint="eastAsia" w:eastAsia="仿宋_GB2312" w:cs="仿宋_GB2312"/>
          <w:color w:val="auto"/>
          <w:sz w:val="28"/>
          <w:szCs w:val="28"/>
          <w:highlight w:val="none"/>
          <w:lang w:val="en-US" w:eastAsia="zh-CN" w:bidi="ar-SA"/>
        </w:rPr>
        <w:t>3</w:t>
      </w:r>
      <w:r>
        <w:rPr>
          <w:rFonts w:hint="eastAsia" w:ascii="仿宋_GB2312" w:hAnsi="仿宋_GB2312" w:eastAsia="仿宋_GB2312" w:cs="仿宋_GB2312"/>
          <w:color w:val="auto"/>
          <w:sz w:val="28"/>
          <w:szCs w:val="28"/>
          <w:highlight w:val="none"/>
          <w:lang w:val="en-US" w:eastAsia="zh-CN" w:bidi="ar-SA"/>
        </w:rPr>
        <w:t>年我单位严格按照上级党委、政府要求做好了各项工作，做好了宣传贯彻执行党的路线方针、政策、贯彻落实上级党组织的决议、指示，</w:t>
      </w:r>
      <w:r>
        <w:rPr>
          <w:rFonts w:hint="eastAsia"/>
          <w:color w:val="auto"/>
          <w:highlight w:val="none"/>
          <w:lang w:val="en-US" w:eastAsia="zh-CN"/>
        </w:rPr>
        <w:t>完成</w:t>
      </w:r>
      <w:r>
        <w:rPr>
          <w:rFonts w:hint="eastAsia"/>
          <w:color w:val="auto"/>
          <w:highlight w:val="none"/>
          <w:lang w:val="en-US" w:eastAsia="zh-CN"/>
        </w:rPr>
        <w:t>行政服务中心</w:t>
      </w:r>
      <w:r>
        <w:rPr>
          <w:rFonts w:hint="default"/>
          <w:color w:val="auto"/>
          <w:highlight w:val="none"/>
          <w:lang w:val="en-US" w:eastAsia="zh-CN"/>
        </w:rPr>
        <w:t>、</w:t>
      </w:r>
      <w:r>
        <w:rPr>
          <w:rFonts w:hint="eastAsia"/>
          <w:color w:val="auto"/>
          <w:highlight w:val="none"/>
          <w:lang w:val="en-US" w:eastAsia="zh-CN"/>
        </w:rPr>
        <w:t>信访局、电子政务和大数据发展服务中心的各项工作有序开展；保障唐志明信访问题案件有效化解、保障政府党政大楼光纤和固话通讯正常运行</w:t>
      </w:r>
      <w:r>
        <w:rPr>
          <w:rFonts w:hint="eastAsia"/>
          <w:color w:val="auto"/>
          <w:highlight w:val="none"/>
          <w:lang w:val="en-US" w:eastAsia="zh-CN"/>
        </w:rPr>
        <w:t>，逐步有效提升了公务服务水平，维护了办公大楼正常运转。</w:t>
      </w:r>
      <w:r>
        <w:rPr>
          <w:rFonts w:hint="eastAsia"/>
          <w:color w:val="auto"/>
          <w:highlight w:val="none"/>
          <w:lang w:val="en-US" w:eastAsia="zh-CN"/>
        </w:rPr>
        <w:t>偏差原因：无偏差。</w:t>
      </w:r>
    </w:p>
    <w:p>
      <w:pPr>
        <w:pStyle w:val="8"/>
        <w:pageBreakBefore w:val="0"/>
        <w:widowControl w:val="0"/>
        <w:kinsoku/>
        <w:wordWrap/>
        <w:overflowPunct/>
        <w:topLinePunct w:val="0"/>
        <w:autoSpaceDE/>
        <w:autoSpaceDN/>
        <w:bidi w:val="0"/>
        <w:spacing w:before="0" w:beforeLines="0" w:afterLines="0" w:line="560" w:lineRule="exact"/>
        <w:ind w:leftChars="0"/>
        <w:textAlignment w:val="auto"/>
        <w:rPr>
          <w:rFonts w:hint="eastAsia"/>
          <w:color w:val="auto"/>
          <w:highlight w:val="none"/>
        </w:rPr>
      </w:pPr>
      <w:r>
        <w:rPr>
          <w:rFonts w:hint="eastAsia"/>
          <w:color w:val="auto"/>
          <w:highlight w:val="none"/>
          <w:lang w:eastAsia="zh-CN"/>
        </w:rPr>
        <w:t>（</w:t>
      </w:r>
      <w:r>
        <w:rPr>
          <w:rFonts w:hint="eastAsia"/>
          <w:color w:val="auto"/>
          <w:highlight w:val="none"/>
          <w:lang w:val="en-US" w:eastAsia="zh-CN"/>
        </w:rPr>
        <w:t>三）“三公经费”控制率</w:t>
      </w:r>
      <w:r>
        <w:rPr>
          <w:rFonts w:hint="eastAsia"/>
          <w:color w:val="auto"/>
          <w:highlight w:val="none"/>
        </w:rPr>
        <w:t>指标完成情况分析</w:t>
      </w:r>
    </w:p>
    <w:p>
      <w:pPr>
        <w:pageBreakBefore w:val="0"/>
        <w:widowControl w:val="0"/>
        <w:kinsoku/>
        <w:wordWrap/>
        <w:overflowPunct/>
        <w:topLinePunct w:val="0"/>
        <w:autoSpaceDE/>
        <w:autoSpaceDN/>
        <w:bidi w:val="0"/>
        <w:spacing w:line="560" w:lineRule="exact"/>
        <w:ind w:leftChars="0" w:firstLine="697" w:firstLineChars="249"/>
        <w:textAlignment w:val="auto"/>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进一步加强和规范机关车辆管理，严格厉行节约，本着安全、节能、节俭的原则。结合实际，统一管控费用，自行调度管理的预期目标。偏差原因：无偏差。</w:t>
      </w:r>
    </w:p>
    <w:p>
      <w:pPr>
        <w:pStyle w:val="8"/>
        <w:pageBreakBefore w:val="0"/>
        <w:widowControl w:val="0"/>
        <w:numPr>
          <w:ilvl w:val="0"/>
          <w:numId w:val="0"/>
        </w:numPr>
        <w:kinsoku/>
        <w:wordWrap/>
        <w:overflowPunct/>
        <w:topLinePunct w:val="0"/>
        <w:autoSpaceDE/>
        <w:autoSpaceDN/>
        <w:bidi w:val="0"/>
        <w:spacing w:before="0" w:beforeLines="0" w:afterLines="0" w:line="56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（四）公用经费支付及时率指标完成情况分析</w:t>
      </w:r>
    </w:p>
    <w:p>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公用经费支付及时率指标年初设定目标是&gt;=95%，年中绩效运行监控时完成值50%，年终实际完成值是100%，指标完成率是100%，2023年度</w:t>
      </w:r>
      <w:r>
        <w:rPr>
          <w:rFonts w:hint="eastAsia"/>
          <w:color w:val="auto"/>
          <w:highlight w:val="none"/>
          <w:lang w:val="en-US" w:eastAsia="zh-CN"/>
        </w:rPr>
        <w:t>办公费、印刷费、水费、电费、差旅费等公用经费支出均正常拨付，保障各部门各项工作有序开展，进一步提升了工作效率。</w:t>
      </w:r>
      <w:r>
        <w:rPr>
          <w:rFonts w:hint="eastAsia"/>
          <w:color w:val="auto"/>
          <w:highlight w:val="none"/>
          <w:lang w:val="en-US" w:eastAsia="zh-CN"/>
        </w:rPr>
        <w:t>偏差原因：无偏差。</w:t>
      </w:r>
    </w:p>
    <w:p>
      <w:pPr>
        <w:pStyle w:val="8"/>
        <w:pageBreakBefore w:val="0"/>
        <w:widowControl w:val="0"/>
        <w:numPr>
          <w:ilvl w:val="0"/>
          <w:numId w:val="0"/>
        </w:numPr>
        <w:kinsoku/>
        <w:wordWrap/>
        <w:overflowPunct/>
        <w:topLinePunct w:val="0"/>
        <w:autoSpaceDE/>
        <w:autoSpaceDN/>
        <w:bidi w:val="0"/>
        <w:spacing w:before="0" w:beforeLines="0" w:afterLines="0" w:line="56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（五）公务保障用车数量指标完成情况分析</w:t>
      </w:r>
    </w:p>
    <w:p>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公务保障用车数量指标年初设定目标是2辆，年中绩效运行监控时完成值2辆，年终实际完成值是2辆，指标完成率是100%，达到按使用公车的实际情况展开对车辆维护维修、加油、购买保险等工作的预期目标。偏差原因：无偏差。</w:t>
      </w:r>
    </w:p>
    <w:p>
      <w:pPr>
        <w:pStyle w:val="8"/>
        <w:pageBreakBefore w:val="0"/>
        <w:widowControl w:val="0"/>
        <w:kinsoku/>
        <w:wordWrap/>
        <w:overflowPunct/>
        <w:topLinePunct w:val="0"/>
        <w:autoSpaceDE/>
        <w:autoSpaceDN/>
        <w:bidi w:val="0"/>
        <w:spacing w:before="0" w:beforeLines="0" w:afterLines="0" w:line="560" w:lineRule="exact"/>
        <w:ind w:leftChars="0"/>
        <w:textAlignment w:val="auto"/>
        <w:rPr>
          <w:rFonts w:hint="eastAsia"/>
          <w:color w:val="auto"/>
          <w:highlight w:val="none"/>
          <w:lang w:val="en-US" w:eastAsia="zh-CN"/>
        </w:rPr>
      </w:pPr>
      <w:r>
        <w:rPr>
          <w:rFonts w:hint="eastAsia"/>
          <w:color w:val="auto"/>
          <w:highlight w:val="none"/>
          <w:lang w:val="en-US" w:eastAsia="zh-CN"/>
        </w:rPr>
        <w:t>（六）月平均政府办公室督查工作次数指标完成情况分析</w:t>
      </w:r>
    </w:p>
    <w:p>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月平均政府办公室督查工作次数指标年初设定目标是5次，年中绩效运行监控时完成值5次，年终实际完成值是5次，指标完成率是100%，采取实地督查、电话催办、文件通报等方式，重点抓好政府工作报告明确的重大事项、政府常务会议议定的事项以及各项中心工作的督查。共开展专项督查35多次，印发督查通报10期，承办县领导批交办事项15件，确保各项重点工作有效落实。达到进一步加强协调督办的预期目标。偏差原因：无偏差。</w:t>
      </w:r>
    </w:p>
    <w:p>
      <w:pPr>
        <w:pStyle w:val="8"/>
        <w:pageBreakBefore w:val="0"/>
        <w:widowControl w:val="0"/>
        <w:numPr>
          <w:ilvl w:val="0"/>
          <w:numId w:val="0"/>
        </w:numPr>
        <w:kinsoku/>
        <w:wordWrap/>
        <w:overflowPunct/>
        <w:topLinePunct w:val="0"/>
        <w:autoSpaceDE/>
        <w:autoSpaceDN/>
        <w:bidi w:val="0"/>
        <w:spacing w:before="0" w:beforeLines="0" w:afterLines="0" w:line="56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（七）保障和静县政府中心工作正常运行指标完成情况分析</w:t>
      </w:r>
    </w:p>
    <w:p>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保障和静县政府中心工作正常运行指标年初设定目标是100%，年中绩效运行监控时完成值50%，年终实际完成值是100%，指标完成率是100%，紧紧围绕县委、县人民政府中心工作，自觉做到服务发展、服务决策、服务落实，不断推进办公室工作再上新台阶。达到持续规范收件、阅件、办件流转程序，加快流转速度，提高办理时效的预期目标。偏差原因：无偏差。</w:t>
      </w:r>
    </w:p>
    <w:p>
      <w:pPr>
        <w:pageBreakBefore w:val="0"/>
        <w:widowControl w:val="0"/>
        <w:kinsoku/>
        <w:wordWrap/>
        <w:overflowPunct/>
        <w:topLinePunct w:val="0"/>
        <w:autoSpaceDE/>
        <w:autoSpaceDN/>
        <w:bidi w:val="0"/>
        <w:spacing w:line="560" w:lineRule="exact"/>
        <w:ind w:leftChars="0"/>
        <w:textAlignment w:val="auto"/>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（八）保障州党委专项业务工作完成率指标完成情况分析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保障州党委专项业务工作完成率指标年初设定目标是100%，年中绩效运行监控时完成值50%，年终实际完成值是100%，指标完成率是100%，达到了完成州党委专项业务工作的预期目标。偏差原因：无偏差。</w:t>
      </w:r>
    </w:p>
    <w:p>
      <w:pPr>
        <w:pageBreakBefore w:val="0"/>
        <w:widowControl w:val="0"/>
        <w:kinsoku/>
        <w:wordWrap/>
        <w:overflowPunct/>
        <w:topLinePunct w:val="0"/>
        <w:autoSpaceDE/>
        <w:autoSpaceDN/>
        <w:bidi w:val="0"/>
        <w:spacing w:line="560" w:lineRule="exact"/>
        <w:ind w:leftChars="0"/>
        <w:textAlignment w:val="auto"/>
        <w:rPr>
          <w:rFonts w:hint="eastAsia" w:ascii="Arial" w:hAnsi="Arial" w:eastAsia="楷体_GB2312" w:cs="仿宋_GB2312"/>
          <w:b/>
          <w:bCs w:val="0"/>
          <w:color w:val="auto"/>
          <w:kern w:val="2"/>
          <w:sz w:val="32"/>
          <w:szCs w:val="24"/>
          <w:highlight w:val="none"/>
          <w:lang w:val="en-US" w:eastAsia="zh-CN" w:bidi="ar-SA"/>
        </w:rPr>
      </w:pPr>
      <w:r>
        <w:rPr>
          <w:rFonts w:hint="eastAsia" w:ascii="Arial" w:hAnsi="Arial" w:eastAsia="楷体_GB2312" w:cs="仿宋_GB2312"/>
          <w:b/>
          <w:bCs w:val="0"/>
          <w:color w:val="auto"/>
          <w:kern w:val="2"/>
          <w:sz w:val="32"/>
          <w:szCs w:val="24"/>
          <w:highlight w:val="none"/>
          <w:lang w:val="en-US" w:eastAsia="zh-CN" w:bidi="ar-SA"/>
        </w:rPr>
        <w:t>（九）政务规范管理服务率</w:t>
      </w:r>
      <w:r>
        <w:rPr>
          <w:rFonts w:hint="eastAsia" w:ascii="Arial" w:hAnsi="Arial" w:eastAsia="楷体_GB2312" w:cs="仿宋_GB2312"/>
          <w:b/>
          <w:color w:val="auto"/>
          <w:kern w:val="2"/>
          <w:sz w:val="32"/>
          <w:szCs w:val="24"/>
          <w:highlight w:val="none"/>
          <w:lang w:val="en-US" w:eastAsia="zh-CN" w:bidi="ar-SA"/>
        </w:rPr>
        <w:t>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政务规范管理服务率指标年初设定目标是&gt;=95%，年中绩效运行监控时完成值50%，年终实际完成值是100%，指标完成率是100%，实施“网上+线下”双线运行，</w:t>
      </w:r>
      <w:r>
        <w:rPr>
          <w:rFonts w:hint="default"/>
          <w:color w:val="auto"/>
          <w:highlight w:val="none"/>
          <w:lang w:val="en-US" w:eastAsia="zh-CN"/>
        </w:rPr>
        <w:t>进驻单位由以前</w:t>
      </w:r>
      <w:r>
        <w:rPr>
          <w:rFonts w:hint="eastAsia"/>
          <w:color w:val="auto"/>
          <w:highlight w:val="none"/>
          <w:lang w:val="en-US" w:eastAsia="zh-CN"/>
        </w:rPr>
        <w:t>26</w:t>
      </w:r>
      <w:r>
        <w:rPr>
          <w:rFonts w:hint="default"/>
          <w:color w:val="auto"/>
          <w:highlight w:val="none"/>
          <w:lang w:val="en-US" w:eastAsia="zh-CN"/>
        </w:rPr>
        <w:t>个增加至3</w:t>
      </w:r>
      <w:r>
        <w:rPr>
          <w:rFonts w:hint="eastAsia"/>
          <w:color w:val="auto"/>
          <w:highlight w:val="none"/>
          <w:lang w:val="en-US" w:eastAsia="zh-CN"/>
        </w:rPr>
        <w:t>0</w:t>
      </w:r>
      <w:r>
        <w:rPr>
          <w:rFonts w:hint="default"/>
          <w:color w:val="auto"/>
          <w:highlight w:val="none"/>
          <w:lang w:val="en-US" w:eastAsia="zh-CN"/>
        </w:rPr>
        <w:t>个，进驻各类审批和公共服务事项981项</w:t>
      </w:r>
      <w:r>
        <w:rPr>
          <w:rFonts w:hint="eastAsia"/>
          <w:color w:val="auto"/>
          <w:highlight w:val="none"/>
          <w:lang w:val="en-US" w:eastAsia="zh-CN"/>
        </w:rPr>
        <w:t>。网上梳理发布政务服务事项730项，“网上”可办率100%，线下在乡镇设立便民服务中心12个、村（社区）便民服务站90个，县行政服务中心设立24小时政务服务自助区，实现“服务零距离、便民不打烊”。截至12月底，共受理各类业务14万余件，同比增长40%。达到了进一步加强政务服务工作的预期目标。偏差原因：无偏差。</w:t>
      </w:r>
    </w:p>
    <w:p>
      <w:pPr>
        <w:pageBreakBefore w:val="0"/>
        <w:widowControl w:val="0"/>
        <w:kinsoku/>
        <w:wordWrap/>
        <w:overflowPunct/>
        <w:topLinePunct w:val="0"/>
        <w:autoSpaceDE/>
        <w:autoSpaceDN/>
        <w:bidi w:val="0"/>
        <w:spacing w:line="560" w:lineRule="exact"/>
        <w:ind w:leftChars="0"/>
        <w:textAlignment w:val="auto"/>
        <w:rPr>
          <w:rFonts w:hint="eastAsia" w:ascii="Arial" w:hAnsi="Arial" w:eastAsia="楷体_GB2312" w:cs="仿宋_GB2312"/>
          <w:b/>
          <w:bCs w:val="0"/>
          <w:color w:val="auto"/>
          <w:kern w:val="2"/>
          <w:sz w:val="32"/>
          <w:szCs w:val="24"/>
          <w:highlight w:val="none"/>
          <w:lang w:val="en-US" w:eastAsia="zh-CN" w:bidi="ar-SA"/>
        </w:rPr>
      </w:pPr>
      <w:r>
        <w:rPr>
          <w:rFonts w:hint="eastAsia" w:ascii="Arial" w:hAnsi="Arial" w:eastAsia="楷体_GB2312" w:cs="仿宋_GB2312"/>
          <w:b/>
          <w:bCs w:val="0"/>
          <w:color w:val="auto"/>
          <w:kern w:val="2"/>
          <w:sz w:val="32"/>
          <w:szCs w:val="24"/>
          <w:highlight w:val="none"/>
          <w:lang w:val="en-US" w:eastAsia="zh-CN" w:bidi="ar-SA"/>
        </w:rPr>
        <w:t>（十）有效提升办公场所的安全性</w:t>
      </w:r>
      <w:r>
        <w:rPr>
          <w:rFonts w:hint="eastAsia" w:ascii="Arial" w:hAnsi="Arial" w:eastAsia="楷体_GB2312" w:cs="仿宋_GB2312"/>
          <w:b/>
          <w:color w:val="auto"/>
          <w:kern w:val="2"/>
          <w:sz w:val="32"/>
          <w:szCs w:val="24"/>
          <w:highlight w:val="none"/>
          <w:lang w:val="en-US" w:eastAsia="zh-CN" w:bidi="ar-SA"/>
        </w:rPr>
        <w:t>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有效提升办公场所的安全性指标年初设定目标是&gt;=95%，年中绩效运行监控时完成值50%，年终实际完成值是100%，指标完成率是100%，2023年度针对办公场所进行改善，提升办公场所的环境，为办事群众和工作人员营造良好的办事环境。达到了有效提升办公场所的安全性的预期目标。偏差原因：无偏差。</w:t>
      </w:r>
    </w:p>
    <w:p>
      <w:pPr>
        <w:pageBreakBefore w:val="0"/>
        <w:widowControl w:val="0"/>
        <w:kinsoku/>
        <w:wordWrap/>
        <w:overflowPunct/>
        <w:topLinePunct w:val="0"/>
        <w:autoSpaceDE/>
        <w:autoSpaceDN/>
        <w:bidi w:val="0"/>
        <w:spacing w:line="560" w:lineRule="exact"/>
        <w:ind w:leftChars="0"/>
        <w:textAlignment w:val="auto"/>
        <w:rPr>
          <w:rFonts w:hint="eastAsia" w:ascii="Arial" w:hAnsi="Arial" w:eastAsia="楷体_GB2312" w:cs="仿宋_GB2312"/>
          <w:b/>
          <w:bCs w:val="0"/>
          <w:color w:val="auto"/>
          <w:kern w:val="2"/>
          <w:sz w:val="32"/>
          <w:szCs w:val="24"/>
          <w:highlight w:val="none"/>
          <w:lang w:val="en-US" w:eastAsia="zh-CN" w:bidi="ar-SA"/>
        </w:rPr>
      </w:pPr>
      <w:r>
        <w:rPr>
          <w:rFonts w:hint="eastAsia" w:ascii="Arial" w:hAnsi="Arial" w:eastAsia="楷体_GB2312" w:cs="仿宋_GB2312"/>
          <w:b/>
          <w:bCs w:val="0"/>
          <w:color w:val="auto"/>
          <w:kern w:val="2"/>
          <w:sz w:val="32"/>
          <w:szCs w:val="24"/>
          <w:highlight w:val="none"/>
          <w:lang w:val="en-US" w:eastAsia="zh-CN" w:bidi="ar-SA"/>
        </w:rPr>
        <w:t>（十一）服务对象满意度</w:t>
      </w:r>
      <w:r>
        <w:rPr>
          <w:rFonts w:hint="eastAsia" w:ascii="Arial" w:hAnsi="Arial" w:eastAsia="楷体_GB2312" w:cs="仿宋_GB2312"/>
          <w:b/>
          <w:color w:val="auto"/>
          <w:kern w:val="2"/>
          <w:sz w:val="32"/>
          <w:szCs w:val="24"/>
          <w:highlight w:val="none"/>
          <w:lang w:val="en-US" w:eastAsia="zh-CN" w:bidi="ar-SA"/>
        </w:rPr>
        <w:t>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服务对象满意度指标年初设定目标是&gt;=95%，年中绩效运行监控时完成值50%，年终实际完成值是100%，指标完成率是100%，2023年以来，坚持以人民为中心的发展思想，做好便民利民工作，着力解决群众“急难愁盼”问题。达到了有效解决办事群众办事需求的预期目标。偏差原因：无偏差。</w:t>
      </w:r>
    </w:p>
    <w:p>
      <w:pPr>
        <w:pStyle w:val="7"/>
        <w:pageBreakBefore w:val="0"/>
        <w:widowControl w:val="0"/>
        <w:numPr>
          <w:ilvl w:val="0"/>
          <w:numId w:val="0"/>
        </w:numPr>
        <w:kinsoku/>
        <w:wordWrap/>
        <w:overflowPunct/>
        <w:topLinePunct w:val="0"/>
        <w:autoSpaceDE/>
        <w:autoSpaceDN/>
        <w:bidi w:val="0"/>
        <w:spacing w:line="560" w:lineRule="exact"/>
        <w:ind w:leftChars="0" w:firstLine="640" w:firstLineChars="200"/>
        <w:textAlignment w:val="auto"/>
        <w:rPr>
          <w:rFonts w:hint="default"/>
          <w:color w:val="auto"/>
          <w:highlight w:val="none"/>
          <w:lang w:val="en-US"/>
        </w:rPr>
      </w:pPr>
      <w:r>
        <w:rPr>
          <w:rFonts w:hint="eastAsia"/>
          <w:color w:val="auto"/>
          <w:highlight w:val="none"/>
          <w:lang w:val="en-US" w:eastAsia="zh-CN"/>
        </w:rPr>
        <w:t>四、评价结论</w:t>
      </w:r>
    </w:p>
    <w:p>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分，评价结果为“优”。我</w:t>
      </w:r>
      <w:r>
        <w:rPr>
          <w:rFonts w:hint="default"/>
          <w:color w:val="auto"/>
          <w:highlight w:val="none"/>
          <w:lang w:eastAsia="zh-CN"/>
        </w:rPr>
        <w:t>单位202</w:t>
      </w:r>
      <w:r>
        <w:rPr>
          <w:rFonts w:hint="eastAsia"/>
          <w:color w:val="auto"/>
          <w:highlight w:val="none"/>
          <w:lang w:val="en-US" w:eastAsia="zh-CN"/>
        </w:rPr>
        <w:t>3</w:t>
      </w:r>
      <w:r>
        <w:rPr>
          <w:rFonts w:hint="default"/>
          <w:color w:val="auto"/>
          <w:highlight w:val="none"/>
          <w:lang w:eastAsia="zh-CN"/>
        </w:rPr>
        <w:t>年部门履职效果良好，</w:t>
      </w:r>
      <w:r>
        <w:rPr>
          <w:rFonts w:hint="eastAsia"/>
          <w:color w:val="auto"/>
          <w:highlight w:val="none"/>
          <w:lang w:val="en-US" w:eastAsia="zh-CN"/>
        </w:rPr>
        <w:t>主要体现在：</w:t>
      </w:r>
    </w:p>
    <w:p>
      <w:pPr>
        <w:pageBreakBefore w:val="0"/>
        <w:widowControl w:val="0"/>
        <w:kinsoku/>
        <w:wordWrap/>
        <w:overflowPunct/>
        <w:topLinePunct w:val="0"/>
        <w:autoSpaceDE/>
        <w:autoSpaceDN/>
        <w:bidi w:val="0"/>
        <w:spacing w:line="560" w:lineRule="exact"/>
        <w:ind w:leftChars="0"/>
        <w:textAlignment w:val="auto"/>
        <w:rPr>
          <w:rFonts w:hint="default"/>
          <w:color w:val="auto"/>
          <w:highlight w:val="none"/>
          <w:lang w:eastAsia="zh-CN"/>
        </w:rPr>
      </w:pPr>
      <w:r>
        <w:rPr>
          <w:rFonts w:hint="eastAsia"/>
          <w:color w:val="auto"/>
          <w:highlight w:val="none"/>
          <w:lang w:eastAsia="zh-CN"/>
        </w:rPr>
        <w:t>截至</w:t>
      </w:r>
      <w:r>
        <w:rPr>
          <w:rFonts w:hint="default"/>
          <w:color w:val="auto"/>
          <w:highlight w:val="none"/>
          <w:lang w:eastAsia="zh-CN"/>
        </w:rPr>
        <w:t>2023年12月31日，我单位保障了</w:t>
      </w:r>
      <w:r>
        <w:rPr>
          <w:rFonts w:hint="eastAsia"/>
          <w:color w:val="auto"/>
          <w:highlight w:val="none"/>
          <w:lang w:val="en-US" w:eastAsia="zh-CN"/>
        </w:rPr>
        <w:t>76</w:t>
      </w:r>
      <w:r>
        <w:rPr>
          <w:rFonts w:hint="default"/>
          <w:color w:val="auto"/>
          <w:highlight w:val="none"/>
          <w:lang w:eastAsia="zh-CN"/>
        </w:rPr>
        <w:t>名办公人员工资发放和日常办公运转经费，确保单位各项工作有序开展。完成保障政府办、行政服务中心、电子政务和大数据发展服务中心日常政务服务，政务网站维护等工作，确保办公室工作优质高效运转。</w:t>
      </w:r>
    </w:p>
    <w:p>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eastAsia="zh-CN"/>
        </w:rPr>
      </w:pPr>
      <w:r>
        <w:rPr>
          <w:rFonts w:hint="default"/>
          <w:color w:val="auto"/>
          <w:highlight w:val="none"/>
          <w:lang w:eastAsia="zh-CN"/>
        </w:rPr>
        <w:t>通过我单位全年整体工作，有效提高了政府办各项工作完成效率，保障了工作优质高效运转，履行了本单位职责，部门整体支出达到履行职责，主动、优质、高效做好为领导服务、为部门服务、为基层和群众服务的效果。</w:t>
      </w:r>
    </w:p>
    <w:p>
      <w:pPr>
        <w:pStyle w:val="7"/>
        <w:pageBreakBefore w:val="0"/>
        <w:widowControl w:val="0"/>
        <w:kinsoku/>
        <w:wordWrap/>
        <w:overflowPunct/>
        <w:topLinePunct w:val="0"/>
        <w:autoSpaceDE/>
        <w:autoSpaceDN/>
        <w:bidi w:val="0"/>
        <w:spacing w:line="560" w:lineRule="exact"/>
        <w:ind w:leftChars="0"/>
        <w:textAlignment w:val="auto"/>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bookmarkStart w:id="5" w:name="_Toc29546_WPSOffice_Level1"/>
      <w:r>
        <w:rPr>
          <w:rFonts w:hint="eastAsia"/>
          <w:color w:val="auto"/>
          <w:highlight w:val="none"/>
          <w:lang w:val="en-US" w:eastAsia="zh-CN"/>
        </w:rPr>
        <w:t>我单位建设管理和专业技术人才相对缺乏，在工作协调等方面存在不足，绩效目标设立不够明确、细化和量化，未完善相关管理制度和优化管理方案，未财务工作中遇到的难事及问题及时向领导反映，引起领导重视，并告知利弊关系。</w:t>
      </w:r>
    </w:p>
    <w:p>
      <w:pPr>
        <w:pStyle w:val="7"/>
        <w:pageBreakBefore w:val="0"/>
        <w:widowControl w:val="0"/>
        <w:kinsoku/>
        <w:wordWrap/>
        <w:overflowPunct/>
        <w:topLinePunct w:val="0"/>
        <w:autoSpaceDE/>
        <w:autoSpaceDN/>
        <w:bidi w:val="0"/>
        <w:spacing w:line="560" w:lineRule="exact"/>
        <w:ind w:leftChars="0"/>
        <w:textAlignment w:val="auto"/>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pageBreakBefore w:val="0"/>
        <w:widowControl w:val="0"/>
        <w:kinsoku/>
        <w:wordWrap/>
        <w:overflowPunct/>
        <w:topLinePunct w:val="0"/>
        <w:autoSpaceDE/>
        <w:autoSpaceDN/>
        <w:bidi w:val="0"/>
        <w:spacing w:line="560" w:lineRule="exact"/>
        <w:ind w:leftChars="0"/>
        <w:textAlignment w:val="auto"/>
        <w:rPr>
          <w:rFonts w:hint="default"/>
          <w:color w:val="auto"/>
          <w:highlight w:val="none"/>
          <w:lang w:val="en-US" w:eastAsia="zh-CN"/>
        </w:rPr>
      </w:pPr>
      <w:r>
        <w:rPr>
          <w:rFonts w:hint="eastAsia"/>
          <w:color w:val="auto"/>
          <w:highlight w:val="none"/>
          <w:lang w:val="en-US" w:eastAsia="zh-CN"/>
        </w:rPr>
        <w:t>进一步加强预算管理知识的学习，结合单位实际情况，吸取今年预算上的经验教训，为今后的预算管理打好基础，做好部门预算，合理有效地管理使用资金，客观全面地做好整体支出绩效评价工作。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pStyle w:val="7"/>
        <w:pageBreakBefore w:val="0"/>
        <w:widowControl w:val="0"/>
        <w:kinsoku/>
        <w:wordWrap/>
        <w:overflowPunct/>
        <w:topLinePunct w:val="0"/>
        <w:autoSpaceDE/>
        <w:autoSpaceDN/>
        <w:bidi w:val="0"/>
        <w:spacing w:line="560" w:lineRule="exact"/>
        <w:ind w:leftChars="0"/>
        <w:textAlignment w:val="auto"/>
        <w:rPr>
          <w:rFonts w:hint="default"/>
          <w:color w:val="auto"/>
          <w:highlight w:val="none"/>
          <w:lang w:val="en-US" w:eastAsia="zh-CN"/>
        </w:rPr>
      </w:pPr>
      <w:r>
        <w:rPr>
          <w:rFonts w:hint="eastAsia"/>
          <w:color w:val="auto"/>
          <w:highlight w:val="none"/>
          <w:lang w:val="en-US" w:eastAsia="zh-CN"/>
        </w:rPr>
        <w:t>七、附件上传</w:t>
      </w:r>
    </w:p>
    <w:p>
      <w:pPr>
        <w:pageBreakBefore w:val="0"/>
        <w:widowControl w:val="0"/>
        <w:kinsoku/>
        <w:wordWrap/>
        <w:overflowPunct/>
        <w:topLinePunct w:val="0"/>
        <w:autoSpaceDE/>
        <w:autoSpaceDN/>
        <w:bidi w:val="0"/>
        <w:spacing w:line="560" w:lineRule="exact"/>
        <w:textAlignment w:val="auto"/>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CG Times">
    <w:altName w:val="Segoe Print"/>
    <w:panose1 w:val="00000000000000000000"/>
    <w:charset w:val="00"/>
    <w:family w:val="roman"/>
    <w:pitch w:val="default"/>
    <w:sig w:usb0="00000000" w:usb1="00000000" w:usb2="00000000" w:usb3="00000000" w:csb0="00000001" w:csb1="00000000"/>
  </w:font>
  <w:font w:name="方正黑体_GBK">
    <w:altName w:val="微软雅黑"/>
    <w:panose1 w:val="03000509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1D33AE"/>
    <w:multiLevelType w:val="singleLevel"/>
    <w:tmpl w:val="991D33A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A058C"/>
    <w:rsid w:val="00EB1FFE"/>
    <w:rsid w:val="00F326C7"/>
    <w:rsid w:val="00F84215"/>
    <w:rsid w:val="00FF2ACD"/>
    <w:rsid w:val="01192C19"/>
    <w:rsid w:val="012008EE"/>
    <w:rsid w:val="014D3B53"/>
    <w:rsid w:val="01941124"/>
    <w:rsid w:val="01C04E49"/>
    <w:rsid w:val="01CC583F"/>
    <w:rsid w:val="02337D11"/>
    <w:rsid w:val="02C40969"/>
    <w:rsid w:val="02FA27EA"/>
    <w:rsid w:val="031F3DF1"/>
    <w:rsid w:val="042008E4"/>
    <w:rsid w:val="04390EE3"/>
    <w:rsid w:val="04D506BA"/>
    <w:rsid w:val="04DB4953"/>
    <w:rsid w:val="04FF0482"/>
    <w:rsid w:val="05062887"/>
    <w:rsid w:val="05464D81"/>
    <w:rsid w:val="054E009A"/>
    <w:rsid w:val="056075C3"/>
    <w:rsid w:val="05A22841"/>
    <w:rsid w:val="05B43FA6"/>
    <w:rsid w:val="05C50C80"/>
    <w:rsid w:val="05F70F85"/>
    <w:rsid w:val="0607573C"/>
    <w:rsid w:val="06492D10"/>
    <w:rsid w:val="06547701"/>
    <w:rsid w:val="072B19D6"/>
    <w:rsid w:val="084208C4"/>
    <w:rsid w:val="09646A02"/>
    <w:rsid w:val="098A3C0A"/>
    <w:rsid w:val="09A24E4E"/>
    <w:rsid w:val="09B734BC"/>
    <w:rsid w:val="09EB0ED1"/>
    <w:rsid w:val="0A00497C"/>
    <w:rsid w:val="0A9A7091"/>
    <w:rsid w:val="0ADA24F2"/>
    <w:rsid w:val="0BBF3E33"/>
    <w:rsid w:val="0BFC5602"/>
    <w:rsid w:val="0C2315EE"/>
    <w:rsid w:val="0C260D87"/>
    <w:rsid w:val="0C6738B8"/>
    <w:rsid w:val="0CF87B8D"/>
    <w:rsid w:val="0E7D784C"/>
    <w:rsid w:val="0EA45F81"/>
    <w:rsid w:val="0EE2536A"/>
    <w:rsid w:val="0F2173E4"/>
    <w:rsid w:val="0FA464D0"/>
    <w:rsid w:val="0FC95811"/>
    <w:rsid w:val="10300946"/>
    <w:rsid w:val="10A658BE"/>
    <w:rsid w:val="10FE60D7"/>
    <w:rsid w:val="114B20AE"/>
    <w:rsid w:val="118714DF"/>
    <w:rsid w:val="11EB5F12"/>
    <w:rsid w:val="120B01B1"/>
    <w:rsid w:val="134F7771"/>
    <w:rsid w:val="13575641"/>
    <w:rsid w:val="13E513B9"/>
    <w:rsid w:val="141302DC"/>
    <w:rsid w:val="14382F65"/>
    <w:rsid w:val="145C1C86"/>
    <w:rsid w:val="149E3820"/>
    <w:rsid w:val="14BA61DA"/>
    <w:rsid w:val="15436065"/>
    <w:rsid w:val="158C5316"/>
    <w:rsid w:val="15B904C0"/>
    <w:rsid w:val="16041701"/>
    <w:rsid w:val="165C118C"/>
    <w:rsid w:val="165E3157"/>
    <w:rsid w:val="167A0848"/>
    <w:rsid w:val="1685269B"/>
    <w:rsid w:val="16AF6C02"/>
    <w:rsid w:val="172D035F"/>
    <w:rsid w:val="17565A33"/>
    <w:rsid w:val="175D58E3"/>
    <w:rsid w:val="18061B60"/>
    <w:rsid w:val="18F4477D"/>
    <w:rsid w:val="190C3DF8"/>
    <w:rsid w:val="19255502"/>
    <w:rsid w:val="19670574"/>
    <w:rsid w:val="198729C4"/>
    <w:rsid w:val="19AA4D08"/>
    <w:rsid w:val="19F83E30"/>
    <w:rsid w:val="1B403139"/>
    <w:rsid w:val="1B4668AA"/>
    <w:rsid w:val="1B700139"/>
    <w:rsid w:val="1C6D319F"/>
    <w:rsid w:val="1D384A93"/>
    <w:rsid w:val="1D4D74D6"/>
    <w:rsid w:val="1D9A6E70"/>
    <w:rsid w:val="1DD11336"/>
    <w:rsid w:val="1DDE68C1"/>
    <w:rsid w:val="1DE32CFD"/>
    <w:rsid w:val="1E0844B5"/>
    <w:rsid w:val="1E594203"/>
    <w:rsid w:val="1F1A602A"/>
    <w:rsid w:val="1F2854B6"/>
    <w:rsid w:val="1F590AD4"/>
    <w:rsid w:val="1FA0658E"/>
    <w:rsid w:val="20162B09"/>
    <w:rsid w:val="20824916"/>
    <w:rsid w:val="20833695"/>
    <w:rsid w:val="209B1FA4"/>
    <w:rsid w:val="217D20CE"/>
    <w:rsid w:val="21C67E02"/>
    <w:rsid w:val="21C768CD"/>
    <w:rsid w:val="22E14253"/>
    <w:rsid w:val="234407DB"/>
    <w:rsid w:val="23931BB2"/>
    <w:rsid w:val="23F209A3"/>
    <w:rsid w:val="2403516E"/>
    <w:rsid w:val="243E45C7"/>
    <w:rsid w:val="256A2A9E"/>
    <w:rsid w:val="273E1E9D"/>
    <w:rsid w:val="27F7226E"/>
    <w:rsid w:val="2805537E"/>
    <w:rsid w:val="284F04EA"/>
    <w:rsid w:val="28600A3C"/>
    <w:rsid w:val="289437EE"/>
    <w:rsid w:val="28DC615D"/>
    <w:rsid w:val="290110A9"/>
    <w:rsid w:val="29763D4C"/>
    <w:rsid w:val="297873DB"/>
    <w:rsid w:val="298A1173"/>
    <w:rsid w:val="29F35E61"/>
    <w:rsid w:val="2A202079"/>
    <w:rsid w:val="2A285817"/>
    <w:rsid w:val="2A2F2480"/>
    <w:rsid w:val="2A3F558A"/>
    <w:rsid w:val="2A691F0C"/>
    <w:rsid w:val="2AD70314"/>
    <w:rsid w:val="2AE7572E"/>
    <w:rsid w:val="2B5B0DB0"/>
    <w:rsid w:val="2B6F150A"/>
    <w:rsid w:val="2BB557CB"/>
    <w:rsid w:val="2BC51751"/>
    <w:rsid w:val="2D016802"/>
    <w:rsid w:val="2D166684"/>
    <w:rsid w:val="2E241A52"/>
    <w:rsid w:val="2E8D1C5D"/>
    <w:rsid w:val="2EBF757D"/>
    <w:rsid w:val="2F170E1B"/>
    <w:rsid w:val="2F2B399A"/>
    <w:rsid w:val="2F3E65B0"/>
    <w:rsid w:val="2F681F0A"/>
    <w:rsid w:val="301F19DA"/>
    <w:rsid w:val="30F80136"/>
    <w:rsid w:val="31321010"/>
    <w:rsid w:val="313A1C72"/>
    <w:rsid w:val="317258B0"/>
    <w:rsid w:val="31750EFD"/>
    <w:rsid w:val="31927D00"/>
    <w:rsid w:val="31AE39CE"/>
    <w:rsid w:val="31B83F5F"/>
    <w:rsid w:val="31FF74C3"/>
    <w:rsid w:val="32253DE6"/>
    <w:rsid w:val="3278025F"/>
    <w:rsid w:val="32874A67"/>
    <w:rsid w:val="328E2AB6"/>
    <w:rsid w:val="329B12EA"/>
    <w:rsid w:val="32A41A99"/>
    <w:rsid w:val="32FB1A54"/>
    <w:rsid w:val="33291F9F"/>
    <w:rsid w:val="33347BA9"/>
    <w:rsid w:val="33A83F87"/>
    <w:rsid w:val="33D53ED4"/>
    <w:rsid w:val="340D2D0F"/>
    <w:rsid w:val="348953EB"/>
    <w:rsid w:val="348F1A9E"/>
    <w:rsid w:val="34A456FD"/>
    <w:rsid w:val="355C2B3F"/>
    <w:rsid w:val="356B4AF0"/>
    <w:rsid w:val="35E903B7"/>
    <w:rsid w:val="35F12468"/>
    <w:rsid w:val="36631C6B"/>
    <w:rsid w:val="36851B5C"/>
    <w:rsid w:val="3732791D"/>
    <w:rsid w:val="37661A13"/>
    <w:rsid w:val="376D10B3"/>
    <w:rsid w:val="37907A19"/>
    <w:rsid w:val="379871D0"/>
    <w:rsid w:val="37BA58BB"/>
    <w:rsid w:val="37D360CA"/>
    <w:rsid w:val="38A87AB1"/>
    <w:rsid w:val="38B36EDA"/>
    <w:rsid w:val="38CB5066"/>
    <w:rsid w:val="38E054C9"/>
    <w:rsid w:val="39991D6B"/>
    <w:rsid w:val="39E606FA"/>
    <w:rsid w:val="3A565DE9"/>
    <w:rsid w:val="3A6E5B88"/>
    <w:rsid w:val="3AC36A27"/>
    <w:rsid w:val="3ACC74DF"/>
    <w:rsid w:val="3C2604B4"/>
    <w:rsid w:val="3CB52DCD"/>
    <w:rsid w:val="3EF42390"/>
    <w:rsid w:val="3F301058"/>
    <w:rsid w:val="3FFB3E04"/>
    <w:rsid w:val="41614FF9"/>
    <w:rsid w:val="417A34F9"/>
    <w:rsid w:val="418810F4"/>
    <w:rsid w:val="41A37673"/>
    <w:rsid w:val="42503F5E"/>
    <w:rsid w:val="42A36BAA"/>
    <w:rsid w:val="42C30950"/>
    <w:rsid w:val="430C7E31"/>
    <w:rsid w:val="43AE3CFE"/>
    <w:rsid w:val="44022299"/>
    <w:rsid w:val="459B4F7E"/>
    <w:rsid w:val="45A65C7F"/>
    <w:rsid w:val="45F13359"/>
    <w:rsid w:val="468C2A4A"/>
    <w:rsid w:val="46AD2493"/>
    <w:rsid w:val="46EA49B9"/>
    <w:rsid w:val="46EC7F14"/>
    <w:rsid w:val="47CA7D9C"/>
    <w:rsid w:val="47DB3D58"/>
    <w:rsid w:val="48077C95"/>
    <w:rsid w:val="48194880"/>
    <w:rsid w:val="48AF4C7F"/>
    <w:rsid w:val="4A5B46DD"/>
    <w:rsid w:val="4A6F6A56"/>
    <w:rsid w:val="4A81677A"/>
    <w:rsid w:val="4AFE63E6"/>
    <w:rsid w:val="4AFF1B0B"/>
    <w:rsid w:val="4B3814C1"/>
    <w:rsid w:val="4B3B5348"/>
    <w:rsid w:val="4D677A74"/>
    <w:rsid w:val="4DA177B2"/>
    <w:rsid w:val="4DA370C6"/>
    <w:rsid w:val="4DF36D4F"/>
    <w:rsid w:val="4E656784"/>
    <w:rsid w:val="501B7C76"/>
    <w:rsid w:val="504D5CCF"/>
    <w:rsid w:val="50903205"/>
    <w:rsid w:val="511A2CA6"/>
    <w:rsid w:val="51695F30"/>
    <w:rsid w:val="516D6EA0"/>
    <w:rsid w:val="51D722A6"/>
    <w:rsid w:val="533A7469"/>
    <w:rsid w:val="53526129"/>
    <w:rsid w:val="538B4CD8"/>
    <w:rsid w:val="53A21BCD"/>
    <w:rsid w:val="53C615F3"/>
    <w:rsid w:val="54394F3D"/>
    <w:rsid w:val="54EE58A4"/>
    <w:rsid w:val="556D3C84"/>
    <w:rsid w:val="561B1877"/>
    <w:rsid w:val="565F61A9"/>
    <w:rsid w:val="569C0B56"/>
    <w:rsid w:val="56AD4B11"/>
    <w:rsid w:val="57232FC4"/>
    <w:rsid w:val="572C48EB"/>
    <w:rsid w:val="572D2326"/>
    <w:rsid w:val="57365691"/>
    <w:rsid w:val="57E91B40"/>
    <w:rsid w:val="584F5166"/>
    <w:rsid w:val="588E7FDC"/>
    <w:rsid w:val="58A67A6A"/>
    <w:rsid w:val="58D40FD2"/>
    <w:rsid w:val="595106F5"/>
    <w:rsid w:val="59EE1E48"/>
    <w:rsid w:val="5A455061"/>
    <w:rsid w:val="5A490F5C"/>
    <w:rsid w:val="5A8042EB"/>
    <w:rsid w:val="5B805E16"/>
    <w:rsid w:val="5BD21464"/>
    <w:rsid w:val="5BD26A6C"/>
    <w:rsid w:val="5BDE2B83"/>
    <w:rsid w:val="5C317F92"/>
    <w:rsid w:val="5C777282"/>
    <w:rsid w:val="5CC826A5"/>
    <w:rsid w:val="5DA44FED"/>
    <w:rsid w:val="5DBA4548"/>
    <w:rsid w:val="5DCD5E96"/>
    <w:rsid w:val="5DD021B6"/>
    <w:rsid w:val="5DE0200F"/>
    <w:rsid w:val="5EA41084"/>
    <w:rsid w:val="606F5C0E"/>
    <w:rsid w:val="612E684E"/>
    <w:rsid w:val="61320080"/>
    <w:rsid w:val="61635F72"/>
    <w:rsid w:val="618606C5"/>
    <w:rsid w:val="61EF4230"/>
    <w:rsid w:val="6224402D"/>
    <w:rsid w:val="628A3F58"/>
    <w:rsid w:val="6384067A"/>
    <w:rsid w:val="638D125E"/>
    <w:rsid w:val="6396333E"/>
    <w:rsid w:val="63E114D3"/>
    <w:rsid w:val="64E2324C"/>
    <w:rsid w:val="657E385B"/>
    <w:rsid w:val="65870C23"/>
    <w:rsid w:val="65B25CA0"/>
    <w:rsid w:val="66996B52"/>
    <w:rsid w:val="66CD2666"/>
    <w:rsid w:val="68512306"/>
    <w:rsid w:val="68BB64B7"/>
    <w:rsid w:val="68BE1DBF"/>
    <w:rsid w:val="69E233FB"/>
    <w:rsid w:val="6A0B29EA"/>
    <w:rsid w:val="6A0B51FA"/>
    <w:rsid w:val="6AD46D46"/>
    <w:rsid w:val="6ADF27F8"/>
    <w:rsid w:val="6B07083C"/>
    <w:rsid w:val="6B623CC4"/>
    <w:rsid w:val="6B6C65E0"/>
    <w:rsid w:val="6B9B0F84"/>
    <w:rsid w:val="6C2B67AC"/>
    <w:rsid w:val="6CD95D17"/>
    <w:rsid w:val="6CED34DE"/>
    <w:rsid w:val="6D460ADF"/>
    <w:rsid w:val="6D576C06"/>
    <w:rsid w:val="6DCD2EB0"/>
    <w:rsid w:val="6DE07909"/>
    <w:rsid w:val="6DF13355"/>
    <w:rsid w:val="6E58438A"/>
    <w:rsid w:val="6E7066F8"/>
    <w:rsid w:val="6E840861"/>
    <w:rsid w:val="6E9D5508"/>
    <w:rsid w:val="6F0B5C65"/>
    <w:rsid w:val="6F871359"/>
    <w:rsid w:val="711B7F18"/>
    <w:rsid w:val="71494FDF"/>
    <w:rsid w:val="716F2C97"/>
    <w:rsid w:val="71956194"/>
    <w:rsid w:val="71EB22B3"/>
    <w:rsid w:val="71F63E6E"/>
    <w:rsid w:val="72010FA6"/>
    <w:rsid w:val="72E43211"/>
    <w:rsid w:val="733F48EB"/>
    <w:rsid w:val="737305B5"/>
    <w:rsid w:val="73BD0803"/>
    <w:rsid w:val="74212849"/>
    <w:rsid w:val="744C1D4E"/>
    <w:rsid w:val="748A4F72"/>
    <w:rsid w:val="74961819"/>
    <w:rsid w:val="750202C6"/>
    <w:rsid w:val="753D34FD"/>
    <w:rsid w:val="755C0579"/>
    <w:rsid w:val="75664078"/>
    <w:rsid w:val="761E4132"/>
    <w:rsid w:val="76636B42"/>
    <w:rsid w:val="771E704A"/>
    <w:rsid w:val="78061A79"/>
    <w:rsid w:val="79181486"/>
    <w:rsid w:val="7AFE508C"/>
    <w:rsid w:val="7B2561EC"/>
    <w:rsid w:val="7BA142EA"/>
    <w:rsid w:val="7BC003CA"/>
    <w:rsid w:val="7C5C650E"/>
    <w:rsid w:val="7C981177"/>
    <w:rsid w:val="7CB94AAC"/>
    <w:rsid w:val="7CBF4BB4"/>
    <w:rsid w:val="7DBD4B70"/>
    <w:rsid w:val="7E4B4156"/>
    <w:rsid w:val="7E53749D"/>
    <w:rsid w:val="7E5D346D"/>
    <w:rsid w:val="7E635C1A"/>
    <w:rsid w:val="7EB0669D"/>
    <w:rsid w:val="7EB65F51"/>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7">
    <w:name w:val="heading 1"/>
    <w:basedOn w:val="1"/>
    <w:next w:val="1"/>
    <w:qFormat/>
    <w:uiPriority w:val="0"/>
    <w:pPr>
      <w:keepNext/>
      <w:keepLines/>
      <w:jc w:val="left"/>
      <w:outlineLvl w:val="0"/>
    </w:pPr>
    <w:rPr>
      <w:rFonts w:ascii="宋体" w:hAnsi="宋体" w:eastAsia="黑体"/>
      <w:bCs/>
      <w:kern w:val="44"/>
      <w:sz w:val="32"/>
      <w:szCs w:val="44"/>
    </w:rPr>
  </w:style>
  <w:style w:type="paragraph" w:styleId="8">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9">
    <w:name w:val="heading 3"/>
    <w:basedOn w:val="1"/>
    <w:next w:val="1"/>
    <w:unhideWhenUsed/>
    <w:qFormat/>
    <w:uiPriority w:val="9"/>
    <w:pPr>
      <w:keepNext/>
      <w:keepLines/>
      <w:spacing w:before="140" w:line="360" w:lineRule="auto"/>
      <w:outlineLvl w:val="2"/>
    </w:pPr>
    <w:rPr>
      <w:b/>
      <w:bCs/>
      <w:sz w:val="30"/>
      <w:szCs w:val="32"/>
    </w:rPr>
  </w:style>
  <w:style w:type="character" w:default="1" w:styleId="22">
    <w:name w:val="Default Paragraph Font"/>
    <w:unhideWhenUsed/>
    <w:qFormat/>
    <w:uiPriority w:val="1"/>
  </w:style>
  <w:style w:type="table" w:default="1" w:styleId="20">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spacing w:line="312" w:lineRule="auto"/>
      <w:ind w:firstLine="420"/>
    </w:pPr>
    <w:rPr>
      <w:rFonts w:ascii="宋体" w:hAnsi="CG Times"/>
      <w:bCs/>
      <w:sz w:val="24"/>
    </w:rPr>
  </w:style>
  <w:style w:type="paragraph" w:styleId="3">
    <w:name w:val="Body Text Indent"/>
    <w:basedOn w:val="1"/>
    <w:next w:val="4"/>
    <w:qFormat/>
    <w:uiPriority w:val="0"/>
    <w:pPr>
      <w:spacing w:after="120" w:afterLines="0"/>
      <w:ind w:left="420" w:leftChars="200"/>
    </w:pPr>
  </w:style>
  <w:style w:type="paragraph" w:styleId="4">
    <w:name w:val="Body Text"/>
    <w:basedOn w:val="1"/>
    <w:next w:val="5"/>
    <w:qFormat/>
    <w:uiPriority w:val="0"/>
    <w:pPr>
      <w:spacing w:before="240" w:after="240" w:line="360" w:lineRule="auto"/>
      <w:jc w:val="center"/>
    </w:pPr>
    <w:rPr>
      <w:b/>
      <w:sz w:val="44"/>
    </w:rPr>
  </w:style>
  <w:style w:type="paragraph" w:styleId="5">
    <w:name w:val="Body Text First Indent"/>
    <w:basedOn w:val="4"/>
    <w:next w:val="6"/>
    <w:unhideWhenUsed/>
    <w:qFormat/>
    <w:uiPriority w:val="99"/>
    <w:pPr>
      <w:ind w:firstLine="420" w:firstLineChars="100"/>
    </w:pPr>
  </w:style>
  <w:style w:type="paragraph" w:styleId="6">
    <w:name w:val="footer"/>
    <w:basedOn w:val="1"/>
    <w:next w:val="1"/>
    <w:link w:val="26"/>
    <w:unhideWhenUsed/>
    <w:qFormat/>
    <w:uiPriority w:val="99"/>
    <w:pPr>
      <w:tabs>
        <w:tab w:val="center" w:pos="4153"/>
        <w:tab w:val="right" w:pos="8306"/>
      </w:tabs>
      <w:snapToGrid w:val="0"/>
      <w:jc w:val="left"/>
    </w:pPr>
    <w:rPr>
      <w:sz w:val="18"/>
      <w:szCs w:val="18"/>
    </w:rPr>
  </w:style>
  <w:style w:type="paragraph" w:styleId="10">
    <w:name w:val="Normal Indent"/>
    <w:basedOn w:val="1"/>
    <w:next w:val="11"/>
    <w:qFormat/>
    <w:uiPriority w:val="0"/>
    <w:pPr>
      <w:ind w:firstLine="420"/>
    </w:pPr>
    <w:rPr>
      <w:sz w:val="21"/>
    </w:rPr>
  </w:style>
  <w:style w:type="paragraph" w:styleId="11">
    <w:name w:val="toc 4"/>
    <w:basedOn w:val="1"/>
    <w:next w:val="1"/>
    <w:qFormat/>
    <w:uiPriority w:val="0"/>
    <w:pPr>
      <w:ind w:left="1260" w:leftChars="600"/>
    </w:pPr>
  </w:style>
  <w:style w:type="paragraph" w:styleId="12">
    <w:name w:val="annotation text"/>
    <w:basedOn w:val="1"/>
    <w:unhideWhenUsed/>
    <w:qFormat/>
    <w:uiPriority w:val="99"/>
    <w:pPr>
      <w:jc w:val="left"/>
    </w:pPr>
  </w:style>
  <w:style w:type="paragraph" w:styleId="13">
    <w:name w:val="Plain Text"/>
    <w:basedOn w:val="1"/>
    <w:next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 w:type="paragraph" w:styleId="14">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footnote text"/>
    <w:basedOn w:val="1"/>
    <w:next w:val="16"/>
    <w:qFormat/>
    <w:uiPriority w:val="0"/>
    <w:pPr>
      <w:snapToGrid w:val="0"/>
      <w:jc w:val="left"/>
    </w:pPr>
    <w:rPr>
      <w:rFonts w:hint="eastAsia"/>
      <w:sz w:val="18"/>
    </w:rPr>
  </w:style>
  <w:style w:type="paragraph" w:customStyle="1" w:styleId="16">
    <w:name w:val="正文文本首行缩进 21"/>
    <w:basedOn w:val="17"/>
    <w:qFormat/>
    <w:uiPriority w:val="0"/>
    <w:pPr>
      <w:ind w:firstLine="420" w:firstLineChars="200"/>
    </w:pPr>
  </w:style>
  <w:style w:type="paragraph" w:customStyle="1" w:styleId="17">
    <w:name w:val="正文文本缩进1"/>
    <w:basedOn w:val="1"/>
    <w:next w:val="18"/>
    <w:qFormat/>
    <w:uiPriority w:val="0"/>
    <w:pPr>
      <w:spacing w:line="574" w:lineRule="exact"/>
      <w:ind w:left="400" w:hanging="400" w:hangingChars="400"/>
    </w:pPr>
    <w:rPr>
      <w:rFonts w:eastAsia="仿宋_GB2312"/>
      <w:sz w:val="32"/>
      <w:szCs w:val="32"/>
    </w:rPr>
  </w:style>
  <w:style w:type="paragraph" w:customStyle="1" w:styleId="18">
    <w:name w:val="正文缩进1"/>
    <w:basedOn w:val="1"/>
    <w:qFormat/>
    <w:uiPriority w:val="0"/>
    <w:pPr>
      <w:ind w:firstLine="420"/>
    </w:pPr>
    <w:rPr>
      <w:sz w:val="32"/>
    </w:rPr>
  </w:style>
  <w:style w:type="paragraph" w:styleId="19">
    <w:name w:val="Normal (Web)"/>
    <w:basedOn w:val="1"/>
    <w:qFormat/>
    <w:uiPriority w:val="99"/>
    <w:pPr>
      <w:spacing w:before="100" w:beforeAutospacing="1" w:after="100" w:afterAutospacing="1"/>
      <w:jc w:val="left"/>
    </w:pPr>
    <w:rPr>
      <w:sz w:val="24"/>
      <w:lang w:bidi="ar"/>
    </w:rPr>
  </w:style>
  <w:style w:type="table" w:styleId="21">
    <w:name w:val="Table Grid"/>
    <w:basedOn w:val="2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qFormat/>
    <w:uiPriority w:val="0"/>
    <w:rPr>
      <w:b/>
      <w:bCs/>
    </w:rPr>
  </w:style>
  <w:style w:type="character" w:styleId="24">
    <w:name w:val="Hyperlink"/>
    <w:basedOn w:val="22"/>
    <w:qFormat/>
    <w:uiPriority w:val="0"/>
    <w:rPr>
      <w:color w:val="5B677D"/>
      <w:u w:val="none"/>
    </w:rPr>
  </w:style>
  <w:style w:type="paragraph" w:customStyle="1" w:styleId="25">
    <w:name w:val="List Paragraph"/>
    <w:basedOn w:val="1"/>
    <w:unhideWhenUsed/>
    <w:qFormat/>
    <w:uiPriority w:val="99"/>
    <w:pPr>
      <w:ind w:firstLine="420" w:firstLineChars="200"/>
    </w:pPr>
  </w:style>
  <w:style w:type="character" w:customStyle="1" w:styleId="26">
    <w:name w:val="页脚 字符"/>
    <w:basedOn w:val="22"/>
    <w:link w:val="6"/>
    <w:qFormat/>
    <w:uiPriority w:val="99"/>
    <w:rPr>
      <w:sz w:val="18"/>
      <w:szCs w:val="18"/>
    </w:rPr>
  </w:style>
  <w:style w:type="character" w:customStyle="1" w:styleId="27">
    <w:name w:val="页眉 字符"/>
    <w:basedOn w:val="22"/>
    <w:link w:val="14"/>
    <w:qFormat/>
    <w:uiPriority w:val="99"/>
    <w:rPr>
      <w:sz w:val="18"/>
      <w:szCs w:val="18"/>
    </w:rPr>
  </w:style>
  <w:style w:type="paragraph" w:customStyle="1" w:styleId="28">
    <w:name w:val="WPSOffice手动目录 1"/>
    <w:qFormat/>
    <w:uiPriority w:val="0"/>
    <w:pPr>
      <w:ind w:leftChars="0"/>
    </w:pPr>
    <w:rPr>
      <w:rFonts w:asciiTheme="minorHAnsi" w:hAnsiTheme="minorHAnsi" w:eastAsiaTheme="minorEastAsia" w:cstheme="minorBidi"/>
      <w:sz w:val="20"/>
      <w:szCs w:val="20"/>
    </w:rPr>
  </w:style>
  <w:style w:type="paragraph" w:customStyle="1" w:styleId="29">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21</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2024-08-11T08:44:39Z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