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313" w:beforeLines="100" w:line="480" w:lineRule="auto"/>
        <w:ind w:left="0" w:leftChars="0" w:firstLine="0" w:firstLineChars="0"/>
        <w:jc w:val="center"/>
        <w:textAlignment w:val="auto"/>
        <w:rPr>
          <w:rFonts w:hint="eastAsia" w:ascii="黑体" w:hAnsi="黑体" w:eastAsia="黑体" w:cs="黑体"/>
          <w:color w:val="auto"/>
          <w:sz w:val="44"/>
          <w:szCs w:val="44"/>
          <w:highlight w:val="none"/>
          <w:lang w:val="en-US" w:eastAsia="zh-CN"/>
        </w:rPr>
      </w:pPr>
      <w:bookmarkStart w:id="0" w:name="_Toc23945_WPSOffice_Level1"/>
      <w:r>
        <w:rPr>
          <w:rFonts w:hint="eastAsia" w:ascii="黑体" w:hAnsi="黑体" w:eastAsia="黑体" w:cs="黑体"/>
          <w:color w:val="auto"/>
          <w:sz w:val="44"/>
          <w:szCs w:val="44"/>
          <w:highlight w:val="none"/>
          <w:lang w:val="en-US" w:eastAsia="zh-CN"/>
        </w:rPr>
        <w:t>和静县交通运输局整体支出绩效自评报告</w:t>
      </w:r>
    </w:p>
    <w:p>
      <w:pPr>
        <w:pStyle w:val="4"/>
        <w:bidi w:val="0"/>
        <w:rPr>
          <w:rFonts w:hint="eastAsia"/>
          <w:color w:val="auto"/>
          <w:highlight w:val="none"/>
        </w:rPr>
      </w:pPr>
      <w:r>
        <w:rPr>
          <w:rFonts w:hint="eastAsia"/>
          <w:color w:val="auto"/>
          <w:highlight w:val="none"/>
          <w:lang w:val="en-US" w:eastAsia="zh-CN"/>
        </w:rPr>
        <w:t>一、</w:t>
      </w:r>
      <w:r>
        <w:rPr>
          <w:rFonts w:hint="eastAsia"/>
          <w:color w:val="auto"/>
          <w:highlight w:val="none"/>
        </w:rPr>
        <w:t>基本概况</w:t>
      </w:r>
      <w:bookmarkEnd w:id="0"/>
    </w:p>
    <w:p>
      <w:pPr>
        <w:pStyle w:val="5"/>
        <w:bidi w:val="0"/>
        <w:rPr>
          <w:rFonts w:hint="eastAsia"/>
          <w:color w:val="auto"/>
          <w:highlight w:val="none"/>
          <w:lang w:val="en-US" w:eastAsia="zh-CN"/>
        </w:rPr>
      </w:pPr>
      <w:r>
        <w:rPr>
          <w:rFonts w:hint="eastAsia"/>
          <w:color w:val="auto"/>
          <w:highlight w:val="none"/>
        </w:rPr>
        <w:t>（一）</w:t>
      </w:r>
      <w:r>
        <w:rPr>
          <w:rFonts w:hint="eastAsia"/>
          <w:color w:val="auto"/>
          <w:highlight w:val="none"/>
          <w:lang w:val="en-US" w:eastAsia="zh-CN"/>
        </w:rPr>
        <w:t>部门</w:t>
      </w:r>
      <w:r>
        <w:rPr>
          <w:rFonts w:hint="eastAsia"/>
          <w:color w:val="auto"/>
          <w:highlight w:val="none"/>
        </w:rPr>
        <w:t>单位基本情况</w:t>
      </w:r>
    </w:p>
    <w:p>
      <w:pPr>
        <w:pStyle w:val="6"/>
        <w:bidi w:val="0"/>
        <w:rPr>
          <w:rFonts w:hint="eastAsia"/>
          <w:color w:val="auto"/>
          <w:highlight w:val="none"/>
          <w:lang w:val="en-US" w:eastAsia="zh-CN"/>
        </w:rPr>
      </w:pPr>
      <w:r>
        <w:rPr>
          <w:rFonts w:hint="eastAsia"/>
          <w:color w:val="auto"/>
          <w:highlight w:val="none"/>
          <w:lang w:val="en-US" w:eastAsia="zh-CN"/>
        </w:rPr>
        <w:t>1.部门主要职能</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和静县交通运输局为正科级单位，贯彻落实党中央、自治区和自治州关于交通运输工作的方针政策和决策部署以及县党委工作要求，在履行职责过程中坚持和加强党对交通运输工作的集中统一领导。</w:t>
      </w:r>
    </w:p>
    <w:p>
      <w:pPr>
        <w:ind w:firstLine="560"/>
        <w:rPr>
          <w:rFonts w:hint="eastAsia"/>
          <w:color w:val="auto"/>
          <w:szCs w:val="28"/>
          <w:highlight w:val="none"/>
        </w:rPr>
      </w:pPr>
      <w:r>
        <w:rPr>
          <w:rFonts w:hint="eastAsia"/>
          <w:color w:val="auto"/>
          <w:szCs w:val="28"/>
          <w:highlight w:val="none"/>
        </w:rPr>
        <w:t>主要职责是：</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（1）贯彻执行国家、自治区有关公路交通的方针、政 策、法规，并组织实施和监督检查。</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（2）编制和静县农村公路交通发展规划、中长期计划并监督实施。</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（3）负责全县县道、乡道及繁华小城镇街道、重点专用公路的建设、管理、养护及路政管理工作。</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（4）指导全县交通行业体制改革；培育和管理交通运输市场交通基础建设市场，建立完善信息服务体系，维护交通行业的平等竞争秩序；引导交通行业优化结构，协调发展。</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（5）负责提出公路固定资产投资规模和方向、财政性资金安排意见。会同有关部门制定交通运输行业价格，对涉及财政、土地、价格等方面的问题提出政策建议。</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6）承担农村公路建设市场监管责任，配合州局协调重点农村公路工程建设和工程质量、安全生产监督管理工作。指导交通基础设施管理和维护，承担重要设施的管理和维护。负责农村公路及管辖范围内专用公路的建设、养护。负责管辖范围内县道、乡道的建设、养护和管理工作。</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（7）贯彻执行交通行业科技政策、技术标准和规范。</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（8）负责并指导全县交通行业财务、审计、统计工作；协同有关部门监督交通行业价格、税收及有关方面的经济政策执行。</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（9）负责交通行业的法制宣传、交通行政复议工作；负责全县交通基础设施建设中的引资和开展交通经济技术交流与合作工作。</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（10）负责全县交通备战工作，出入境运输管理工作。</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（1</w:t>
      </w:r>
      <w:r>
        <w:rPr>
          <w:rFonts w:hint="eastAsia" w:eastAsia="仿宋_GB2312" w:cs="Times New Roman"/>
          <w:color w:val="auto"/>
          <w:kern w:val="2"/>
          <w:sz w:val="28"/>
          <w:szCs w:val="28"/>
          <w:highlight w:val="none"/>
          <w:lang w:val="en-US" w:eastAsia="zh-CN" w:bidi="ar-SA"/>
        </w:rPr>
        <w:t>1</w:t>
      </w:r>
      <w:r>
        <w:rPr>
          <w:rFonts w:hint="eastAsia" w:ascii="仿宋_GB2312" w:hAnsi="仿宋_GB2312" w:eastAsia="仿宋_GB2312" w:cs="Times New Roman"/>
          <w:color w:val="auto"/>
          <w:kern w:val="2"/>
          <w:sz w:val="28"/>
          <w:szCs w:val="28"/>
          <w:highlight w:val="none"/>
          <w:lang w:val="en-US" w:eastAsia="zh-CN" w:bidi="ar-SA"/>
        </w:rPr>
        <w:t>）贯彻执行国家、自治区、自治州及和静县有关交通运输工作的方针、政策和法律、法规。</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（1</w:t>
      </w:r>
      <w:r>
        <w:rPr>
          <w:rFonts w:hint="eastAsia" w:eastAsia="仿宋_GB2312" w:cs="Times New Roman"/>
          <w:color w:val="auto"/>
          <w:kern w:val="2"/>
          <w:sz w:val="28"/>
          <w:szCs w:val="28"/>
          <w:highlight w:val="none"/>
          <w:lang w:val="en-US" w:eastAsia="zh-CN" w:bidi="ar-SA"/>
        </w:rPr>
        <w:t>2</w:t>
      </w:r>
      <w:r>
        <w:rPr>
          <w:rFonts w:hint="eastAsia" w:ascii="仿宋_GB2312" w:hAnsi="仿宋_GB2312" w:eastAsia="仿宋_GB2312" w:cs="Times New Roman"/>
          <w:color w:val="auto"/>
          <w:kern w:val="2"/>
          <w:sz w:val="28"/>
          <w:szCs w:val="28"/>
          <w:highlight w:val="none"/>
          <w:lang w:val="en-US" w:eastAsia="zh-CN" w:bidi="ar-SA"/>
        </w:rPr>
        <w:t>）负责职责范围内的道路运输经营、地方海事、</w:t>
      </w:r>
      <w:r>
        <w:rPr>
          <w:rFonts w:hint="eastAsia" w:eastAsia="仿宋_GB2312" w:cs="Times New Roman"/>
          <w:color w:val="auto"/>
          <w:kern w:val="2"/>
          <w:sz w:val="28"/>
          <w:szCs w:val="28"/>
          <w:highlight w:val="none"/>
          <w:lang w:val="en-US" w:eastAsia="zh-CN" w:bidi="ar-SA"/>
        </w:rPr>
        <w:t>渔业船舶</w:t>
      </w:r>
      <w:r>
        <w:rPr>
          <w:rFonts w:hint="eastAsia" w:ascii="仿宋_GB2312" w:hAnsi="仿宋_GB2312" w:eastAsia="仿宋_GB2312" w:cs="Times New Roman"/>
          <w:color w:val="auto"/>
          <w:kern w:val="2"/>
          <w:sz w:val="28"/>
          <w:szCs w:val="28"/>
          <w:highlight w:val="none"/>
          <w:lang w:val="en-US" w:eastAsia="zh-CN" w:bidi="ar-SA"/>
        </w:rPr>
        <w:t>监测等方面的行政执法工作。</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（1</w:t>
      </w:r>
      <w:r>
        <w:rPr>
          <w:rFonts w:hint="eastAsia" w:eastAsia="仿宋_GB2312" w:cs="Times New Roman"/>
          <w:color w:val="auto"/>
          <w:kern w:val="2"/>
          <w:sz w:val="28"/>
          <w:szCs w:val="28"/>
          <w:highlight w:val="none"/>
          <w:lang w:val="en-US" w:eastAsia="zh-CN" w:bidi="ar-SA"/>
        </w:rPr>
        <w:t>3</w:t>
      </w:r>
      <w:r>
        <w:rPr>
          <w:rFonts w:hint="eastAsia" w:ascii="仿宋_GB2312" w:hAnsi="仿宋_GB2312" w:eastAsia="仿宋_GB2312" w:cs="Times New Roman"/>
          <w:color w:val="auto"/>
          <w:kern w:val="2"/>
          <w:sz w:val="28"/>
          <w:szCs w:val="28"/>
          <w:highlight w:val="none"/>
          <w:lang w:val="en-US" w:eastAsia="zh-CN" w:bidi="ar-SA"/>
        </w:rPr>
        <w:t>）负责职责范围内的道路运输经营监测等方面的行政执法工作。</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（1</w:t>
      </w:r>
      <w:r>
        <w:rPr>
          <w:rFonts w:hint="eastAsia" w:eastAsia="仿宋_GB2312" w:cs="Times New Roman"/>
          <w:color w:val="auto"/>
          <w:kern w:val="2"/>
          <w:sz w:val="28"/>
          <w:szCs w:val="28"/>
          <w:highlight w:val="none"/>
          <w:lang w:val="en-US" w:eastAsia="zh-CN" w:bidi="ar-SA"/>
        </w:rPr>
        <w:t>4</w:t>
      </w:r>
      <w:r>
        <w:rPr>
          <w:rFonts w:hint="eastAsia" w:ascii="仿宋_GB2312" w:hAnsi="仿宋_GB2312" w:eastAsia="仿宋_GB2312" w:cs="Times New Roman"/>
          <w:color w:val="auto"/>
          <w:kern w:val="2"/>
          <w:sz w:val="28"/>
          <w:szCs w:val="28"/>
          <w:highlight w:val="none"/>
          <w:lang w:val="en-US" w:eastAsia="zh-CN" w:bidi="ar-SA"/>
        </w:rPr>
        <w:t>）负责对职责范围内公民、法人或者其他组织遵守交通行政管理法律、法规、规章的情况进行监督检查，受理投诉举报，依法纠正和查处违法违规行为。</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（1</w:t>
      </w:r>
      <w:r>
        <w:rPr>
          <w:rFonts w:hint="eastAsia" w:eastAsia="仿宋_GB2312" w:cs="Times New Roman"/>
          <w:color w:val="auto"/>
          <w:kern w:val="2"/>
          <w:sz w:val="28"/>
          <w:szCs w:val="28"/>
          <w:highlight w:val="none"/>
          <w:lang w:val="en-US" w:eastAsia="zh-CN" w:bidi="ar-SA"/>
        </w:rPr>
        <w:t>5</w:t>
      </w:r>
      <w:r>
        <w:rPr>
          <w:rFonts w:hint="eastAsia" w:ascii="仿宋_GB2312" w:hAnsi="仿宋_GB2312" w:eastAsia="仿宋_GB2312" w:cs="Times New Roman"/>
          <w:color w:val="auto"/>
          <w:kern w:val="2"/>
          <w:sz w:val="28"/>
          <w:szCs w:val="28"/>
          <w:highlight w:val="none"/>
          <w:lang w:val="en-US" w:eastAsia="zh-CN" w:bidi="ar-SA"/>
        </w:rPr>
        <w:t>）统筹组织、指挥协调全县交通运输行业的专项整治；负责组织查处跨区域、上级交办和具有重大影响的复杂案件。</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（1</w:t>
      </w:r>
      <w:r>
        <w:rPr>
          <w:rFonts w:hint="eastAsia" w:eastAsia="仿宋_GB2312" w:cs="Times New Roman"/>
          <w:color w:val="auto"/>
          <w:kern w:val="2"/>
          <w:sz w:val="28"/>
          <w:szCs w:val="28"/>
          <w:highlight w:val="none"/>
          <w:lang w:val="en-US" w:eastAsia="zh-CN" w:bidi="ar-SA"/>
        </w:rPr>
        <w:t>6</w:t>
      </w:r>
      <w:r>
        <w:rPr>
          <w:rFonts w:hint="eastAsia" w:ascii="仿宋_GB2312" w:hAnsi="仿宋_GB2312" w:eastAsia="仿宋_GB2312" w:cs="Times New Roman"/>
          <w:color w:val="auto"/>
          <w:kern w:val="2"/>
          <w:sz w:val="28"/>
          <w:szCs w:val="28"/>
          <w:highlight w:val="none"/>
          <w:lang w:val="en-US" w:eastAsia="zh-CN" w:bidi="ar-SA"/>
        </w:rPr>
        <w:t>）负责交通运输行业安全生产执法工作； 参与交通运输安全事故调查和应急处置工作；参与保障国家重点物资道路运输、紧急客货运输、军事和抢险救灾物资等运输有关工作。</w:t>
      </w:r>
    </w:p>
    <w:p>
      <w:pPr>
        <w:numPr>
          <w:ilvl w:val="0"/>
          <w:numId w:val="0"/>
        </w:numPr>
        <w:snapToGrid w:val="0"/>
        <w:spacing w:line="520" w:lineRule="exact"/>
        <w:ind w:firstLine="560" w:firstLineChars="200"/>
        <w:rPr>
          <w:rFonts w:ascii="Arial" w:hAnsi="Arial" w:eastAsia="Arial" w:cs="Arial"/>
          <w:color w:val="auto"/>
          <w:sz w:val="18"/>
          <w:szCs w:val="18"/>
          <w:highlight w:val="none"/>
        </w:rPr>
      </w:pPr>
      <w:r>
        <w:rPr>
          <w:rFonts w:hint="eastAsia" w:ascii="仿宋_GB2312" w:hAnsi="仿宋_GB2312" w:eastAsia="仿宋_GB2312" w:cs="Times New Roman"/>
          <w:color w:val="auto"/>
          <w:kern w:val="2"/>
          <w:sz w:val="28"/>
          <w:szCs w:val="28"/>
          <w:highlight w:val="none"/>
          <w:lang w:val="en-US" w:eastAsia="zh-CN" w:bidi="ar-SA"/>
        </w:rPr>
        <w:t>（1</w:t>
      </w:r>
      <w:r>
        <w:rPr>
          <w:rFonts w:hint="eastAsia" w:eastAsia="仿宋_GB2312" w:cs="Times New Roman"/>
          <w:color w:val="auto"/>
          <w:kern w:val="2"/>
          <w:sz w:val="28"/>
          <w:szCs w:val="28"/>
          <w:highlight w:val="none"/>
          <w:lang w:val="en-US" w:eastAsia="zh-CN" w:bidi="ar-SA"/>
        </w:rPr>
        <w:t>7</w:t>
      </w:r>
      <w:r>
        <w:rPr>
          <w:rFonts w:hint="eastAsia" w:ascii="仿宋_GB2312" w:hAnsi="仿宋_GB2312" w:eastAsia="仿宋_GB2312" w:cs="Times New Roman"/>
          <w:color w:val="auto"/>
          <w:kern w:val="2"/>
          <w:sz w:val="28"/>
          <w:szCs w:val="28"/>
          <w:highlight w:val="none"/>
          <w:lang w:val="en-US" w:eastAsia="zh-CN" w:bidi="ar-SA"/>
        </w:rPr>
        <w:t>）负责对职责范围内公民、法人或者其他组织遵守交通行政管理法律、法规、规章的情况进行监督检查，受理投诉举报，依法纠正和查处违法违规行为。</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（1</w:t>
      </w:r>
      <w:r>
        <w:rPr>
          <w:rFonts w:hint="eastAsia" w:eastAsia="仿宋_GB2312" w:cs="Times New Roman"/>
          <w:color w:val="auto"/>
          <w:kern w:val="2"/>
          <w:sz w:val="28"/>
          <w:szCs w:val="28"/>
          <w:highlight w:val="none"/>
          <w:lang w:val="en-US" w:eastAsia="zh-CN" w:bidi="ar-SA"/>
        </w:rPr>
        <w:t>8</w:t>
      </w:r>
      <w:r>
        <w:rPr>
          <w:rFonts w:hint="eastAsia" w:ascii="仿宋_GB2312" w:hAnsi="仿宋_GB2312" w:eastAsia="仿宋_GB2312" w:cs="Times New Roman"/>
          <w:color w:val="auto"/>
          <w:kern w:val="2"/>
          <w:sz w:val="28"/>
          <w:szCs w:val="28"/>
          <w:highlight w:val="none"/>
          <w:lang w:val="en-US" w:eastAsia="zh-CN" w:bidi="ar-SA"/>
        </w:rPr>
        <w:t>）负责和静县农村公路的建设养护的监督检查及其行业管理工作。</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w:t>
      </w:r>
      <w:r>
        <w:rPr>
          <w:rFonts w:hint="eastAsia" w:eastAsia="仿宋_GB2312" w:cs="Times New Roman"/>
          <w:color w:val="auto"/>
          <w:kern w:val="2"/>
          <w:sz w:val="28"/>
          <w:szCs w:val="28"/>
          <w:highlight w:val="none"/>
          <w:lang w:val="en-US" w:eastAsia="zh-CN" w:bidi="ar-SA"/>
        </w:rPr>
        <w:t>19</w:t>
      </w:r>
      <w:r>
        <w:rPr>
          <w:rFonts w:hint="eastAsia" w:ascii="仿宋_GB2312" w:hAnsi="仿宋_GB2312" w:eastAsia="仿宋_GB2312" w:cs="Times New Roman"/>
          <w:color w:val="auto"/>
          <w:kern w:val="2"/>
          <w:sz w:val="28"/>
          <w:szCs w:val="28"/>
          <w:highlight w:val="none"/>
          <w:lang w:val="en-US" w:eastAsia="zh-CN" w:bidi="ar-SA"/>
        </w:rPr>
        <w:t>）负责管辖范围内的路政稽查工作。</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（2</w:t>
      </w:r>
      <w:r>
        <w:rPr>
          <w:rFonts w:hint="eastAsia" w:eastAsia="仿宋_GB2312" w:cs="Times New Roman"/>
          <w:color w:val="auto"/>
          <w:kern w:val="2"/>
          <w:sz w:val="28"/>
          <w:szCs w:val="28"/>
          <w:highlight w:val="none"/>
          <w:lang w:val="en-US" w:eastAsia="zh-CN" w:bidi="ar-SA"/>
        </w:rPr>
        <w:t>0</w:t>
      </w:r>
      <w:r>
        <w:rPr>
          <w:rFonts w:hint="eastAsia" w:ascii="仿宋_GB2312" w:hAnsi="仿宋_GB2312" w:eastAsia="仿宋_GB2312" w:cs="Times New Roman"/>
          <w:color w:val="auto"/>
          <w:kern w:val="2"/>
          <w:sz w:val="28"/>
          <w:szCs w:val="28"/>
          <w:highlight w:val="none"/>
          <w:lang w:val="en-US" w:eastAsia="zh-CN" w:bidi="ar-SA"/>
        </w:rPr>
        <w:t>）负责拟定本行政区域内道路班线客运发展规划、行业服务规范，并监督实施。负责毗邻县和县内道路旅客运输经营许可； 道路运输站（场） 经营许可（道路货物运输站 （场） 经营许可除外）； 机动车驾驶员培训许可；营运车辆《道路运输证》核发。</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（2</w:t>
      </w:r>
      <w:r>
        <w:rPr>
          <w:rFonts w:hint="eastAsia" w:eastAsia="仿宋_GB2312" w:cs="Times New Roman"/>
          <w:color w:val="auto"/>
          <w:kern w:val="2"/>
          <w:sz w:val="28"/>
          <w:szCs w:val="28"/>
          <w:highlight w:val="none"/>
          <w:lang w:val="en-US" w:eastAsia="zh-CN" w:bidi="ar-SA"/>
        </w:rPr>
        <w:t>1</w:t>
      </w:r>
      <w:r>
        <w:rPr>
          <w:rFonts w:hint="eastAsia" w:ascii="仿宋_GB2312" w:hAnsi="仿宋_GB2312" w:eastAsia="仿宋_GB2312" w:cs="Times New Roman"/>
          <w:color w:val="auto"/>
          <w:kern w:val="2"/>
          <w:sz w:val="28"/>
          <w:szCs w:val="28"/>
          <w:highlight w:val="none"/>
          <w:lang w:val="en-US" w:eastAsia="zh-CN" w:bidi="ar-SA"/>
        </w:rPr>
        <w:t>）负责拟定本行政区域三级以下（不含三级）客运站站级核定；客运站星级评定。</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（2</w:t>
      </w:r>
      <w:r>
        <w:rPr>
          <w:rFonts w:hint="eastAsia" w:eastAsia="仿宋_GB2312" w:cs="Times New Roman"/>
          <w:color w:val="auto"/>
          <w:kern w:val="2"/>
          <w:sz w:val="28"/>
          <w:szCs w:val="28"/>
          <w:highlight w:val="none"/>
          <w:lang w:val="en-US" w:eastAsia="zh-CN" w:bidi="ar-SA"/>
        </w:rPr>
        <w:t>2</w:t>
      </w:r>
      <w:r>
        <w:rPr>
          <w:rFonts w:hint="eastAsia" w:ascii="仿宋_GB2312" w:hAnsi="仿宋_GB2312" w:eastAsia="仿宋_GB2312" w:cs="Times New Roman"/>
          <w:color w:val="auto"/>
          <w:kern w:val="2"/>
          <w:sz w:val="28"/>
          <w:szCs w:val="28"/>
          <w:highlight w:val="none"/>
          <w:lang w:val="en-US" w:eastAsia="zh-CN" w:bidi="ar-SA"/>
        </w:rPr>
        <w:t>）负责拟定本行政区域建立道路客货运输企业、机动车维修企业、驾驶员培训机构、道路运输从业人员从业资格的档案以及相关车辆的档案；完成上级下达的维稳、抢险、救灾、战备物资等应急道路运输任务和指令性运输计划；定期向社会公布本行政区域内客货运力投放、客运线路布局、主要客流流向和流量；指导本行政区域道路运输行业节能减排工作，发布、宣传节能减排政策。</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（2</w:t>
      </w:r>
      <w:r>
        <w:rPr>
          <w:rFonts w:hint="eastAsia" w:eastAsia="仿宋_GB2312" w:cs="Times New Roman"/>
          <w:color w:val="auto"/>
          <w:kern w:val="2"/>
          <w:sz w:val="28"/>
          <w:szCs w:val="28"/>
          <w:highlight w:val="none"/>
          <w:lang w:val="en-US" w:eastAsia="zh-CN" w:bidi="ar-SA"/>
        </w:rPr>
        <w:t>3</w:t>
      </w:r>
      <w:r>
        <w:rPr>
          <w:rFonts w:hint="eastAsia" w:ascii="仿宋_GB2312" w:hAnsi="仿宋_GB2312" w:eastAsia="仿宋_GB2312" w:cs="Times New Roman"/>
          <w:color w:val="auto"/>
          <w:kern w:val="2"/>
          <w:sz w:val="28"/>
          <w:szCs w:val="28"/>
          <w:highlight w:val="none"/>
          <w:lang w:val="en-US" w:eastAsia="zh-CN" w:bidi="ar-SA"/>
        </w:rPr>
        <w:t>）负责拟定本行政区域对汽车租赁经营和货运代理（代办） 经营的备案；机动车维修经营备案。</w:t>
      </w:r>
    </w:p>
    <w:p>
      <w:pPr>
        <w:numPr>
          <w:ilvl w:val="0"/>
          <w:numId w:val="0"/>
        </w:numPr>
        <w:snapToGrid w:val="0"/>
        <w:spacing w:line="520" w:lineRule="exact"/>
        <w:ind w:firstLine="560" w:firstLineChars="200"/>
        <w:rPr>
          <w:rFonts w:hint="eastAsia" w:ascii="仿宋_GB2312" w:hAnsi="仿宋_GB2312" w:eastAsia="仿宋_GB2312" w:cs="Times New Roman"/>
          <w:color w:val="auto"/>
          <w:kern w:val="2"/>
          <w:sz w:val="28"/>
          <w:szCs w:val="28"/>
          <w:highlight w:val="none"/>
          <w:lang w:val="en-US" w:eastAsia="zh-CN" w:bidi="ar-SA"/>
        </w:rPr>
      </w:pPr>
      <w:r>
        <w:rPr>
          <w:rFonts w:hint="eastAsia" w:ascii="仿宋_GB2312" w:hAnsi="仿宋_GB2312" w:eastAsia="仿宋_GB2312" w:cs="Times New Roman"/>
          <w:color w:val="auto"/>
          <w:kern w:val="2"/>
          <w:sz w:val="28"/>
          <w:szCs w:val="28"/>
          <w:highlight w:val="none"/>
          <w:lang w:val="en-US" w:eastAsia="zh-CN" w:bidi="ar-SA"/>
        </w:rPr>
        <w:t>（2</w:t>
      </w:r>
      <w:r>
        <w:rPr>
          <w:rFonts w:hint="eastAsia" w:eastAsia="仿宋_GB2312" w:cs="Times New Roman"/>
          <w:color w:val="auto"/>
          <w:kern w:val="2"/>
          <w:sz w:val="28"/>
          <w:szCs w:val="28"/>
          <w:highlight w:val="none"/>
          <w:lang w:val="en-US" w:eastAsia="zh-CN" w:bidi="ar-SA"/>
        </w:rPr>
        <w:t>4</w:t>
      </w:r>
      <w:r>
        <w:rPr>
          <w:rFonts w:hint="eastAsia" w:ascii="仿宋_GB2312" w:hAnsi="仿宋_GB2312" w:eastAsia="仿宋_GB2312" w:cs="Times New Roman"/>
          <w:color w:val="auto"/>
          <w:kern w:val="2"/>
          <w:sz w:val="28"/>
          <w:szCs w:val="28"/>
          <w:highlight w:val="none"/>
          <w:lang w:val="en-US" w:eastAsia="zh-CN" w:bidi="ar-SA"/>
        </w:rPr>
        <w:t>）完成和静县党委、县人民政府交办的其他任务。</w:t>
      </w:r>
    </w:p>
    <w:p>
      <w:pPr>
        <w:pStyle w:val="6"/>
        <w:bidi w:val="0"/>
        <w:rPr>
          <w:rFonts w:hint="eastAsia"/>
          <w:color w:val="auto"/>
          <w:highlight w:val="none"/>
          <w:lang w:val="en-US" w:eastAsia="zh-CN"/>
        </w:rPr>
      </w:pPr>
      <w:r>
        <w:rPr>
          <w:rFonts w:hint="eastAsia"/>
          <w:color w:val="auto"/>
          <w:highlight w:val="none"/>
          <w:lang w:val="en-US" w:eastAsia="zh-CN"/>
        </w:rPr>
        <w:t>2.部门机构设置及人员构成</w:t>
      </w:r>
    </w:p>
    <w:p>
      <w:pPr>
        <w:numPr>
          <w:ilvl w:val="0"/>
          <w:numId w:val="0"/>
        </w:numPr>
        <w:snapToGrid w:val="0"/>
        <w:spacing w:line="520" w:lineRule="exact"/>
        <w:ind w:firstLine="560" w:firstLineChars="200"/>
        <w:rPr>
          <w:color w:val="auto"/>
          <w:highlight w:val="none"/>
        </w:rPr>
      </w:pPr>
      <w:r>
        <w:rPr>
          <w:rFonts w:hint="eastAsia" w:ascii="仿宋_GB2312" w:hAnsi="仿宋_GB2312" w:eastAsia="仿宋_GB2312" w:cs="Times New Roman"/>
          <w:color w:val="auto"/>
          <w:kern w:val="2"/>
          <w:sz w:val="28"/>
          <w:szCs w:val="28"/>
          <w:highlight w:val="none"/>
          <w:lang w:val="en-US" w:eastAsia="zh-CN" w:bidi="ar-SA"/>
        </w:rPr>
        <w:t>根据上述职责，和静县交通运输局设有2个内设机构办公室、综合路股。</w:t>
      </w:r>
      <w:r>
        <w:rPr>
          <w:rFonts w:hint="eastAsia"/>
          <w:color w:val="auto"/>
          <w:szCs w:val="28"/>
          <w:highlight w:val="none"/>
          <w:lang w:val="en-US" w:eastAsia="zh-CN"/>
        </w:rPr>
        <w:t>和静县交通运输局人员总数</w:t>
      </w:r>
      <w:r>
        <w:rPr>
          <w:rFonts w:hint="eastAsia"/>
          <w:color w:val="auto"/>
          <w:szCs w:val="28"/>
          <w:highlight w:val="none"/>
        </w:rPr>
        <w:t>共</w:t>
      </w:r>
      <w:r>
        <w:rPr>
          <w:rFonts w:hint="eastAsia"/>
          <w:color w:val="auto"/>
          <w:szCs w:val="28"/>
          <w:highlight w:val="none"/>
          <w:lang w:val="en-US" w:eastAsia="zh-CN"/>
        </w:rPr>
        <w:t>40</w:t>
      </w:r>
      <w:r>
        <w:rPr>
          <w:rFonts w:hint="eastAsia"/>
          <w:color w:val="auto"/>
          <w:szCs w:val="28"/>
          <w:highlight w:val="none"/>
        </w:rPr>
        <w:t>人，其中：行政编制</w:t>
      </w:r>
      <w:r>
        <w:rPr>
          <w:rFonts w:hint="eastAsia"/>
          <w:color w:val="auto"/>
          <w:szCs w:val="28"/>
          <w:highlight w:val="none"/>
          <w:lang w:val="en-US" w:eastAsia="zh-CN"/>
        </w:rPr>
        <w:t>15</w:t>
      </w:r>
      <w:r>
        <w:rPr>
          <w:rFonts w:hint="eastAsia"/>
          <w:color w:val="auto"/>
          <w:szCs w:val="28"/>
          <w:highlight w:val="none"/>
        </w:rPr>
        <w:t>人</w:t>
      </w:r>
      <w:r>
        <w:rPr>
          <w:rFonts w:hint="eastAsia"/>
          <w:color w:val="auto"/>
          <w:szCs w:val="28"/>
          <w:highlight w:val="none"/>
          <w:lang w:eastAsia="zh-CN"/>
        </w:rPr>
        <w:t>（</w:t>
      </w:r>
      <w:r>
        <w:rPr>
          <w:rFonts w:hint="eastAsia"/>
          <w:color w:val="auto"/>
          <w:szCs w:val="28"/>
          <w:highlight w:val="none"/>
          <w:lang w:val="en-US" w:eastAsia="zh-CN"/>
        </w:rPr>
        <w:t>其中参公编制9人</w:t>
      </w:r>
      <w:r>
        <w:rPr>
          <w:rFonts w:hint="eastAsia"/>
          <w:color w:val="auto"/>
          <w:szCs w:val="28"/>
          <w:highlight w:val="none"/>
          <w:lang w:eastAsia="zh-CN"/>
        </w:rPr>
        <w:t>），</w:t>
      </w:r>
      <w:r>
        <w:rPr>
          <w:rFonts w:hint="eastAsia"/>
          <w:color w:val="auto"/>
          <w:szCs w:val="28"/>
          <w:highlight w:val="none"/>
        </w:rPr>
        <w:t>事业编制</w:t>
      </w:r>
      <w:r>
        <w:rPr>
          <w:rFonts w:hint="eastAsia"/>
          <w:color w:val="auto"/>
          <w:szCs w:val="28"/>
          <w:highlight w:val="none"/>
          <w:lang w:val="en-US" w:eastAsia="zh-CN"/>
        </w:rPr>
        <w:t>4</w:t>
      </w:r>
      <w:r>
        <w:rPr>
          <w:rFonts w:hint="eastAsia"/>
          <w:color w:val="auto"/>
          <w:szCs w:val="28"/>
          <w:highlight w:val="none"/>
        </w:rPr>
        <w:t>人</w:t>
      </w:r>
      <w:r>
        <w:rPr>
          <w:rFonts w:hint="eastAsia"/>
          <w:color w:val="auto"/>
          <w:szCs w:val="28"/>
          <w:highlight w:val="none"/>
          <w:lang w:eastAsia="zh-CN"/>
        </w:rPr>
        <w:t>，</w:t>
      </w:r>
      <w:r>
        <w:rPr>
          <w:rFonts w:hint="eastAsia"/>
          <w:color w:val="auto"/>
          <w:szCs w:val="28"/>
          <w:highlight w:val="none"/>
          <w:lang w:val="en-US" w:eastAsia="zh-CN"/>
        </w:rPr>
        <w:t>退休人员5人，事业岗16人</w:t>
      </w:r>
      <w:r>
        <w:rPr>
          <w:rFonts w:hint="eastAsia"/>
          <w:color w:val="auto"/>
          <w:szCs w:val="28"/>
          <w:highlight w:val="none"/>
        </w:rPr>
        <w:t>。</w:t>
      </w:r>
    </w:p>
    <w:p>
      <w:pPr>
        <w:pStyle w:val="5"/>
        <w:bidi w:val="0"/>
        <w:outlineLvl w:val="1"/>
        <w:rPr>
          <w:rFonts w:hint="eastAsia"/>
          <w:color w:val="auto"/>
          <w:highlight w:val="none"/>
          <w:lang w:val="en-US" w:eastAsia="zh-CN"/>
        </w:rPr>
      </w:pPr>
      <w:r>
        <w:rPr>
          <w:rFonts w:hint="eastAsia"/>
          <w:color w:val="auto"/>
          <w:highlight w:val="none"/>
          <w:lang w:val="en-US" w:eastAsia="zh-CN"/>
        </w:rPr>
        <w:t>（二）部门单位年度重点工作</w:t>
      </w:r>
    </w:p>
    <w:p>
      <w:pPr>
        <w:numPr>
          <w:ilvl w:val="0"/>
          <w:numId w:val="0"/>
        </w:numPr>
        <w:snapToGrid w:val="0"/>
        <w:spacing w:line="520" w:lineRule="exact"/>
        <w:ind w:firstLine="560" w:firstLineChars="200"/>
        <w:rPr>
          <w:rFonts w:hint="default" w:ascii="Times New Roman" w:hAnsi="Times New Roman" w:cs="Times New Roman"/>
          <w:color w:val="auto"/>
          <w:szCs w:val="28"/>
          <w:highlight w:val="none"/>
          <w:lang w:val="en-US" w:eastAsia="zh-CN"/>
        </w:rPr>
      </w:pPr>
      <w:r>
        <w:rPr>
          <w:rFonts w:hint="eastAsia" w:ascii="Times New Roman" w:hAnsi="Times New Roman" w:cs="Times New Roman"/>
          <w:color w:val="auto"/>
          <w:szCs w:val="28"/>
          <w:highlight w:val="none"/>
          <w:lang w:val="en-US" w:eastAsia="zh-CN"/>
        </w:rPr>
        <w:t>（1）</w:t>
      </w:r>
      <w:r>
        <w:rPr>
          <w:rFonts w:hint="default" w:ascii="Times New Roman" w:hAnsi="Times New Roman" w:cs="Times New Roman"/>
          <w:color w:val="auto"/>
          <w:szCs w:val="28"/>
          <w:highlight w:val="none"/>
          <w:lang w:val="en-US" w:eastAsia="zh-CN"/>
        </w:rPr>
        <w:t>2023年和静县农村公路及附属工程建设项目。新改建37.4公里四级农村公路及其附属设施，申请车购税1341万元，债券资金1300万元。共分为4个合同段实施，其中：C007－土石林为第一合同段，道路全长12.57公里，现已完工；盖干塔克勒根村-G218岔口为第二合同段，道路全长21.36公里，已完成总工程量的60%；克尔古提桥为第三合同段，桥梁全长18延米，现已完工。剩余4.38公里农村公路、20000平方路面修补为第四合同段，于2023年11月底完工。</w:t>
      </w:r>
    </w:p>
    <w:p>
      <w:pPr>
        <w:numPr>
          <w:ilvl w:val="0"/>
          <w:numId w:val="0"/>
        </w:numPr>
        <w:snapToGrid w:val="0"/>
        <w:spacing w:line="520" w:lineRule="exact"/>
        <w:ind w:firstLine="560" w:firstLineChars="200"/>
        <w:rPr>
          <w:rFonts w:hint="default" w:ascii="Times New Roman" w:hAnsi="Times New Roman" w:cs="Times New Roman"/>
          <w:color w:val="auto"/>
          <w:szCs w:val="28"/>
          <w:highlight w:val="none"/>
          <w:lang w:val="en-US" w:eastAsia="zh-CN"/>
        </w:rPr>
      </w:pPr>
      <w:r>
        <w:rPr>
          <w:rFonts w:hint="eastAsia" w:ascii="Times New Roman" w:hAnsi="Times New Roman" w:cs="Times New Roman"/>
          <w:color w:val="auto"/>
          <w:szCs w:val="28"/>
          <w:highlight w:val="none"/>
          <w:lang w:val="en-US" w:eastAsia="zh-CN"/>
        </w:rPr>
        <w:t>（2）</w:t>
      </w:r>
      <w:r>
        <w:rPr>
          <w:rFonts w:hint="default" w:ascii="Times New Roman" w:hAnsi="Times New Roman" w:cs="Times New Roman"/>
          <w:color w:val="auto"/>
          <w:szCs w:val="28"/>
          <w:highlight w:val="none"/>
          <w:lang w:val="en-US" w:eastAsia="zh-CN"/>
        </w:rPr>
        <w:t>2023年和静县巴润哈尔莫敦镇道路建设项目。新改建约17.2公里四级农村公路及其附属设施，申请债券资金700万元，经8月22日公开招投标，</w:t>
      </w:r>
      <w:r>
        <w:rPr>
          <w:rFonts w:hint="eastAsia" w:ascii="Times New Roman" w:hAnsi="Times New Roman" w:cs="Times New Roman"/>
          <w:color w:val="auto"/>
          <w:szCs w:val="28"/>
          <w:highlight w:val="none"/>
          <w:lang w:val="en-US" w:eastAsia="zh-CN"/>
        </w:rPr>
        <w:t>于</w:t>
      </w:r>
      <w:r>
        <w:rPr>
          <w:rFonts w:hint="default" w:ascii="Times New Roman" w:hAnsi="Times New Roman" w:cs="Times New Roman"/>
          <w:color w:val="auto"/>
          <w:szCs w:val="28"/>
          <w:highlight w:val="none"/>
          <w:lang w:val="en-US" w:eastAsia="zh-CN"/>
        </w:rPr>
        <w:t>2023年10月底完工。</w:t>
      </w:r>
    </w:p>
    <w:p>
      <w:pPr>
        <w:numPr>
          <w:ilvl w:val="0"/>
          <w:numId w:val="0"/>
        </w:numPr>
        <w:snapToGrid w:val="0"/>
        <w:spacing w:line="520" w:lineRule="exact"/>
        <w:ind w:firstLine="560" w:firstLineChars="200"/>
        <w:rPr>
          <w:rFonts w:hint="default" w:ascii="Times New Roman" w:hAnsi="Times New Roman" w:cs="Times New Roman"/>
          <w:color w:val="auto"/>
          <w:szCs w:val="28"/>
          <w:highlight w:val="none"/>
          <w:lang w:val="en-US" w:eastAsia="zh-CN"/>
        </w:rPr>
      </w:pPr>
      <w:r>
        <w:rPr>
          <w:rFonts w:hint="eastAsia" w:ascii="Times New Roman" w:hAnsi="Times New Roman" w:cs="Times New Roman"/>
          <w:color w:val="auto"/>
          <w:szCs w:val="28"/>
          <w:highlight w:val="none"/>
          <w:lang w:val="en-US" w:eastAsia="zh-CN"/>
        </w:rPr>
        <w:t>（3）</w:t>
      </w:r>
      <w:r>
        <w:rPr>
          <w:rFonts w:hint="default" w:ascii="Times New Roman" w:hAnsi="Times New Roman" w:cs="Times New Roman"/>
          <w:color w:val="auto"/>
          <w:szCs w:val="28"/>
          <w:highlight w:val="none"/>
          <w:lang w:val="en-US" w:eastAsia="zh-CN"/>
        </w:rPr>
        <w:t>和静县2023年农村公路大中修工程。自治区交通运输厅下达145.1万元农村公路大中修资金，对县域内12.08公里农村公路进行大中修养护，</w:t>
      </w:r>
      <w:r>
        <w:rPr>
          <w:rFonts w:hint="eastAsia" w:ascii="Times New Roman" w:hAnsi="Times New Roman" w:cs="Times New Roman"/>
          <w:color w:val="auto"/>
          <w:szCs w:val="28"/>
          <w:highlight w:val="none"/>
          <w:lang w:val="en-US" w:eastAsia="zh-CN"/>
        </w:rPr>
        <w:t>已于</w:t>
      </w:r>
      <w:r>
        <w:rPr>
          <w:rFonts w:hint="default" w:ascii="Times New Roman" w:hAnsi="Times New Roman" w:cs="Times New Roman"/>
          <w:color w:val="auto"/>
          <w:szCs w:val="28"/>
          <w:highlight w:val="none"/>
          <w:lang w:val="en-US" w:eastAsia="zh-CN"/>
        </w:rPr>
        <w:t>10月底完工。</w:t>
      </w:r>
    </w:p>
    <w:p>
      <w:pPr>
        <w:numPr>
          <w:ilvl w:val="0"/>
          <w:numId w:val="0"/>
        </w:numPr>
        <w:snapToGrid w:val="0"/>
        <w:spacing w:line="520" w:lineRule="exact"/>
        <w:ind w:firstLine="560" w:firstLineChars="200"/>
        <w:rPr>
          <w:rFonts w:hint="eastAsia"/>
          <w:color w:val="auto"/>
          <w:highlight w:val="none"/>
          <w:lang w:val="en-US" w:eastAsia="zh-CN"/>
        </w:rPr>
      </w:pPr>
      <w:r>
        <w:rPr>
          <w:rFonts w:hint="eastAsia" w:ascii="Times New Roman" w:hAnsi="Times New Roman" w:cs="Times New Roman"/>
          <w:color w:val="auto"/>
          <w:szCs w:val="28"/>
          <w:highlight w:val="none"/>
          <w:lang w:val="en-US" w:eastAsia="zh-CN"/>
        </w:rPr>
        <w:t>（4）</w:t>
      </w:r>
      <w:r>
        <w:rPr>
          <w:rFonts w:hint="default" w:ascii="Times New Roman" w:hAnsi="Times New Roman" w:cs="Times New Roman"/>
          <w:color w:val="auto"/>
          <w:szCs w:val="28"/>
          <w:highlight w:val="none"/>
          <w:lang w:val="en-US" w:eastAsia="zh-CN"/>
        </w:rPr>
        <w:t>和静县2023年农村公路日常养护工程。自治区交通运输厅下达日常养护资金171万元，该笔资金中40.9万元用于全县桥梁及县、乡村道路状况技术评定，县乡路面评定率100%，村道路面评定率为60%，桥梁评定率为50%，评定结果已提交至自治区交通运输厅。剩余130.1万元通过招投标，中标价为125.621184万元用于县域内农村道路安全隐患治理，目前已开工建设，</w:t>
      </w:r>
      <w:r>
        <w:rPr>
          <w:rFonts w:hint="eastAsia" w:ascii="Times New Roman" w:hAnsi="Times New Roman" w:cs="Times New Roman"/>
          <w:color w:val="auto"/>
          <w:szCs w:val="28"/>
          <w:highlight w:val="none"/>
          <w:lang w:val="en-US" w:eastAsia="zh-CN"/>
        </w:rPr>
        <w:t>已于11</w:t>
      </w:r>
      <w:r>
        <w:rPr>
          <w:rFonts w:hint="default" w:ascii="Times New Roman" w:hAnsi="Times New Roman" w:cs="Times New Roman"/>
          <w:color w:val="auto"/>
          <w:szCs w:val="28"/>
          <w:highlight w:val="none"/>
          <w:lang w:val="en-US" w:eastAsia="zh-CN"/>
        </w:rPr>
        <w:t>月底完工。</w:t>
      </w:r>
    </w:p>
    <w:p>
      <w:pPr>
        <w:pStyle w:val="5"/>
        <w:bidi w:val="0"/>
        <w:rPr>
          <w:rFonts w:hint="default"/>
          <w:color w:val="auto"/>
          <w:highlight w:val="none"/>
          <w:lang w:val="en-US" w:eastAsia="zh-CN"/>
        </w:rPr>
      </w:pPr>
      <w:r>
        <w:rPr>
          <w:rFonts w:hint="eastAsia"/>
          <w:color w:val="auto"/>
          <w:highlight w:val="none"/>
          <w:lang w:val="en-US" w:eastAsia="zh-CN"/>
        </w:rPr>
        <w:t>（三）部门单位整体预算规模及安排情况</w:t>
      </w:r>
    </w:p>
    <w:p>
      <w:pPr>
        <w:bidi w:val="0"/>
        <w:rPr>
          <w:rFonts w:hint="eastAsia" w:ascii="仿宋_GB2312" w:hAnsi="仿宋_GB2312" w:eastAsia="仿宋" w:cs="仿宋_GB2312"/>
          <w:b/>
          <w:bCs/>
          <w:color w:val="auto"/>
          <w:kern w:val="2"/>
          <w:sz w:val="30"/>
          <w:szCs w:val="32"/>
          <w:highlight w:val="none"/>
          <w:lang w:val="en-US" w:eastAsia="zh-CN" w:bidi="ar-SA"/>
        </w:rPr>
      </w:pPr>
      <w:r>
        <w:rPr>
          <w:rFonts w:hint="eastAsia" w:ascii="仿宋_GB2312" w:hAnsi="仿宋_GB2312" w:eastAsia="仿宋" w:cs="仿宋_GB2312"/>
          <w:b/>
          <w:bCs/>
          <w:color w:val="auto"/>
          <w:kern w:val="2"/>
          <w:sz w:val="30"/>
          <w:szCs w:val="32"/>
          <w:highlight w:val="none"/>
          <w:lang w:val="en-US" w:eastAsia="zh-CN" w:bidi="ar-SA"/>
        </w:rPr>
        <w:t>1.预算执行情况</w:t>
      </w:r>
    </w:p>
    <w:p>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（1）年初预算执行情况</w:t>
      </w:r>
    </w:p>
    <w:p>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我单位年初预算数为1816.84万元，实际预算执行数874.86万元，预算执行率为48.15%。</w:t>
      </w:r>
    </w:p>
    <w:p>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（2）全年预算执行情况</w:t>
      </w:r>
    </w:p>
    <w:p>
      <w:pPr>
        <w:bidi w:val="0"/>
        <w:rPr>
          <w:rFonts w:hint="eastAsia" w:ascii="Times New Roman" w:hAnsi="Times New Roman" w:cs="Times New Roman"/>
          <w:bCs/>
          <w:color w:val="auto"/>
          <w:highlight w:val="none"/>
          <w:lang w:val="en-US" w:eastAsia="zh-CN"/>
        </w:rPr>
      </w:pPr>
      <w:r>
        <w:rPr>
          <w:rFonts w:hint="eastAsia" w:ascii="Times New Roman" w:hAnsi="Times New Roman" w:cs="Times New Roman"/>
          <w:bCs/>
          <w:color w:val="auto"/>
          <w:highlight w:val="none"/>
          <w:lang w:val="en-US" w:eastAsia="zh-CN"/>
        </w:rPr>
        <w:t>全年预算数为4475.67万元，全年实际支出资金4475.67万元，预算执行率为100%。</w:t>
      </w:r>
    </w:p>
    <w:p>
      <w:pPr>
        <w:pStyle w:val="6"/>
        <w:bidi w:val="0"/>
        <w:rPr>
          <w:rFonts w:hint="eastAsia"/>
          <w:color w:val="auto"/>
          <w:highlight w:val="none"/>
          <w:lang w:val="en-US" w:eastAsia="zh-CN"/>
        </w:rPr>
      </w:pPr>
      <w:r>
        <w:rPr>
          <w:rFonts w:hint="eastAsia"/>
          <w:color w:val="auto"/>
          <w:highlight w:val="none"/>
          <w:lang w:val="en-US" w:eastAsia="zh-CN"/>
        </w:rPr>
        <w:t>2.预算调整（追加）情况</w:t>
      </w:r>
    </w:p>
    <w:p>
      <w:pPr>
        <w:bidi w:val="0"/>
        <w:rPr>
          <w:rFonts w:hint="eastAsia" w:ascii="Times New Roman" w:hAnsi="Times New Roman" w:cs="Times New Roman"/>
          <w:bCs/>
          <w:color w:val="auto"/>
          <w:highlight w:val="none"/>
          <w:lang w:eastAsia="zh-CN"/>
        </w:rPr>
      </w:pPr>
      <w:r>
        <w:rPr>
          <w:rFonts w:hint="eastAsia" w:ascii="Times New Roman" w:hAnsi="Times New Roman" w:cs="Times New Roman"/>
          <w:bCs/>
          <w:color w:val="auto"/>
          <w:highlight w:val="none"/>
          <w:lang w:eastAsia="zh-CN"/>
        </w:rPr>
        <w:t>我单位年初批复预算数</w:t>
      </w:r>
      <w:r>
        <w:rPr>
          <w:rFonts w:hint="eastAsia" w:ascii="Times New Roman" w:hAnsi="Times New Roman" w:cs="Times New Roman"/>
          <w:bCs/>
          <w:color w:val="auto"/>
          <w:highlight w:val="none"/>
          <w:lang w:val="en-US" w:eastAsia="zh-CN"/>
        </w:rPr>
        <w:t>1816.84</w:t>
      </w:r>
      <w:r>
        <w:rPr>
          <w:rFonts w:hint="eastAsia" w:ascii="Times New Roman" w:hAnsi="Times New Roman" w:cs="Times New Roman"/>
          <w:bCs/>
          <w:color w:val="auto"/>
          <w:highlight w:val="none"/>
          <w:lang w:eastAsia="zh-CN"/>
        </w:rPr>
        <w:t>万元，年中调整数</w:t>
      </w:r>
      <w:r>
        <w:rPr>
          <w:rFonts w:hint="eastAsia" w:ascii="Times New Roman" w:hAnsi="Times New Roman" w:cs="Times New Roman"/>
          <w:bCs/>
          <w:color w:val="auto"/>
          <w:highlight w:val="none"/>
          <w:lang w:val="en-US" w:eastAsia="zh-CN"/>
        </w:rPr>
        <w:t>2658.83</w:t>
      </w:r>
      <w:r>
        <w:rPr>
          <w:rFonts w:hint="eastAsia" w:ascii="Times New Roman" w:hAnsi="Times New Roman" w:cs="Times New Roman"/>
          <w:bCs/>
          <w:color w:val="auto"/>
          <w:highlight w:val="none"/>
          <w:lang w:eastAsia="zh-CN"/>
        </w:rPr>
        <w:t>万元，调整后全年预算数</w:t>
      </w:r>
      <w:r>
        <w:rPr>
          <w:rFonts w:hint="eastAsia" w:ascii="Times New Roman" w:hAnsi="Times New Roman" w:cs="Times New Roman"/>
          <w:bCs/>
          <w:color w:val="auto"/>
          <w:highlight w:val="none"/>
          <w:lang w:val="en-US" w:eastAsia="zh-CN"/>
        </w:rPr>
        <w:t>4475.67</w:t>
      </w:r>
      <w:r>
        <w:rPr>
          <w:rFonts w:hint="eastAsia" w:ascii="Times New Roman" w:hAnsi="Times New Roman" w:cs="Times New Roman"/>
          <w:bCs/>
          <w:color w:val="auto"/>
          <w:highlight w:val="none"/>
          <w:lang w:eastAsia="zh-CN"/>
        </w:rPr>
        <w:t>万元，预算调整率</w:t>
      </w:r>
      <w:r>
        <w:rPr>
          <w:rFonts w:hint="eastAsia" w:ascii="Times New Roman" w:hAnsi="Times New Roman" w:cs="Times New Roman"/>
          <w:bCs/>
          <w:color w:val="auto"/>
          <w:highlight w:val="none"/>
          <w:lang w:val="en-US" w:eastAsia="zh-CN"/>
        </w:rPr>
        <w:t>146.34</w:t>
      </w:r>
      <w:r>
        <w:rPr>
          <w:rFonts w:hint="eastAsia" w:ascii="Times New Roman" w:hAnsi="Times New Roman" w:cs="Times New Roman"/>
          <w:bCs/>
          <w:color w:val="auto"/>
          <w:highlight w:val="none"/>
          <w:lang w:eastAsia="zh-CN"/>
        </w:rPr>
        <w:t>%。（预算调整率=调整数/年初预算数*100%=</w:t>
      </w:r>
      <w:r>
        <w:rPr>
          <w:rFonts w:hint="eastAsia" w:ascii="Times New Roman" w:hAnsi="Times New Roman" w:cs="Times New Roman"/>
          <w:bCs/>
          <w:color w:val="auto"/>
          <w:highlight w:val="none"/>
          <w:lang w:val="en-US" w:eastAsia="zh-CN"/>
        </w:rPr>
        <w:t>146.34</w:t>
      </w:r>
      <w:r>
        <w:rPr>
          <w:rFonts w:hint="eastAsia" w:ascii="Times New Roman" w:hAnsi="Times New Roman" w:cs="Times New Roman"/>
          <w:bCs/>
          <w:color w:val="auto"/>
          <w:highlight w:val="none"/>
          <w:lang w:eastAsia="zh-CN"/>
        </w:rPr>
        <w:t>%。）</w:t>
      </w:r>
    </w:p>
    <w:p>
      <w:pPr>
        <w:pStyle w:val="6"/>
        <w:rPr>
          <w:rFonts w:hint="default"/>
          <w:color w:val="auto"/>
          <w:highlight w:val="none"/>
          <w:lang w:val="en-US" w:eastAsia="zh-CN"/>
        </w:rPr>
      </w:pPr>
      <w:r>
        <w:rPr>
          <w:rFonts w:hint="default"/>
          <w:color w:val="auto"/>
          <w:highlight w:val="none"/>
          <w:lang w:val="en-US" w:eastAsia="zh-CN"/>
        </w:rPr>
        <w:t>3.资金使用主要内容、涉及的范围</w:t>
      </w:r>
    </w:p>
    <w:p>
      <w:pPr>
        <w:bidi w:val="0"/>
        <w:rPr>
          <w:rFonts w:hint="default"/>
          <w:color w:val="auto"/>
          <w:highlight w:val="none"/>
          <w:lang w:val="en-US" w:eastAsia="zh-CN"/>
        </w:rPr>
      </w:pPr>
      <w:r>
        <w:rPr>
          <w:rFonts w:hint="default"/>
          <w:color w:val="auto"/>
          <w:highlight w:val="none"/>
          <w:lang w:val="en-US" w:eastAsia="zh-CN"/>
        </w:rPr>
        <w:t>我单位2023年度部门整体支出为</w:t>
      </w:r>
      <w:r>
        <w:rPr>
          <w:rFonts w:hint="eastAsia" w:ascii="Times New Roman" w:hAnsi="Times New Roman" w:cs="Times New Roman"/>
          <w:bCs/>
          <w:color w:val="auto"/>
          <w:highlight w:val="none"/>
          <w:lang w:val="en-US" w:eastAsia="zh-CN"/>
        </w:rPr>
        <w:t>4475.67</w:t>
      </w:r>
      <w:r>
        <w:rPr>
          <w:rFonts w:hint="default"/>
          <w:color w:val="auto"/>
          <w:highlight w:val="none"/>
          <w:lang w:val="en-US" w:eastAsia="zh-CN"/>
        </w:rPr>
        <w:t>万元，其中：</w:t>
      </w:r>
    </w:p>
    <w:p>
      <w:pPr>
        <w:bidi w:val="0"/>
        <w:rPr>
          <w:rFonts w:hint="default"/>
          <w:color w:val="auto"/>
          <w:highlight w:val="none"/>
          <w:lang w:val="en-US" w:eastAsia="zh-CN"/>
        </w:rPr>
      </w:pPr>
      <w:r>
        <w:rPr>
          <w:rFonts w:hint="default"/>
          <w:color w:val="auto"/>
          <w:highlight w:val="none"/>
          <w:lang w:val="en-US" w:eastAsia="zh-CN"/>
        </w:rPr>
        <w:t>基本支出466</w:t>
      </w:r>
      <w:r>
        <w:rPr>
          <w:rFonts w:hint="eastAsia"/>
          <w:color w:val="auto"/>
          <w:highlight w:val="none"/>
          <w:lang w:val="en-US" w:eastAsia="zh-CN"/>
        </w:rPr>
        <w:t>.</w:t>
      </w:r>
      <w:r>
        <w:rPr>
          <w:rFonts w:hint="default"/>
          <w:color w:val="auto"/>
          <w:highlight w:val="none"/>
          <w:lang w:val="en-US" w:eastAsia="zh-CN"/>
        </w:rPr>
        <w:t>51万元，资金的使用方向为我单位机关人员经费支出451</w:t>
      </w:r>
      <w:r>
        <w:rPr>
          <w:rFonts w:hint="eastAsia"/>
          <w:color w:val="auto"/>
          <w:highlight w:val="none"/>
          <w:lang w:val="en-US" w:eastAsia="zh-CN"/>
        </w:rPr>
        <w:t>.</w:t>
      </w:r>
      <w:r>
        <w:rPr>
          <w:rFonts w:hint="default"/>
          <w:color w:val="auto"/>
          <w:highlight w:val="none"/>
          <w:lang w:val="en-US" w:eastAsia="zh-CN"/>
        </w:rPr>
        <w:t>4</w:t>
      </w:r>
      <w:r>
        <w:rPr>
          <w:rFonts w:hint="eastAsia"/>
          <w:color w:val="auto"/>
          <w:highlight w:val="none"/>
          <w:lang w:val="en-US" w:eastAsia="zh-CN"/>
        </w:rPr>
        <w:t>9</w:t>
      </w:r>
      <w:r>
        <w:rPr>
          <w:rFonts w:hint="default"/>
          <w:color w:val="auto"/>
          <w:highlight w:val="none"/>
          <w:lang w:val="en-US" w:eastAsia="zh-CN"/>
        </w:rPr>
        <w:t>万元</w:t>
      </w:r>
      <w:r>
        <w:rPr>
          <w:rFonts w:hint="eastAsia"/>
          <w:color w:val="auto"/>
          <w:highlight w:val="none"/>
          <w:lang w:val="en-US" w:eastAsia="zh-CN"/>
        </w:rPr>
        <w:t>，</w:t>
      </w:r>
      <w:r>
        <w:rPr>
          <w:rFonts w:hint="default"/>
          <w:color w:val="auto"/>
          <w:highlight w:val="none"/>
          <w:lang w:val="en-US" w:eastAsia="zh-CN"/>
        </w:rPr>
        <w:t>日常公用经费支出15</w:t>
      </w:r>
      <w:r>
        <w:rPr>
          <w:rFonts w:hint="eastAsia"/>
          <w:color w:val="auto"/>
          <w:highlight w:val="none"/>
          <w:lang w:val="en-US" w:eastAsia="zh-CN"/>
        </w:rPr>
        <w:t>.</w:t>
      </w:r>
      <w:r>
        <w:rPr>
          <w:rFonts w:hint="default"/>
          <w:color w:val="auto"/>
          <w:highlight w:val="none"/>
          <w:lang w:val="en-US" w:eastAsia="zh-CN"/>
        </w:rPr>
        <w:t>0</w:t>
      </w:r>
      <w:r>
        <w:rPr>
          <w:rFonts w:hint="eastAsia"/>
          <w:color w:val="auto"/>
          <w:highlight w:val="none"/>
          <w:lang w:val="en-US" w:eastAsia="zh-CN"/>
        </w:rPr>
        <w:t>2</w:t>
      </w:r>
      <w:r>
        <w:rPr>
          <w:rFonts w:hint="default"/>
          <w:color w:val="auto"/>
          <w:highlight w:val="none"/>
          <w:lang w:val="en-US" w:eastAsia="zh-CN"/>
        </w:rPr>
        <w:t>万元</w:t>
      </w:r>
      <w:r>
        <w:rPr>
          <w:rFonts w:hint="eastAsia"/>
          <w:color w:val="auto"/>
          <w:highlight w:val="none"/>
          <w:lang w:val="en-US" w:eastAsia="zh-CN"/>
        </w:rPr>
        <w:t>，主要用于保障人员工资及人员医保、社保、住房公积金等缴费、单位办公用品购买及车辆燃油费及维修等方面支出。</w:t>
      </w:r>
    </w:p>
    <w:p>
      <w:pPr>
        <w:bidi w:val="0"/>
        <w:rPr>
          <w:rFonts w:hint="default"/>
          <w:color w:val="auto"/>
          <w:highlight w:val="none"/>
          <w:lang w:val="en-US" w:eastAsia="zh-CN"/>
        </w:rPr>
      </w:pPr>
      <w:r>
        <w:rPr>
          <w:rFonts w:hint="default"/>
          <w:color w:val="auto"/>
          <w:highlight w:val="none"/>
          <w:lang w:val="en-US" w:eastAsia="zh-CN"/>
        </w:rPr>
        <w:t>项目支出共计4009</w:t>
      </w:r>
      <w:r>
        <w:rPr>
          <w:rFonts w:hint="eastAsia"/>
          <w:color w:val="auto"/>
          <w:highlight w:val="none"/>
          <w:lang w:val="en-US" w:eastAsia="zh-CN"/>
        </w:rPr>
        <w:t>.</w:t>
      </w:r>
      <w:r>
        <w:rPr>
          <w:rFonts w:hint="default"/>
          <w:color w:val="auto"/>
          <w:highlight w:val="none"/>
          <w:lang w:val="en-US" w:eastAsia="zh-CN"/>
        </w:rPr>
        <w:t>1</w:t>
      </w:r>
      <w:r>
        <w:rPr>
          <w:rFonts w:hint="eastAsia"/>
          <w:color w:val="auto"/>
          <w:highlight w:val="none"/>
          <w:lang w:val="en-US" w:eastAsia="zh-CN"/>
        </w:rPr>
        <w:t>6</w:t>
      </w:r>
      <w:r>
        <w:rPr>
          <w:rFonts w:hint="default"/>
          <w:color w:val="auto"/>
          <w:highlight w:val="none"/>
          <w:lang w:val="en-US" w:eastAsia="zh-CN"/>
        </w:rPr>
        <w:t>万元，主要用于保障巩乃斯林场班禅沟至阿尔先沟道路林地补偿费项目、C007线终点至石林路项目、</w:t>
      </w:r>
      <w:r>
        <w:rPr>
          <w:rFonts w:hint="eastAsia"/>
          <w:color w:val="auto"/>
          <w:highlight w:val="none"/>
          <w:lang w:val="en-US" w:eastAsia="zh-CN"/>
        </w:rPr>
        <w:t>2023年</w:t>
      </w:r>
      <w:r>
        <w:rPr>
          <w:rFonts w:hint="default"/>
          <w:color w:val="auto"/>
          <w:highlight w:val="none"/>
          <w:lang w:val="en-US" w:eastAsia="zh-CN"/>
        </w:rPr>
        <w:t>和静县巴润哈尔莫敦镇道路项目</w:t>
      </w:r>
      <w:r>
        <w:rPr>
          <w:rFonts w:hint="eastAsia"/>
          <w:color w:val="auto"/>
          <w:highlight w:val="none"/>
          <w:lang w:val="en-US" w:eastAsia="zh-CN"/>
        </w:rPr>
        <w:t>、2023年和静县农村公路附属工程盖干塔克勒根村G218线岔口</w:t>
      </w:r>
      <w:r>
        <w:rPr>
          <w:rFonts w:hint="default"/>
          <w:color w:val="auto"/>
          <w:highlight w:val="none"/>
          <w:lang w:val="en-US" w:eastAsia="zh-CN"/>
        </w:rPr>
        <w:t>项目</w:t>
      </w:r>
      <w:r>
        <w:rPr>
          <w:rFonts w:hint="eastAsia"/>
          <w:color w:val="auto"/>
          <w:highlight w:val="none"/>
          <w:lang w:val="en-US" w:eastAsia="zh-CN"/>
        </w:rPr>
        <w:t>、</w:t>
      </w:r>
      <w:r>
        <w:rPr>
          <w:rFonts w:hint="default"/>
          <w:color w:val="auto"/>
          <w:highlight w:val="none"/>
          <w:lang w:val="en-US" w:eastAsia="zh-CN"/>
        </w:rPr>
        <w:t>2023年农村公路附属工程克尔古提桥项目</w:t>
      </w:r>
      <w:r>
        <w:rPr>
          <w:rFonts w:hint="eastAsia"/>
          <w:color w:val="auto"/>
          <w:highlight w:val="none"/>
          <w:lang w:val="en-US" w:eastAsia="zh-CN"/>
        </w:rPr>
        <w:t>、2017年和静县哈尔莫敦村组公路项目等项目</w:t>
      </w:r>
      <w:r>
        <w:rPr>
          <w:rFonts w:hint="default"/>
          <w:color w:val="auto"/>
          <w:highlight w:val="none"/>
          <w:lang w:val="en-US" w:eastAsia="zh-CN"/>
        </w:rPr>
        <w:t>支出。</w:t>
      </w:r>
    </w:p>
    <w:p>
      <w:pPr>
        <w:pStyle w:val="4"/>
        <w:bidi w:val="0"/>
        <w:rPr>
          <w:rFonts w:hint="eastAsia"/>
          <w:color w:val="auto"/>
          <w:highlight w:val="none"/>
        </w:rPr>
      </w:pPr>
      <w:bookmarkStart w:id="1" w:name="_Toc32535_WPSOffice_Level1"/>
      <w:r>
        <w:rPr>
          <w:rFonts w:hint="eastAsia"/>
          <w:color w:val="auto"/>
          <w:highlight w:val="none"/>
          <w:lang w:val="en-US" w:eastAsia="zh-CN"/>
        </w:rPr>
        <w:t>二、</w:t>
      </w:r>
      <w:r>
        <w:rPr>
          <w:rFonts w:hint="eastAsia"/>
          <w:color w:val="auto"/>
          <w:highlight w:val="none"/>
        </w:rPr>
        <w:t>部门单位整体支出管理及使用情况</w:t>
      </w:r>
      <w:bookmarkEnd w:id="1"/>
    </w:p>
    <w:p>
      <w:pPr>
        <w:pStyle w:val="5"/>
        <w:bidi w:val="0"/>
        <w:rPr>
          <w:rFonts w:hint="eastAsia"/>
          <w:color w:val="auto"/>
          <w:highlight w:val="none"/>
          <w:lang w:val="en-US" w:eastAsia="zh-CN"/>
        </w:rPr>
      </w:pPr>
      <w:r>
        <w:rPr>
          <w:rFonts w:hint="eastAsia"/>
          <w:color w:val="auto"/>
          <w:highlight w:val="none"/>
          <w:lang w:val="en-US" w:eastAsia="zh-CN"/>
        </w:rPr>
        <w:t>（一）基本支出和使用情况</w:t>
      </w:r>
    </w:p>
    <w:p>
      <w:pPr>
        <w:bidi w:val="0"/>
        <w:rPr>
          <w:rFonts w:hint="eastAsia"/>
          <w:color w:val="auto"/>
          <w:highlight w:val="none"/>
          <w:lang w:val="en-US" w:eastAsia="zh-CN"/>
        </w:rPr>
      </w:pPr>
      <w:r>
        <w:rPr>
          <w:rFonts w:hint="eastAsia"/>
          <w:color w:val="auto"/>
          <w:highlight w:val="none"/>
          <w:lang w:val="en-US" w:eastAsia="zh-CN"/>
        </w:rPr>
        <w:t>基本支出预算是指为保障部门正常运转、完成日常工作任务而制定的本单位人员薪酬福利支出计划和日常办公经费支出计划，可分为人员经费支出和公用经费支出。2023年我单位基本支出全年预算总额466.51万元，全年实际支出466.51万元，资金执行率100%。基本支出严格按照财务管理制度执行，其中：</w:t>
      </w:r>
    </w:p>
    <w:p>
      <w:pPr>
        <w:bidi w:val="0"/>
        <w:rPr>
          <w:rFonts w:hint="eastAsia"/>
          <w:color w:val="auto"/>
          <w:highlight w:val="none"/>
          <w:lang w:val="en-US" w:eastAsia="zh-CN"/>
        </w:rPr>
      </w:pPr>
      <w:r>
        <w:rPr>
          <w:rFonts w:hint="eastAsia"/>
          <w:color w:val="auto"/>
          <w:highlight w:val="none"/>
          <w:lang w:val="en-US" w:eastAsia="zh-CN"/>
        </w:rPr>
        <w:t>人员经费支出451.49万元，主要包括：基本工资、津贴补贴、奖金、绩效工资、机关事业单位基本养老保险缴费、职业年金缴费、职工基本医疗保险缴费、公务员医疗补助缴费、其他社会保障缴费、住房公积金、其他工资福利支出、离休费等。</w:t>
      </w:r>
    </w:p>
    <w:p>
      <w:pPr>
        <w:bidi w:val="0"/>
        <w:rPr>
          <w:rFonts w:hint="eastAsia"/>
          <w:color w:val="auto"/>
          <w:highlight w:val="none"/>
          <w:lang w:val="en-US" w:eastAsia="zh-CN"/>
        </w:rPr>
      </w:pPr>
      <w:r>
        <w:rPr>
          <w:rFonts w:hint="eastAsia"/>
          <w:color w:val="auto"/>
          <w:highlight w:val="none"/>
          <w:lang w:val="en-US" w:eastAsia="zh-CN"/>
        </w:rPr>
        <w:t>公用经费支出15.02万元，主要包括：办公费、水费、电费、取暖费、邮电费、差旅费、工会经费、公务用车运行维护费。</w:t>
      </w:r>
    </w:p>
    <w:p>
      <w:pPr>
        <w:pStyle w:val="5"/>
        <w:bidi w:val="0"/>
        <w:rPr>
          <w:rFonts w:hint="eastAsia"/>
          <w:color w:val="auto"/>
          <w:highlight w:val="none"/>
          <w:lang w:val="en-US" w:eastAsia="zh-CN"/>
        </w:rPr>
      </w:pPr>
      <w:r>
        <w:rPr>
          <w:rFonts w:hint="eastAsia"/>
          <w:color w:val="auto"/>
          <w:highlight w:val="none"/>
          <w:lang w:val="en-US" w:eastAsia="zh-CN"/>
        </w:rPr>
        <w:t>（二）政策、项目支出和使用情况</w:t>
      </w:r>
    </w:p>
    <w:p>
      <w:pPr>
        <w:pStyle w:val="6"/>
        <w:bidi w:val="0"/>
        <w:rPr>
          <w:rFonts w:hint="eastAsia"/>
          <w:color w:val="auto"/>
          <w:highlight w:val="none"/>
          <w:lang w:val="en-US" w:eastAsia="zh-CN"/>
        </w:rPr>
      </w:pPr>
      <w:r>
        <w:rPr>
          <w:rFonts w:hint="eastAsia"/>
          <w:color w:val="auto"/>
          <w:highlight w:val="none"/>
          <w:lang w:val="en-US" w:eastAsia="zh-CN"/>
        </w:rPr>
        <w:t>1.政策、项目支出的投入情况分析</w:t>
      </w:r>
    </w:p>
    <w:p>
      <w:pPr>
        <w:bidi w:val="0"/>
        <w:rPr>
          <w:rFonts w:hint="eastAsia"/>
          <w:color w:val="auto"/>
          <w:highlight w:val="none"/>
          <w:lang w:eastAsia="zh-CN"/>
        </w:rPr>
      </w:pPr>
      <w:r>
        <w:rPr>
          <w:rFonts w:hint="eastAsia"/>
          <w:color w:val="auto"/>
          <w:highlight w:val="none"/>
          <w:lang w:val="en-US" w:eastAsia="zh-CN"/>
        </w:rPr>
        <w:t>我单位</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rPr>
        <w:t>年</w:t>
      </w:r>
      <w:r>
        <w:rPr>
          <w:rFonts w:hint="eastAsia"/>
          <w:color w:val="auto"/>
          <w:highlight w:val="none"/>
          <w:lang w:val="en-US" w:eastAsia="zh-CN"/>
        </w:rPr>
        <w:t>度共</w:t>
      </w:r>
      <w:r>
        <w:rPr>
          <w:rFonts w:hint="eastAsia"/>
          <w:color w:val="auto"/>
          <w:highlight w:val="none"/>
          <w:lang w:eastAsia="zh-CN"/>
        </w:rPr>
        <w:t>安排</w:t>
      </w:r>
      <w:r>
        <w:rPr>
          <w:rFonts w:hint="eastAsia"/>
          <w:color w:val="auto"/>
          <w:highlight w:val="none"/>
          <w:lang w:val="en-US" w:eastAsia="zh-CN"/>
        </w:rPr>
        <w:t>项目支出预算</w:t>
      </w:r>
      <w:r>
        <w:rPr>
          <w:rFonts w:hint="eastAsia"/>
          <w:color w:val="auto"/>
          <w:highlight w:val="none"/>
          <w:lang w:eastAsia="zh-CN"/>
        </w:rPr>
        <w:t>4009</w:t>
      </w:r>
      <w:r>
        <w:rPr>
          <w:rFonts w:hint="eastAsia"/>
          <w:color w:val="auto"/>
          <w:highlight w:val="none"/>
          <w:lang w:val="en-US" w:eastAsia="zh-CN"/>
        </w:rPr>
        <w:t>.16</w:t>
      </w:r>
      <w:r>
        <w:rPr>
          <w:rFonts w:hint="eastAsia"/>
          <w:color w:val="auto"/>
          <w:highlight w:val="none"/>
          <w:lang w:eastAsia="zh-CN"/>
        </w:rPr>
        <w:t>万元（含上年结余</w:t>
      </w:r>
      <w:r>
        <w:rPr>
          <w:rFonts w:hint="eastAsia"/>
          <w:color w:val="auto"/>
          <w:highlight w:val="none"/>
          <w:lang w:val="en-US" w:eastAsia="zh-CN"/>
        </w:rPr>
        <w:t>0</w:t>
      </w:r>
      <w:r>
        <w:rPr>
          <w:rFonts w:hint="eastAsia"/>
          <w:color w:val="auto"/>
          <w:highlight w:val="none"/>
          <w:lang w:eastAsia="zh-CN"/>
        </w:rPr>
        <w:t>万元），</w:t>
      </w:r>
      <w:r>
        <w:rPr>
          <w:rFonts w:hint="eastAsia"/>
          <w:color w:val="auto"/>
          <w:highlight w:val="none"/>
          <w:lang w:val="en-US" w:eastAsia="zh-CN"/>
        </w:rPr>
        <w:t>其中：上级专项资金</w:t>
      </w:r>
      <w:r>
        <w:rPr>
          <w:rFonts w:hint="default"/>
          <w:color w:val="auto"/>
          <w:highlight w:val="none"/>
          <w:lang w:val="en-US" w:eastAsia="zh-CN"/>
        </w:rPr>
        <w:t>2652.41</w:t>
      </w:r>
      <w:r>
        <w:rPr>
          <w:rFonts w:hint="eastAsia"/>
          <w:color w:val="auto"/>
          <w:highlight w:val="none"/>
          <w:lang w:val="en-US" w:eastAsia="zh-CN"/>
        </w:rPr>
        <w:t>万元，本级财政资金</w:t>
      </w:r>
      <w:r>
        <w:rPr>
          <w:rFonts w:hint="default"/>
          <w:color w:val="auto"/>
          <w:highlight w:val="none"/>
          <w:lang w:val="en-US" w:eastAsia="zh-CN"/>
        </w:rPr>
        <w:t>1356.75</w:t>
      </w:r>
      <w:r>
        <w:rPr>
          <w:rFonts w:hint="eastAsia"/>
          <w:color w:val="auto"/>
          <w:highlight w:val="none"/>
          <w:lang w:val="en-US" w:eastAsia="zh-CN"/>
        </w:rPr>
        <w:t>万元</w:t>
      </w:r>
      <w:r>
        <w:rPr>
          <w:rFonts w:hint="eastAsia"/>
          <w:color w:val="auto"/>
          <w:highlight w:val="none"/>
          <w:lang w:eastAsia="zh-CN"/>
        </w:rPr>
        <w:t>。</w:t>
      </w:r>
    </w:p>
    <w:p>
      <w:pPr>
        <w:pStyle w:val="6"/>
        <w:bidi w:val="0"/>
        <w:rPr>
          <w:rFonts w:hint="eastAsia"/>
          <w:color w:val="auto"/>
          <w:highlight w:val="none"/>
          <w:lang w:val="en-US" w:eastAsia="zh-CN"/>
        </w:rPr>
      </w:pPr>
      <w:r>
        <w:rPr>
          <w:rFonts w:hint="eastAsia"/>
          <w:color w:val="auto"/>
          <w:highlight w:val="none"/>
          <w:lang w:val="en-US" w:eastAsia="zh-CN"/>
        </w:rPr>
        <w:t>2.政策、项目支出管理情况</w:t>
      </w:r>
    </w:p>
    <w:p>
      <w:pPr>
        <w:bidi w:val="0"/>
        <w:rPr>
          <w:rFonts w:hint="eastAsia"/>
          <w:color w:val="auto"/>
          <w:highlight w:val="none"/>
          <w:lang w:val="en-US" w:eastAsia="zh-CN"/>
        </w:rPr>
      </w:pPr>
      <w:r>
        <w:rPr>
          <w:rFonts w:hint="eastAsia"/>
          <w:color w:val="auto"/>
          <w:highlight w:val="none"/>
          <w:lang w:val="en-US" w:eastAsia="zh-CN"/>
        </w:rPr>
        <w:t>（1）资金管理情况。我单位项目资金全部按财政国库集中支付制度要求使用和拨付，通过财政直接支付方式拨给项目实施单位。在拨付过程中严把监督审核关，建立健全内部审批制度，财务做好项目专账，严格实行专款专用，保证资金及时足额用到项目中。2023年上级财政下达我单位专项资金</w:t>
      </w:r>
      <w:r>
        <w:rPr>
          <w:rFonts w:hint="default"/>
          <w:color w:val="auto"/>
          <w:highlight w:val="none"/>
          <w:lang w:val="en-US" w:eastAsia="zh-CN"/>
        </w:rPr>
        <w:t>2652</w:t>
      </w:r>
      <w:r>
        <w:rPr>
          <w:rFonts w:hint="default"/>
          <w:color w:val="auto"/>
          <w:highlight w:val="none"/>
          <w:lang w:val="en-US" w:eastAsia="zh-CN"/>
        </w:rPr>
        <w:t>.41</w:t>
      </w:r>
      <w:r>
        <w:rPr>
          <w:rFonts w:hint="eastAsia"/>
          <w:color w:val="auto"/>
          <w:highlight w:val="none"/>
          <w:lang w:val="en-US" w:eastAsia="zh-CN"/>
        </w:rPr>
        <w:t>万元，其中巩乃斯林场班禅沟至阿尔先沟道路林地补偿费项目、C007线终点至石林路项目、2023年和静县巴润哈尔莫敦镇道路项目、2023年和静县农村公路附属工程盖干塔克勒根村-G218线岔口项目、2023年农村公路附属工程克尔古提桥项目、2017年和静县哈尔莫敦村组公路项目资金全部通过财政国库集中支付方式直接拨给项目实施单位。</w:t>
      </w:r>
    </w:p>
    <w:p>
      <w:pPr>
        <w:bidi w:val="0"/>
        <w:rPr>
          <w:rFonts w:hint="default"/>
          <w:color w:val="auto"/>
          <w:highlight w:val="none"/>
          <w:lang w:val="en-US" w:eastAsia="zh-CN"/>
        </w:rPr>
      </w:pPr>
      <w:r>
        <w:rPr>
          <w:rFonts w:hint="eastAsia"/>
          <w:color w:val="auto"/>
          <w:highlight w:val="none"/>
          <w:lang w:val="en-US" w:eastAsia="zh-CN"/>
        </w:rPr>
        <w:t>（2）项目实施组织管理情况。我单位项目实施和资金使用分配坚持集体决策。</w:t>
      </w:r>
      <w:r>
        <w:rPr>
          <w:rFonts w:hint="eastAsia"/>
          <w:color w:val="auto"/>
          <w:highlight w:val="none"/>
          <w:lang w:val="en-US" w:eastAsia="zh-CN"/>
        </w:rPr>
        <w:t>2023年和静县巴润哈尔莫敦镇道路建设项目，根据静发改项目【2022】86号文件：《关于2023年和静县巴润哈尔莫敦镇道路项目的批复》，该项目新改建约17.2公里四级沥青混凝土公路及其附属设施，已于2023年11月完成项目施工，并通过项目验收及审计。通过实施该项目，有效提升交通运输服务水平，带动当地经济发展，为周边群众出行提供便利条件。</w:t>
      </w:r>
    </w:p>
    <w:p>
      <w:pPr>
        <w:pStyle w:val="6"/>
        <w:bidi w:val="0"/>
        <w:rPr>
          <w:rFonts w:hint="eastAsia"/>
          <w:color w:val="auto"/>
          <w:highlight w:val="none"/>
          <w:lang w:val="en-US" w:eastAsia="zh-CN"/>
        </w:rPr>
      </w:pPr>
      <w:r>
        <w:rPr>
          <w:rFonts w:hint="eastAsia"/>
          <w:color w:val="auto"/>
          <w:highlight w:val="none"/>
          <w:lang w:val="en-US" w:eastAsia="zh-CN"/>
        </w:rPr>
        <w:t>3.政策、项目支出总体实际使用情况</w:t>
      </w:r>
    </w:p>
    <w:p>
      <w:pPr>
        <w:bidi w:val="0"/>
        <w:rPr>
          <w:rFonts w:hint="eastAsia"/>
          <w:color w:val="auto"/>
          <w:highlight w:val="none"/>
          <w:lang w:eastAsia="zh-CN"/>
        </w:rPr>
      </w:pPr>
      <w:r>
        <w:rPr>
          <w:rFonts w:hint="eastAsia"/>
          <w:color w:val="auto"/>
          <w:highlight w:val="none"/>
          <w:lang w:val="en-US" w:eastAsia="zh-CN"/>
        </w:rPr>
        <w:t>我单位</w:t>
      </w:r>
      <w:r>
        <w:rPr>
          <w:rFonts w:hint="eastAsia"/>
          <w:color w:val="auto"/>
          <w:highlight w:val="none"/>
          <w:lang w:eastAsia="zh-CN"/>
        </w:rPr>
        <w:t>202</w:t>
      </w:r>
      <w:r>
        <w:rPr>
          <w:rFonts w:hint="eastAsia"/>
          <w:color w:val="auto"/>
          <w:highlight w:val="none"/>
          <w:lang w:val="en-US" w:eastAsia="zh-CN"/>
        </w:rPr>
        <w:t>3</w:t>
      </w:r>
      <w:r>
        <w:rPr>
          <w:rFonts w:hint="eastAsia"/>
          <w:color w:val="auto"/>
          <w:highlight w:val="none"/>
          <w:lang w:eastAsia="zh-CN"/>
        </w:rPr>
        <w:t>年</w:t>
      </w:r>
      <w:r>
        <w:rPr>
          <w:rFonts w:hint="eastAsia"/>
          <w:color w:val="auto"/>
          <w:highlight w:val="none"/>
          <w:lang w:val="en-US" w:eastAsia="zh-CN"/>
        </w:rPr>
        <w:t>度安排项目支出资金4009</w:t>
      </w:r>
      <w:r>
        <w:rPr>
          <w:rFonts w:hint="default"/>
          <w:color w:val="auto"/>
          <w:highlight w:val="none"/>
          <w:lang w:val="en-US" w:eastAsia="zh-CN"/>
        </w:rPr>
        <w:t>.16</w:t>
      </w:r>
      <w:r>
        <w:rPr>
          <w:rFonts w:hint="eastAsia"/>
          <w:color w:val="auto"/>
          <w:highlight w:val="none"/>
          <w:lang w:val="en-US" w:eastAsia="zh-CN"/>
        </w:rPr>
        <w:t>万元，</w:t>
      </w:r>
      <w:r>
        <w:rPr>
          <w:rFonts w:hint="eastAsia"/>
          <w:color w:val="auto"/>
          <w:highlight w:val="none"/>
          <w:lang w:eastAsia="zh-CN"/>
        </w:rPr>
        <w:t>实际</w:t>
      </w:r>
      <w:r>
        <w:rPr>
          <w:rFonts w:hint="eastAsia"/>
          <w:color w:val="auto"/>
          <w:highlight w:val="none"/>
          <w:lang w:val="en-US" w:eastAsia="zh-CN"/>
        </w:rPr>
        <w:t>支出4009</w:t>
      </w:r>
      <w:r>
        <w:rPr>
          <w:rFonts w:hint="default"/>
          <w:color w:val="auto"/>
          <w:highlight w:val="none"/>
          <w:lang w:val="en-US" w:eastAsia="zh-CN"/>
        </w:rPr>
        <w:t>.16</w:t>
      </w:r>
      <w:r>
        <w:rPr>
          <w:rFonts w:hint="eastAsia"/>
          <w:color w:val="auto"/>
          <w:highlight w:val="none"/>
          <w:lang w:eastAsia="zh-CN"/>
        </w:rPr>
        <w:t>万元，</w:t>
      </w:r>
      <w:r>
        <w:rPr>
          <w:rFonts w:hint="eastAsia"/>
          <w:color w:val="auto"/>
          <w:highlight w:val="none"/>
          <w:lang w:val="en-US" w:eastAsia="zh-CN"/>
        </w:rPr>
        <w:t>其中：上级专项资金支出</w:t>
      </w:r>
      <w:r>
        <w:rPr>
          <w:rFonts w:hint="default"/>
          <w:color w:val="auto"/>
          <w:highlight w:val="none"/>
          <w:lang w:val="en-US" w:eastAsia="zh-CN"/>
        </w:rPr>
        <w:t>2652.41</w:t>
      </w:r>
      <w:r>
        <w:rPr>
          <w:rFonts w:hint="eastAsia"/>
          <w:color w:val="auto"/>
          <w:highlight w:val="none"/>
          <w:lang w:val="en-US" w:eastAsia="zh-CN"/>
        </w:rPr>
        <w:t>万元，本级财政安排项目资金支出</w:t>
      </w:r>
      <w:r>
        <w:rPr>
          <w:rFonts w:hint="default"/>
          <w:color w:val="auto"/>
          <w:highlight w:val="none"/>
          <w:lang w:val="en-US" w:eastAsia="zh-CN"/>
        </w:rPr>
        <w:t>1356.75</w:t>
      </w:r>
      <w:r>
        <w:rPr>
          <w:rFonts w:hint="eastAsia"/>
          <w:color w:val="auto"/>
          <w:highlight w:val="none"/>
          <w:lang w:val="en-US" w:eastAsia="zh-CN"/>
        </w:rPr>
        <w:t>万元，项目预算资金</w:t>
      </w:r>
      <w:r>
        <w:rPr>
          <w:rFonts w:hint="eastAsia"/>
          <w:color w:val="auto"/>
          <w:highlight w:val="none"/>
        </w:rPr>
        <w:t>执行率</w:t>
      </w:r>
      <w:r>
        <w:rPr>
          <w:rFonts w:hint="default"/>
          <w:color w:val="auto"/>
          <w:highlight w:val="none"/>
          <w:lang w:val="en-US" w:eastAsia="zh-CN"/>
        </w:rPr>
        <w:t>100</w:t>
      </w:r>
      <w:r>
        <w:rPr>
          <w:rFonts w:hint="eastAsia"/>
          <w:color w:val="auto"/>
          <w:highlight w:val="none"/>
          <w:lang w:val="en-US" w:eastAsia="zh-CN"/>
        </w:rPr>
        <w:t>%</w:t>
      </w:r>
      <w:r>
        <w:rPr>
          <w:rFonts w:hint="eastAsia"/>
          <w:color w:val="auto"/>
          <w:highlight w:val="none"/>
          <w:lang w:eastAsia="zh-CN"/>
        </w:rPr>
        <w:t>，结转</w:t>
      </w:r>
      <w:r>
        <w:rPr>
          <w:rFonts w:hint="eastAsia"/>
          <w:color w:val="auto"/>
          <w:highlight w:val="none"/>
          <w:lang w:val="en-US" w:eastAsia="zh-CN"/>
        </w:rPr>
        <w:t>0</w:t>
      </w:r>
      <w:r>
        <w:rPr>
          <w:rFonts w:hint="eastAsia"/>
          <w:color w:val="auto"/>
          <w:highlight w:val="none"/>
          <w:lang w:eastAsia="zh-CN"/>
        </w:rPr>
        <w:t>万元，</w:t>
      </w:r>
      <w:r>
        <w:rPr>
          <w:rFonts w:hint="eastAsia"/>
          <w:color w:val="auto"/>
          <w:highlight w:val="none"/>
          <w:lang w:val="en-US" w:eastAsia="zh-CN"/>
        </w:rPr>
        <w:t>结余0</w:t>
      </w:r>
      <w:r>
        <w:rPr>
          <w:rFonts w:hint="eastAsia"/>
          <w:color w:val="auto"/>
          <w:highlight w:val="none"/>
          <w:lang w:eastAsia="zh-CN"/>
        </w:rPr>
        <w:t>万元。</w:t>
      </w:r>
      <w:bookmarkStart w:id="2" w:name="_Toc1734_WPSOffice_Level1"/>
    </w:p>
    <w:p>
      <w:pPr>
        <w:bidi w:val="0"/>
        <w:rPr>
          <w:rFonts w:hint="default" w:eastAsia="仿宋"/>
          <w:color w:val="auto"/>
          <w:highlight w:val="none"/>
          <w:lang w:val="en-US" w:eastAsia="zh-CN"/>
        </w:rPr>
      </w:pPr>
      <w:r>
        <w:rPr>
          <w:rFonts w:hint="default"/>
          <w:color w:val="auto"/>
          <w:highlight w:val="none"/>
          <w:lang w:val="en-US" w:eastAsia="zh-CN"/>
        </w:rPr>
        <w:t>我单位2023年度安排项目支出主要内容</w:t>
      </w:r>
      <w:r>
        <w:rPr>
          <w:rFonts w:hint="eastAsia"/>
          <w:color w:val="auto"/>
          <w:highlight w:val="none"/>
          <w:lang w:val="en-US" w:eastAsia="zh-CN"/>
        </w:rPr>
        <w:t>（</w:t>
      </w:r>
      <w:r>
        <w:rPr>
          <w:rFonts w:hint="default"/>
          <w:color w:val="auto"/>
          <w:highlight w:val="none"/>
          <w:lang w:val="en-US" w:eastAsia="zh-CN"/>
        </w:rPr>
        <w:t>按功能分类</w:t>
      </w:r>
      <w:r>
        <w:rPr>
          <w:rFonts w:hint="eastAsia"/>
          <w:color w:val="auto"/>
          <w:highlight w:val="none"/>
          <w:lang w:val="en-US" w:eastAsia="zh-CN"/>
        </w:rPr>
        <w:t>）：</w:t>
      </w:r>
      <w:r>
        <w:rPr>
          <w:rFonts w:hint="default"/>
          <w:color w:val="auto"/>
          <w:highlight w:val="none"/>
          <w:lang w:val="en-US" w:eastAsia="zh-CN"/>
        </w:rPr>
        <w:t>包括征地和拆迁补偿支出568.63万元，农村道路建设</w:t>
      </w:r>
      <w:r>
        <w:rPr>
          <w:rFonts w:hint="eastAsia"/>
          <w:color w:val="auto"/>
          <w:highlight w:val="none"/>
          <w:lang w:val="en-US" w:eastAsia="zh-CN"/>
        </w:rPr>
        <w:t>支出268.41万元，农村基础设施建设支出1627.95万元，公路建设310.88万元，公路养护517.13万元，其他公路水路运输支出155万元，车辆购置税用于农村公路建设支出243.52万元，其他交通运输支出250.32万元，其他解决历史遗留问题及改革成本支出62.92万元，灾害风险防治支出4.4万元。</w:t>
      </w:r>
    </w:p>
    <w:bookmarkEnd w:id="2"/>
    <w:p>
      <w:pPr>
        <w:pStyle w:val="4"/>
        <w:bidi w:val="0"/>
        <w:rPr>
          <w:rFonts w:hint="eastAsia" w:eastAsia="黑体"/>
          <w:color w:val="auto"/>
          <w:highlight w:val="none"/>
          <w:lang w:val="en-US" w:eastAsia="zh-CN"/>
        </w:rPr>
      </w:pPr>
      <w:bookmarkStart w:id="3" w:name="_Toc13582_WPSOffice_Level1"/>
      <w:r>
        <w:rPr>
          <w:rFonts w:hint="eastAsia"/>
          <w:color w:val="auto"/>
          <w:highlight w:val="none"/>
          <w:lang w:val="en-US" w:eastAsia="zh-CN"/>
        </w:rPr>
        <w:t>三、</w:t>
      </w:r>
      <w:r>
        <w:rPr>
          <w:rFonts w:hint="eastAsia"/>
          <w:color w:val="auto"/>
          <w:highlight w:val="none"/>
        </w:rPr>
        <w:t>部门单位整体支出绩效</w:t>
      </w:r>
      <w:bookmarkEnd w:id="3"/>
      <w:r>
        <w:rPr>
          <w:rFonts w:hint="eastAsia"/>
          <w:color w:val="auto"/>
          <w:highlight w:val="none"/>
          <w:lang w:val="en-US" w:eastAsia="zh-CN"/>
        </w:rPr>
        <w:t>分析</w:t>
      </w:r>
    </w:p>
    <w:p>
      <w:pPr>
        <w:bidi w:val="0"/>
        <w:rPr>
          <w:rFonts w:hint="default"/>
          <w:color w:val="auto"/>
          <w:highlight w:val="none"/>
          <w:lang w:val="en-US" w:eastAsia="zh-CN"/>
        </w:rPr>
      </w:pPr>
      <w:r>
        <w:rPr>
          <w:rFonts w:hint="eastAsia"/>
          <w:color w:val="auto"/>
          <w:highlight w:val="none"/>
          <w:lang w:eastAsia="zh-CN"/>
        </w:rPr>
        <w:t>我</w:t>
      </w:r>
      <w:r>
        <w:rPr>
          <w:rFonts w:hint="eastAsia"/>
          <w:color w:val="auto"/>
          <w:highlight w:val="none"/>
        </w:rPr>
        <w:t>单位202</w:t>
      </w:r>
      <w:r>
        <w:rPr>
          <w:rFonts w:hint="eastAsia"/>
          <w:color w:val="auto"/>
          <w:highlight w:val="none"/>
          <w:lang w:val="en-US" w:eastAsia="zh-CN"/>
        </w:rPr>
        <w:t>3</w:t>
      </w:r>
      <w:r>
        <w:rPr>
          <w:rFonts w:hint="eastAsia"/>
          <w:color w:val="auto"/>
          <w:highlight w:val="none"/>
        </w:rPr>
        <w:t>年度部门整体支出绩效目标，共设置一级指标</w:t>
      </w:r>
      <w:r>
        <w:rPr>
          <w:rFonts w:hint="eastAsia"/>
          <w:color w:val="auto"/>
          <w:highlight w:val="none"/>
          <w:lang w:val="en-US" w:eastAsia="zh-CN"/>
        </w:rPr>
        <w:t>4</w:t>
      </w:r>
      <w:r>
        <w:rPr>
          <w:rFonts w:hint="eastAsia"/>
          <w:color w:val="auto"/>
          <w:highlight w:val="none"/>
        </w:rPr>
        <w:t>个，二级指标</w:t>
      </w:r>
      <w:r>
        <w:rPr>
          <w:rFonts w:hint="eastAsia"/>
          <w:color w:val="auto"/>
          <w:highlight w:val="none"/>
          <w:lang w:val="en-US" w:eastAsia="zh-CN"/>
        </w:rPr>
        <w:t>7</w:t>
      </w:r>
      <w:r>
        <w:rPr>
          <w:rFonts w:hint="eastAsia"/>
          <w:color w:val="auto"/>
          <w:highlight w:val="none"/>
        </w:rPr>
        <w:t>个，三级指标</w:t>
      </w:r>
      <w:r>
        <w:rPr>
          <w:rFonts w:hint="eastAsia"/>
          <w:color w:val="auto"/>
          <w:highlight w:val="none"/>
          <w:lang w:val="en-US" w:eastAsia="zh-CN"/>
        </w:rPr>
        <w:t>7</w:t>
      </w:r>
      <w:r>
        <w:rPr>
          <w:rFonts w:hint="eastAsia"/>
          <w:color w:val="auto"/>
          <w:highlight w:val="none"/>
        </w:rPr>
        <w:t>个</w:t>
      </w:r>
      <w:r>
        <w:rPr>
          <w:rFonts w:hint="eastAsia"/>
          <w:color w:val="auto"/>
          <w:highlight w:val="none"/>
          <w:lang w:eastAsia="zh-CN"/>
        </w:rPr>
        <w:t>，其中已完成三级指标</w:t>
      </w:r>
      <w:r>
        <w:rPr>
          <w:rFonts w:hint="eastAsia"/>
          <w:color w:val="auto"/>
          <w:highlight w:val="none"/>
          <w:lang w:val="en-US" w:eastAsia="zh-CN"/>
        </w:rPr>
        <w:t>7</w:t>
      </w:r>
      <w:r>
        <w:rPr>
          <w:rFonts w:hint="eastAsia"/>
          <w:color w:val="auto"/>
          <w:highlight w:val="none"/>
          <w:lang w:eastAsia="zh-CN"/>
        </w:rPr>
        <w:t>个，指标完成率为</w:t>
      </w:r>
      <w:r>
        <w:rPr>
          <w:rFonts w:hint="eastAsia"/>
          <w:color w:val="auto"/>
          <w:highlight w:val="none"/>
          <w:lang w:val="en-US" w:eastAsia="zh-CN"/>
        </w:rPr>
        <w:t>100</w:t>
      </w:r>
      <w:r>
        <w:rPr>
          <w:rFonts w:hint="eastAsia"/>
          <w:color w:val="auto"/>
          <w:highlight w:val="none"/>
          <w:lang w:eastAsia="zh-CN"/>
        </w:rPr>
        <w:t>%</w:t>
      </w:r>
      <w:r>
        <w:rPr>
          <w:rFonts w:hint="eastAsia"/>
          <w:color w:val="auto"/>
          <w:highlight w:val="none"/>
        </w:rPr>
        <w:t>。部门整体支出绩效情况如下</w:t>
      </w:r>
      <w:r>
        <w:rPr>
          <w:rFonts w:hint="eastAsia"/>
          <w:color w:val="auto"/>
          <w:highlight w:val="none"/>
          <w:lang w:val="en-US" w:eastAsia="zh-CN"/>
        </w:rPr>
        <w:t>：</w:t>
      </w:r>
    </w:p>
    <w:p>
      <w:pPr>
        <w:pStyle w:val="5"/>
        <w:bidi w:val="0"/>
        <w:rPr>
          <w:rFonts w:hint="eastAsia"/>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val="en-US" w:eastAsia="zh-CN"/>
        </w:rPr>
        <w:tab/>
      </w:r>
      <w:r>
        <w:rPr>
          <w:rFonts w:hint="eastAsia"/>
          <w:color w:val="auto"/>
          <w:highlight w:val="none"/>
          <w:lang w:val="en-US" w:eastAsia="zh-CN"/>
        </w:rPr>
        <w:t>项目支出预算执行率</w:t>
      </w:r>
      <w:r>
        <w:rPr>
          <w:rFonts w:hint="eastAsia"/>
          <w:color w:val="auto"/>
          <w:highlight w:val="none"/>
        </w:rPr>
        <w:t>指标完成情况分析</w:t>
      </w:r>
    </w:p>
    <w:p>
      <w:pPr>
        <w:bidi w:val="0"/>
        <w:rPr>
          <w:rFonts w:hint="eastAsia"/>
          <w:color w:val="auto"/>
          <w:highlight w:val="none"/>
          <w:lang w:val="en-US" w:eastAsia="zh-CN"/>
        </w:rPr>
      </w:pPr>
      <w:r>
        <w:rPr>
          <w:rFonts w:hint="eastAsia"/>
          <w:color w:val="auto"/>
          <w:highlight w:val="none"/>
          <w:lang w:val="en-US" w:eastAsia="zh-CN"/>
        </w:rPr>
        <w:t>项目支出预算执行率指标年初设定目标是100百分比，年中绩效运行监控时完成值0，年终实际完成值是100百分比，指标完成率是100%，达到农村公路日常养护及农村公路新建资金按时发放到位，提高了施工单位满意度。偏差原因：无偏差。</w:t>
      </w:r>
    </w:p>
    <w:p>
      <w:pPr>
        <w:pStyle w:val="5"/>
        <w:numPr>
          <w:ilvl w:val="0"/>
          <w:numId w:val="1"/>
        </w:numPr>
        <w:bidi w:val="0"/>
        <w:rPr>
          <w:rFonts w:hint="eastAsia"/>
          <w:color w:val="auto"/>
          <w:highlight w:val="none"/>
          <w:lang w:val="en-US" w:eastAsia="zh-CN"/>
        </w:rPr>
      </w:pPr>
      <w:r>
        <w:rPr>
          <w:rFonts w:hint="eastAsia"/>
          <w:color w:val="auto"/>
          <w:highlight w:val="none"/>
          <w:lang w:val="en-US" w:eastAsia="zh-CN"/>
        </w:rPr>
        <w:t>“三公经费”控制率指标完成情况分析</w:t>
      </w:r>
    </w:p>
    <w:p>
      <w:pPr>
        <w:bidi w:val="0"/>
        <w:rPr>
          <w:rFonts w:hint="eastAsia"/>
          <w:color w:val="auto"/>
          <w:highlight w:val="none"/>
          <w:lang w:val="en-US" w:eastAsia="zh-CN"/>
        </w:rPr>
      </w:pPr>
      <w:r>
        <w:rPr>
          <w:rFonts w:hint="eastAsia"/>
          <w:color w:val="auto"/>
          <w:highlight w:val="none"/>
          <w:lang w:val="en-US" w:eastAsia="zh-CN"/>
        </w:rPr>
        <w:t>“三公经费”控制率指标年初设定目标是100百分比，年中绩效运行监控时完成值100百分比，年终实际完成值是100百分比，指标完成率是100%，根据相关文件要求，加强“三公经费”的管理，树立艰苦奋斗、勤俭节约的思想。偏差原因：无偏差。</w:t>
      </w:r>
    </w:p>
    <w:p>
      <w:pPr>
        <w:pStyle w:val="5"/>
        <w:numPr>
          <w:ilvl w:val="0"/>
          <w:numId w:val="1"/>
        </w:numPr>
        <w:bidi w:val="0"/>
        <w:rPr>
          <w:rFonts w:hint="eastAsia"/>
          <w:color w:val="auto"/>
          <w:highlight w:val="none"/>
          <w:lang w:val="en-US" w:eastAsia="zh-CN"/>
        </w:rPr>
      </w:pPr>
      <w:r>
        <w:rPr>
          <w:rFonts w:hint="eastAsia"/>
          <w:color w:val="auto"/>
          <w:highlight w:val="none"/>
          <w:lang w:val="en-US" w:eastAsia="zh-CN"/>
        </w:rPr>
        <w:t>项目实施及时率指标完成情况分析</w:t>
      </w:r>
    </w:p>
    <w:p>
      <w:pPr>
        <w:bidi w:val="0"/>
        <w:rPr>
          <w:rFonts w:hint="eastAsia"/>
          <w:color w:val="auto"/>
          <w:highlight w:val="none"/>
          <w:lang w:val="en-US" w:eastAsia="zh-CN"/>
        </w:rPr>
      </w:pPr>
      <w:r>
        <w:rPr>
          <w:rFonts w:hint="eastAsia"/>
          <w:color w:val="auto"/>
          <w:highlight w:val="none"/>
          <w:lang w:val="en-US" w:eastAsia="zh-CN"/>
        </w:rPr>
        <w:t>项目实施及时率指标年初设定目标是≥95%，年中绩效运行监控时完成值100%，年终实际完成值是100%，指标完成率是100%，按照相关文件的要求，各项农村公路养护及建设按期完成施工并审计，有效提高了周边群众的满意度。偏差原因：无偏差。</w:t>
      </w:r>
    </w:p>
    <w:p>
      <w:pPr>
        <w:pStyle w:val="5"/>
        <w:numPr>
          <w:ilvl w:val="0"/>
          <w:numId w:val="1"/>
        </w:numPr>
        <w:bidi w:val="0"/>
        <w:rPr>
          <w:rFonts w:hint="eastAsia"/>
          <w:color w:val="auto"/>
          <w:highlight w:val="none"/>
          <w:lang w:val="en-US" w:eastAsia="zh-CN"/>
        </w:rPr>
      </w:pPr>
      <w:r>
        <w:rPr>
          <w:rFonts w:hint="eastAsia"/>
          <w:color w:val="auto"/>
          <w:highlight w:val="none"/>
          <w:lang w:val="en-US" w:eastAsia="zh-CN"/>
        </w:rPr>
        <w:t>保障职工数量指标完成情况分析</w:t>
      </w:r>
    </w:p>
    <w:p>
      <w:pPr>
        <w:bidi w:val="0"/>
        <w:rPr>
          <w:rFonts w:hint="eastAsia"/>
          <w:color w:val="auto"/>
          <w:highlight w:val="none"/>
          <w:lang w:val="en-US" w:eastAsia="zh-CN"/>
        </w:rPr>
      </w:pPr>
      <w:r>
        <w:rPr>
          <w:rFonts w:hint="eastAsia"/>
          <w:color w:val="auto"/>
          <w:highlight w:val="none"/>
          <w:lang w:val="en-US" w:eastAsia="zh-CN"/>
        </w:rPr>
        <w:t>保障职工数量指标年初设定目标是≤40人，年中绩效运行监控时完成值40人，年终实际完成值是40人，指标完成率是100%，按时发放单位职工社保、医保、住房公积金及工资，有效保障了干部工作的积极性。偏差原因：无偏差。</w:t>
      </w:r>
    </w:p>
    <w:p>
      <w:pPr>
        <w:pStyle w:val="5"/>
        <w:numPr>
          <w:ilvl w:val="0"/>
          <w:numId w:val="1"/>
        </w:numPr>
        <w:bidi w:val="0"/>
        <w:rPr>
          <w:rFonts w:hint="eastAsia"/>
          <w:color w:val="auto"/>
          <w:highlight w:val="none"/>
          <w:lang w:val="en-US" w:eastAsia="zh-CN"/>
        </w:rPr>
      </w:pPr>
      <w:r>
        <w:rPr>
          <w:rFonts w:hint="eastAsia"/>
          <w:color w:val="auto"/>
          <w:highlight w:val="none"/>
          <w:lang w:val="en-US" w:eastAsia="zh-CN"/>
        </w:rPr>
        <w:t>执法检查次数指标完成情况分析</w:t>
      </w:r>
    </w:p>
    <w:p>
      <w:pPr>
        <w:bidi w:val="0"/>
        <w:rPr>
          <w:rFonts w:hint="eastAsia"/>
          <w:color w:val="auto"/>
          <w:highlight w:val="none"/>
          <w:lang w:val="en-US" w:eastAsia="zh-CN"/>
        </w:rPr>
      </w:pPr>
      <w:r>
        <w:rPr>
          <w:rFonts w:hint="eastAsia"/>
          <w:color w:val="auto"/>
          <w:highlight w:val="none"/>
          <w:lang w:val="en-US" w:eastAsia="zh-CN"/>
        </w:rPr>
        <w:t>执法检查次数指标年初设定目标是≥100次，年中绩效运行监控时完成值58次，年终实际完成值是348次，指标完成率是348%，积极配合交管部门加大对“两客一危一货”车辆的管理和安全生产常态化检查力度，充分利用GPS监控平台加大对车辆的监管，遏制道路交通事故的发生。偏差原因：年初设定目标较低，今后将加强对项目实施的调研，强化目标编制的准确性。</w:t>
      </w:r>
    </w:p>
    <w:p>
      <w:pPr>
        <w:pStyle w:val="5"/>
        <w:numPr>
          <w:ilvl w:val="0"/>
          <w:numId w:val="1"/>
        </w:numPr>
        <w:bidi w:val="0"/>
        <w:rPr>
          <w:rFonts w:hint="eastAsia"/>
          <w:color w:val="auto"/>
          <w:highlight w:val="none"/>
          <w:lang w:val="en-US" w:eastAsia="zh-CN"/>
        </w:rPr>
      </w:pPr>
      <w:r>
        <w:rPr>
          <w:rFonts w:hint="eastAsia"/>
          <w:color w:val="auto"/>
          <w:highlight w:val="none"/>
          <w:lang w:val="en-US" w:eastAsia="zh-CN"/>
        </w:rPr>
        <w:t>车辆道路运输年审次数指标完成情况分析</w:t>
      </w:r>
    </w:p>
    <w:p>
      <w:pPr>
        <w:bidi w:val="0"/>
        <w:rPr>
          <w:rFonts w:hint="eastAsia"/>
          <w:color w:val="auto"/>
          <w:highlight w:val="none"/>
          <w:lang w:val="en-US" w:eastAsia="zh-CN"/>
        </w:rPr>
      </w:pPr>
      <w:r>
        <w:rPr>
          <w:rFonts w:hint="eastAsia"/>
          <w:color w:val="auto"/>
          <w:highlight w:val="none"/>
          <w:lang w:val="en-US" w:eastAsia="zh-CN"/>
        </w:rPr>
        <w:t>车辆道路运输年审次数指标年初设定目标是≥6000次，年中绩效运行监控时完成值3533次，年终实际完成值是6476次，指标完成率是107.93%，通过对客运、货运、新能源公交车等各类车辆的年审，可以及时消除车辆安全隐患，督促加强汽车的维护保养，减少事故的发生。偏差原因：无偏差。</w:t>
      </w:r>
    </w:p>
    <w:p>
      <w:pPr>
        <w:pStyle w:val="5"/>
        <w:numPr>
          <w:ilvl w:val="0"/>
          <w:numId w:val="1"/>
        </w:numPr>
        <w:bidi w:val="0"/>
        <w:rPr>
          <w:rFonts w:hint="eastAsia"/>
          <w:color w:val="auto"/>
          <w:highlight w:val="none"/>
          <w:lang w:val="en-US" w:eastAsia="zh-CN"/>
        </w:rPr>
      </w:pPr>
      <w:r>
        <w:rPr>
          <w:rFonts w:hint="eastAsia"/>
          <w:color w:val="auto"/>
          <w:highlight w:val="none"/>
          <w:lang w:val="en-US" w:eastAsia="zh-CN"/>
        </w:rPr>
        <w:t>周边群众满意度指标完成情况分析</w:t>
      </w:r>
    </w:p>
    <w:p>
      <w:pPr>
        <w:bidi w:val="0"/>
        <w:rPr>
          <w:rFonts w:hint="eastAsia"/>
          <w:color w:val="auto"/>
          <w:highlight w:val="none"/>
          <w:lang w:val="en-US" w:eastAsia="zh-CN"/>
        </w:rPr>
      </w:pPr>
      <w:r>
        <w:rPr>
          <w:rFonts w:hint="eastAsia"/>
          <w:color w:val="auto"/>
          <w:highlight w:val="none"/>
          <w:lang w:val="en-US" w:eastAsia="zh-CN"/>
        </w:rPr>
        <w:t>周边群众满意度指标年初设定目标是≥95%，年中绩效运行监控时完成值未达监控节点，年终实际完成值是98%，指标完成率是100%，2023年和静县农村公路的养护及修建，有效提升交通运输服务水平，减少周边群众出行时间，通过问卷调查达到较好的满意度。偏差原因：无偏差。</w:t>
      </w:r>
    </w:p>
    <w:p>
      <w:pPr>
        <w:pStyle w:val="4"/>
        <w:numPr>
          <w:ilvl w:val="0"/>
          <w:numId w:val="0"/>
        </w:numPr>
        <w:bidi w:val="0"/>
        <w:ind w:leftChars="200"/>
        <w:rPr>
          <w:rFonts w:hint="default"/>
          <w:color w:val="auto"/>
          <w:highlight w:val="none"/>
          <w:lang w:val="en-US"/>
        </w:rPr>
      </w:pPr>
      <w:r>
        <w:rPr>
          <w:rFonts w:hint="eastAsia"/>
          <w:color w:val="auto"/>
          <w:highlight w:val="none"/>
          <w:lang w:val="en-US" w:eastAsia="zh-CN"/>
        </w:rPr>
        <w:t>四、评价结论</w:t>
      </w:r>
    </w:p>
    <w:p>
      <w:pPr>
        <w:bidi w:val="0"/>
        <w:rPr>
          <w:rFonts w:hint="eastAsia" w:ascii="Times New Roman" w:hAnsi="Times New Roman" w:cs="Times New Roman"/>
          <w:color w:val="auto"/>
          <w:highlight w:val="none"/>
          <w:lang w:val="en-US" w:eastAsia="zh-CN"/>
        </w:rPr>
      </w:pPr>
      <w:r>
        <w:rPr>
          <w:rFonts w:hint="eastAsia"/>
          <w:color w:val="auto"/>
          <w:highlight w:val="none"/>
          <w:lang w:val="en-US" w:eastAsia="zh-CN"/>
        </w:rPr>
        <w:t>我单位</w:t>
      </w:r>
      <w:r>
        <w:rPr>
          <w:rFonts w:hint="eastAsia"/>
          <w:color w:val="auto"/>
          <w:highlight w:val="none"/>
          <w:lang w:eastAsia="zh-CN"/>
        </w:rPr>
        <w:t>20</w:t>
      </w:r>
      <w:r>
        <w:rPr>
          <w:rFonts w:hint="eastAsia"/>
          <w:color w:val="auto"/>
          <w:highlight w:val="none"/>
          <w:lang w:val="en-US" w:eastAsia="zh-CN"/>
        </w:rPr>
        <w:t>23</w:t>
      </w:r>
      <w:r>
        <w:rPr>
          <w:rFonts w:hint="eastAsia"/>
          <w:color w:val="auto"/>
          <w:highlight w:val="none"/>
          <w:lang w:eastAsia="zh-CN"/>
        </w:rPr>
        <w:t>年度部门整体支出绩效自评综合得分</w:t>
      </w:r>
      <w:r>
        <w:rPr>
          <w:rFonts w:hint="eastAsia"/>
          <w:color w:val="auto"/>
          <w:highlight w:val="none"/>
          <w:lang w:val="en-US" w:eastAsia="zh-CN"/>
        </w:rPr>
        <w:t>100</w:t>
      </w:r>
      <w:r>
        <w:rPr>
          <w:rFonts w:hint="eastAsia"/>
          <w:color w:val="auto"/>
          <w:highlight w:val="none"/>
          <w:lang w:eastAsia="zh-CN"/>
        </w:rPr>
        <w:t>分，评价结果为“优”。</w:t>
      </w:r>
      <w:r>
        <w:rPr>
          <w:rFonts w:hint="eastAsia" w:ascii="Times New Roman" w:hAnsi="Times New Roman" w:cs="Times New Roman"/>
          <w:color w:val="auto"/>
          <w:highlight w:val="none"/>
          <w:lang w:eastAsia="zh-CN"/>
        </w:rPr>
        <w:t>我</w:t>
      </w:r>
      <w:r>
        <w:rPr>
          <w:rFonts w:hint="default" w:ascii="Times New Roman" w:hAnsi="Times New Roman" w:cs="Times New Roman"/>
          <w:color w:val="auto"/>
          <w:highlight w:val="none"/>
          <w:lang w:eastAsia="zh-CN"/>
        </w:rPr>
        <w:t>单位</w:t>
      </w:r>
      <w:r>
        <w:rPr>
          <w:rFonts w:hint="default" w:ascii="Times New Roman" w:hAnsi="Times New Roman" w:cs="Times New Roman"/>
          <w:color w:val="auto"/>
          <w:highlight w:val="none"/>
        </w:rPr>
        <w:t>202</w:t>
      </w:r>
      <w:r>
        <w:rPr>
          <w:rFonts w:hint="eastAsia" w:ascii="Times New Roman" w:hAnsi="Times New Roman" w:cs="Times New Roman"/>
          <w:color w:val="auto"/>
          <w:highlight w:val="none"/>
          <w:lang w:val="en-US" w:eastAsia="zh-CN"/>
        </w:rPr>
        <w:t>3</w:t>
      </w:r>
      <w:r>
        <w:rPr>
          <w:rFonts w:hint="default" w:ascii="Times New Roman" w:hAnsi="Times New Roman" w:cs="Times New Roman"/>
          <w:color w:val="auto"/>
          <w:highlight w:val="none"/>
        </w:rPr>
        <w:t>年部门履职效果良好，</w:t>
      </w:r>
      <w:r>
        <w:rPr>
          <w:rFonts w:hint="eastAsia" w:ascii="Times New Roman" w:hAnsi="Times New Roman" w:cs="Times New Roman"/>
          <w:color w:val="auto"/>
          <w:highlight w:val="none"/>
          <w:lang w:val="en-US" w:eastAsia="zh-CN"/>
        </w:rPr>
        <w:t>主要体现在：</w:t>
      </w:r>
    </w:p>
    <w:p>
      <w:pPr>
        <w:bidi w:val="0"/>
        <w:rPr>
          <w:rFonts w:hint="eastAsia"/>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2023年和静县农村公路及附属工程建设项目</w:t>
      </w:r>
      <w:r>
        <w:rPr>
          <w:rFonts w:hint="eastAsia"/>
          <w:color w:val="auto"/>
          <w:highlight w:val="none"/>
          <w:lang w:val="en-US" w:eastAsia="zh-CN"/>
        </w:rPr>
        <w:t>：</w:t>
      </w:r>
      <w:r>
        <w:rPr>
          <w:rFonts w:hint="default"/>
          <w:color w:val="auto"/>
          <w:highlight w:val="none"/>
          <w:lang w:val="en-US" w:eastAsia="zh-CN"/>
        </w:rPr>
        <w:t>新改建37.4公里四级农村公路及其附属设施，共分为4个合同段实施，其中：C007－土石林为第一合同段，道路全长12.57公里；盖干塔克勒根村-G218岔口为第二合同段，道路全长21.36公里；克尔古提桥为第三合同段，桥梁全长18延米</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2023年和静县巴润哈尔莫敦镇道路建设项目</w:t>
      </w:r>
      <w:r>
        <w:rPr>
          <w:rFonts w:hint="eastAsia"/>
          <w:color w:val="auto"/>
          <w:highlight w:val="none"/>
          <w:lang w:val="en-US" w:eastAsia="zh-CN"/>
        </w:rPr>
        <w:t>，</w:t>
      </w:r>
      <w:r>
        <w:rPr>
          <w:rFonts w:hint="default"/>
          <w:color w:val="auto"/>
          <w:highlight w:val="none"/>
          <w:lang w:val="en-US" w:eastAsia="zh-CN"/>
        </w:rPr>
        <w:t>新改建约17.2公里四级农村公路及其附属设施</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和静县2023年农村公路大中修工程</w:t>
      </w:r>
      <w:r>
        <w:rPr>
          <w:rFonts w:hint="eastAsia"/>
          <w:color w:val="auto"/>
          <w:highlight w:val="none"/>
          <w:lang w:val="en-US" w:eastAsia="zh-CN"/>
        </w:rPr>
        <w:t>，</w:t>
      </w:r>
      <w:r>
        <w:rPr>
          <w:rFonts w:hint="default"/>
          <w:color w:val="auto"/>
          <w:highlight w:val="none"/>
          <w:lang w:val="en-US" w:eastAsia="zh-CN"/>
        </w:rPr>
        <w:t>对县域内12.08公里农村公路进行大中修养护</w:t>
      </w:r>
      <w:r>
        <w:rPr>
          <w:rFonts w:hint="eastAsia"/>
          <w:color w:val="auto"/>
          <w:highlight w:val="none"/>
          <w:lang w:val="en-US" w:eastAsia="zh-CN"/>
        </w:rPr>
        <w:t>；</w:t>
      </w:r>
    </w:p>
    <w:p>
      <w:pPr>
        <w:bidi w:val="0"/>
        <w:rPr>
          <w:rFonts w:hint="default"/>
          <w:color w:val="auto"/>
          <w:highlight w:val="none"/>
          <w:lang w:val="en-US" w:eastAsia="zh-CN"/>
        </w:rPr>
      </w:pPr>
      <w:r>
        <w:rPr>
          <w:rFonts w:hint="eastAsia"/>
          <w:color w:val="auto"/>
          <w:highlight w:val="none"/>
          <w:lang w:val="en-US" w:eastAsia="zh-CN"/>
        </w:rPr>
        <w:t>全年项目的实施，可以推动农村公路快速发展、助力乡村振兴，农村公路对于增加农民收入、加强地区之间的联系与沟通、提高生活质量、推进城镇化建设和新农村公路建设等方面有着非常积极的作用，加快农村公路网格化建设。</w:t>
      </w:r>
    </w:p>
    <w:p>
      <w:pPr>
        <w:pStyle w:val="4"/>
        <w:bidi w:val="0"/>
        <w:rPr>
          <w:rFonts w:hint="default" w:eastAsia="黑体"/>
          <w:color w:val="auto"/>
          <w:highlight w:val="none"/>
          <w:lang w:val="en-US" w:eastAsia="zh-CN"/>
        </w:rPr>
      </w:pPr>
      <w:bookmarkStart w:id="4" w:name="_Toc22800_WPSOffice_Level1"/>
      <w:r>
        <w:rPr>
          <w:rFonts w:hint="eastAsia"/>
          <w:color w:val="auto"/>
          <w:highlight w:val="none"/>
          <w:lang w:val="en-US" w:eastAsia="zh-CN"/>
        </w:rPr>
        <w:t>五、</w:t>
      </w:r>
      <w:r>
        <w:rPr>
          <w:rFonts w:hint="eastAsia"/>
          <w:color w:val="auto"/>
          <w:highlight w:val="none"/>
        </w:rPr>
        <w:t>存在的主要问题</w:t>
      </w:r>
      <w:bookmarkEnd w:id="4"/>
      <w:r>
        <w:rPr>
          <w:rFonts w:hint="eastAsia"/>
          <w:color w:val="auto"/>
          <w:highlight w:val="none"/>
          <w:lang w:val="en-US" w:eastAsia="zh-CN"/>
        </w:rPr>
        <w:t>及原因分析</w:t>
      </w:r>
    </w:p>
    <w:p>
      <w:pPr>
        <w:bidi w:val="0"/>
        <w:rPr>
          <w:rFonts w:hint="eastAsia"/>
          <w:color w:val="auto"/>
          <w:highlight w:val="none"/>
          <w:lang w:val="en-US" w:eastAsia="zh-CN"/>
        </w:rPr>
      </w:pPr>
      <w:r>
        <w:rPr>
          <w:rFonts w:hint="eastAsia"/>
          <w:color w:val="auto"/>
          <w:highlight w:val="none"/>
          <w:lang w:val="en-US" w:eastAsia="zh-CN"/>
        </w:rPr>
        <w:t>1、财务工作水平有待提高。财务工作按部就班，缺乏创新，在精度和深度上欠缺，还需要进一步完善，尤其是在政府采购、固定资产管理方面还需要进一步严格。</w:t>
      </w:r>
    </w:p>
    <w:p>
      <w:pPr>
        <w:bidi w:val="0"/>
        <w:rPr>
          <w:rFonts w:hint="eastAsia"/>
          <w:color w:val="auto"/>
          <w:highlight w:val="none"/>
          <w:lang w:val="en-US" w:eastAsia="zh-CN"/>
        </w:rPr>
      </w:pPr>
      <w:r>
        <w:rPr>
          <w:rFonts w:hint="eastAsia"/>
          <w:color w:val="auto"/>
          <w:highlight w:val="none"/>
          <w:lang w:val="en-US" w:eastAsia="zh-CN"/>
        </w:rPr>
        <w:t>2、固定资产管理水平有待提高，固定资产台账未及时与账面资产金额对账且末与实物进行清点及及时清理处置报废资产导致资产台账与账面资产金额存在差异，固定资产管理继续加强中。</w:t>
      </w:r>
    </w:p>
    <w:p>
      <w:pPr>
        <w:pStyle w:val="4"/>
        <w:bidi w:val="0"/>
        <w:rPr>
          <w:rFonts w:hint="eastAsia"/>
          <w:color w:val="auto"/>
          <w:highlight w:val="none"/>
        </w:rPr>
      </w:pPr>
      <w:bookmarkStart w:id="5" w:name="_Toc29546_WPSOffice_Level1"/>
      <w:r>
        <w:rPr>
          <w:rFonts w:hint="eastAsia"/>
          <w:color w:val="auto"/>
          <w:highlight w:val="none"/>
          <w:lang w:val="en-US" w:eastAsia="zh-CN"/>
        </w:rPr>
        <w:t>六、</w:t>
      </w:r>
      <w:r>
        <w:rPr>
          <w:rFonts w:hint="eastAsia"/>
          <w:color w:val="auto"/>
          <w:highlight w:val="none"/>
        </w:rPr>
        <w:t>改进措施和建议</w:t>
      </w:r>
      <w:bookmarkEnd w:id="5"/>
    </w:p>
    <w:p>
      <w:pPr>
        <w:bidi w:val="0"/>
        <w:rPr>
          <w:rFonts w:hint="eastAsia"/>
          <w:color w:val="auto"/>
          <w:highlight w:val="none"/>
          <w:lang w:val="en-US" w:eastAsia="zh-CN"/>
        </w:rPr>
      </w:pPr>
      <w:r>
        <w:rPr>
          <w:rFonts w:hint="eastAsia"/>
          <w:color w:val="auto"/>
          <w:highlight w:val="none"/>
          <w:lang w:val="en-US" w:eastAsia="zh-CN"/>
        </w:rPr>
        <w:t>1、加强新行政单位会计制度和新预算法学习培训、规范账务处理，加强新《预算法》《行政单位会计制度》《会计法》《行政单位财务规则》等学习培训，规范部门预算收支核算。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4"/>
        <w:bidi w:val="0"/>
        <w:rPr>
          <w:rFonts w:hint="eastAsia" w:ascii="仿宋_GB2312" w:hAnsi="仿宋_GB2312" w:eastAsia="仿宋" w:cs="仿宋_GB2312"/>
          <w:bCs w:val="0"/>
          <w:color w:val="auto"/>
          <w:kern w:val="2"/>
          <w:sz w:val="28"/>
          <w:szCs w:val="24"/>
          <w:highlight w:val="none"/>
          <w:lang w:val="en-US" w:eastAsia="zh-CN" w:bidi="ar-SA"/>
        </w:rPr>
      </w:pPr>
      <w:r>
        <w:rPr>
          <w:rFonts w:hint="eastAsia" w:ascii="仿宋_GB2312" w:hAnsi="仿宋_GB2312" w:eastAsia="仿宋" w:cs="仿宋_GB2312"/>
          <w:bCs w:val="0"/>
          <w:color w:val="auto"/>
          <w:kern w:val="2"/>
          <w:sz w:val="28"/>
          <w:szCs w:val="24"/>
          <w:highlight w:val="none"/>
          <w:lang w:val="en-US" w:eastAsia="zh-CN" w:bidi="ar-SA"/>
        </w:rPr>
        <w:t>2、完善管理制度，进一步加强资产管理。严格按照《固定资产管理办法》的规定，加强固定资产管理，及时登记、更新台账，加强资产卡片管理，对各类实物资产进行全面盘点，确保账账、账实相符。</w:t>
      </w:r>
    </w:p>
    <w:p>
      <w:pPr>
        <w:pStyle w:val="4"/>
        <w:bidi w:val="0"/>
        <w:rPr>
          <w:rFonts w:hint="default"/>
          <w:color w:val="auto"/>
          <w:highlight w:val="none"/>
          <w:lang w:val="en-US" w:eastAsia="zh-CN"/>
        </w:rPr>
      </w:pPr>
      <w:r>
        <w:rPr>
          <w:rFonts w:hint="eastAsia"/>
          <w:color w:val="auto"/>
          <w:highlight w:val="none"/>
          <w:lang w:val="en-US" w:eastAsia="zh-CN"/>
        </w:rPr>
        <w:t>七、附件上传</w:t>
      </w:r>
    </w:p>
    <w:p>
      <w:pPr>
        <w:bidi w:val="0"/>
        <w:rPr>
          <w:rFonts w:hint="eastAsia"/>
          <w:color w:val="auto"/>
          <w:highlight w:val="none"/>
          <w:lang w:val="en-US" w:eastAsia="zh-CN"/>
        </w:rPr>
      </w:pPr>
      <w:bookmarkStart w:id="6" w:name="_GoBack"/>
      <w:bookmarkEnd w:id="6"/>
    </w:p>
    <w:sectPr>
      <w:footerReference r:id="rId5" w:type="default"/>
      <w:pgSz w:w="11906" w:h="16838"/>
      <w:pgMar w:top="1440" w:right="1800" w:bottom="1440" w:left="1800" w:header="851" w:footer="992" w:gutter="0"/>
      <w:pgNumType w:fmt="numberInDash"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keepNext w:val="0"/>
      <w:keepLines w:val="0"/>
      <w:pageBreakBefore w:val="0"/>
      <w:widowControl w:val="0"/>
      <w:kinsoku/>
      <w:wordWrap/>
      <w:overflowPunct/>
      <w:topLinePunct w:val="0"/>
      <w:bidi w:val="0"/>
      <w:adjustRightInd w:val="0"/>
      <w:snapToGrid w:val="0"/>
      <w:spacing w:line="240" w:lineRule="auto"/>
      <w:ind w:firstLine="0" w:firstLineChars="0"/>
      <w:jc w:val="center"/>
      <w:textAlignment w:val="auto"/>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0EA04"/>
    <w:multiLevelType w:val="singleLevel"/>
    <w:tmpl w:val="FDB0EA0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0"/>
  <w:bordersDoNotSurroundFooter w:val="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wNWNhNTE0OGNhNzNjNTcwYzJkZjNhNGVmZmJlNmEifQ=="/>
    <w:docVar w:name="KSO_WPS_MARK_KEY" w:val="e89e5d35-c8b1-4830-abac-bd085844b888"/>
  </w:docVars>
  <w:rsids>
    <w:rsidRoot w:val="1C6D319F"/>
    <w:rsid w:val="00056777"/>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B29A7"/>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941124"/>
    <w:rsid w:val="01CC583F"/>
    <w:rsid w:val="01D53145"/>
    <w:rsid w:val="02337D11"/>
    <w:rsid w:val="025E126D"/>
    <w:rsid w:val="026A3DE7"/>
    <w:rsid w:val="02C40969"/>
    <w:rsid w:val="037B371D"/>
    <w:rsid w:val="04512402"/>
    <w:rsid w:val="04DB4953"/>
    <w:rsid w:val="04FF0482"/>
    <w:rsid w:val="05062887"/>
    <w:rsid w:val="053363C8"/>
    <w:rsid w:val="05464D81"/>
    <w:rsid w:val="058C6C87"/>
    <w:rsid w:val="05F70F85"/>
    <w:rsid w:val="0607573C"/>
    <w:rsid w:val="064D1BD6"/>
    <w:rsid w:val="06547701"/>
    <w:rsid w:val="066019AE"/>
    <w:rsid w:val="06817889"/>
    <w:rsid w:val="072B19D6"/>
    <w:rsid w:val="08183C31"/>
    <w:rsid w:val="0831398F"/>
    <w:rsid w:val="084208C4"/>
    <w:rsid w:val="09621E9D"/>
    <w:rsid w:val="098A3C0A"/>
    <w:rsid w:val="09A24E4E"/>
    <w:rsid w:val="09EA475B"/>
    <w:rsid w:val="0A3557AC"/>
    <w:rsid w:val="0A384A98"/>
    <w:rsid w:val="0A61177A"/>
    <w:rsid w:val="0A9A7091"/>
    <w:rsid w:val="0AA3692C"/>
    <w:rsid w:val="0B934FB8"/>
    <w:rsid w:val="0C4751B4"/>
    <w:rsid w:val="0C6738B8"/>
    <w:rsid w:val="0D5846AF"/>
    <w:rsid w:val="0E7D784C"/>
    <w:rsid w:val="0EA31D7A"/>
    <w:rsid w:val="0EFF16A6"/>
    <w:rsid w:val="0F751969"/>
    <w:rsid w:val="0F786D63"/>
    <w:rsid w:val="10300946"/>
    <w:rsid w:val="10FE60D7"/>
    <w:rsid w:val="11050ACA"/>
    <w:rsid w:val="11065469"/>
    <w:rsid w:val="110873DD"/>
    <w:rsid w:val="113D64B6"/>
    <w:rsid w:val="131B23F6"/>
    <w:rsid w:val="134F7771"/>
    <w:rsid w:val="13E513B9"/>
    <w:rsid w:val="13E744B7"/>
    <w:rsid w:val="15340585"/>
    <w:rsid w:val="158C5316"/>
    <w:rsid w:val="15B904C0"/>
    <w:rsid w:val="165C118C"/>
    <w:rsid w:val="169A7F07"/>
    <w:rsid w:val="16D64BB7"/>
    <w:rsid w:val="172D035F"/>
    <w:rsid w:val="175D58E3"/>
    <w:rsid w:val="17726F75"/>
    <w:rsid w:val="18061B60"/>
    <w:rsid w:val="18145506"/>
    <w:rsid w:val="18226D7C"/>
    <w:rsid w:val="18822A00"/>
    <w:rsid w:val="18911C52"/>
    <w:rsid w:val="190C3DF8"/>
    <w:rsid w:val="19560395"/>
    <w:rsid w:val="19AA4D08"/>
    <w:rsid w:val="19CF0B20"/>
    <w:rsid w:val="19F83E30"/>
    <w:rsid w:val="1A212316"/>
    <w:rsid w:val="1A823C20"/>
    <w:rsid w:val="1AA82A04"/>
    <w:rsid w:val="1AEA5BA6"/>
    <w:rsid w:val="1B403139"/>
    <w:rsid w:val="1B8A7D38"/>
    <w:rsid w:val="1C3A1C48"/>
    <w:rsid w:val="1C575151"/>
    <w:rsid w:val="1C6D319F"/>
    <w:rsid w:val="1CA90EA4"/>
    <w:rsid w:val="1D384A93"/>
    <w:rsid w:val="1D4D74D6"/>
    <w:rsid w:val="1DE32CFD"/>
    <w:rsid w:val="1F1A602A"/>
    <w:rsid w:val="1F2854B6"/>
    <w:rsid w:val="1FB76E15"/>
    <w:rsid w:val="203977E9"/>
    <w:rsid w:val="205E3289"/>
    <w:rsid w:val="20916328"/>
    <w:rsid w:val="20CC59EA"/>
    <w:rsid w:val="2161219B"/>
    <w:rsid w:val="21643509"/>
    <w:rsid w:val="217D20CE"/>
    <w:rsid w:val="21C67E02"/>
    <w:rsid w:val="21C768CD"/>
    <w:rsid w:val="21FC799D"/>
    <w:rsid w:val="21FD4483"/>
    <w:rsid w:val="22E14253"/>
    <w:rsid w:val="23931BB2"/>
    <w:rsid w:val="23F209A3"/>
    <w:rsid w:val="2403516E"/>
    <w:rsid w:val="24A82DB6"/>
    <w:rsid w:val="24DE2FE3"/>
    <w:rsid w:val="25236D8D"/>
    <w:rsid w:val="256A2A9E"/>
    <w:rsid w:val="25A20C5B"/>
    <w:rsid w:val="26307F40"/>
    <w:rsid w:val="26CB1A16"/>
    <w:rsid w:val="26D86B1D"/>
    <w:rsid w:val="27E041B3"/>
    <w:rsid w:val="27F7226E"/>
    <w:rsid w:val="28036A3A"/>
    <w:rsid w:val="2805537E"/>
    <w:rsid w:val="289437EE"/>
    <w:rsid w:val="2953641F"/>
    <w:rsid w:val="295C4BCD"/>
    <w:rsid w:val="297873DB"/>
    <w:rsid w:val="297F1ACC"/>
    <w:rsid w:val="29F35E61"/>
    <w:rsid w:val="2A285817"/>
    <w:rsid w:val="2B6F150A"/>
    <w:rsid w:val="2BB557CB"/>
    <w:rsid w:val="2BC51751"/>
    <w:rsid w:val="2BFA049D"/>
    <w:rsid w:val="2C1718A2"/>
    <w:rsid w:val="2C33642B"/>
    <w:rsid w:val="2C9E1B0C"/>
    <w:rsid w:val="2D166684"/>
    <w:rsid w:val="2D79354F"/>
    <w:rsid w:val="2DB93643"/>
    <w:rsid w:val="2E583691"/>
    <w:rsid w:val="2EBF757D"/>
    <w:rsid w:val="2ECD27D0"/>
    <w:rsid w:val="2F0D325E"/>
    <w:rsid w:val="2F300FB0"/>
    <w:rsid w:val="2FF94FB1"/>
    <w:rsid w:val="304555D8"/>
    <w:rsid w:val="30CE0A81"/>
    <w:rsid w:val="313A1C72"/>
    <w:rsid w:val="317D15E1"/>
    <w:rsid w:val="31927D00"/>
    <w:rsid w:val="31AE39CE"/>
    <w:rsid w:val="31B83F5F"/>
    <w:rsid w:val="31FC23F1"/>
    <w:rsid w:val="32174F63"/>
    <w:rsid w:val="328E2AB6"/>
    <w:rsid w:val="329B12EA"/>
    <w:rsid w:val="32FB1A54"/>
    <w:rsid w:val="33291F9F"/>
    <w:rsid w:val="336F5516"/>
    <w:rsid w:val="33A83F87"/>
    <w:rsid w:val="33AD683B"/>
    <w:rsid w:val="33C165AE"/>
    <w:rsid w:val="340D2D0F"/>
    <w:rsid w:val="348F1A9E"/>
    <w:rsid w:val="352A1942"/>
    <w:rsid w:val="355C2B3F"/>
    <w:rsid w:val="35613C72"/>
    <w:rsid w:val="356B4AF0"/>
    <w:rsid w:val="35764802"/>
    <w:rsid w:val="35A973C7"/>
    <w:rsid w:val="35F12468"/>
    <w:rsid w:val="361B5690"/>
    <w:rsid w:val="36851B5C"/>
    <w:rsid w:val="37661A13"/>
    <w:rsid w:val="379871D0"/>
    <w:rsid w:val="37BA58BB"/>
    <w:rsid w:val="37D360CA"/>
    <w:rsid w:val="38CB5066"/>
    <w:rsid w:val="38E054C9"/>
    <w:rsid w:val="393221EF"/>
    <w:rsid w:val="394B3E18"/>
    <w:rsid w:val="3A565DE9"/>
    <w:rsid w:val="3AC36A27"/>
    <w:rsid w:val="3AD522F2"/>
    <w:rsid w:val="3AD8449A"/>
    <w:rsid w:val="3BE15B0C"/>
    <w:rsid w:val="3C3976F6"/>
    <w:rsid w:val="3C6F3118"/>
    <w:rsid w:val="3CE15893"/>
    <w:rsid w:val="3E5B447E"/>
    <w:rsid w:val="3F301058"/>
    <w:rsid w:val="3F511EF0"/>
    <w:rsid w:val="400F371F"/>
    <w:rsid w:val="401F679B"/>
    <w:rsid w:val="40550E9C"/>
    <w:rsid w:val="413515CB"/>
    <w:rsid w:val="417A34F9"/>
    <w:rsid w:val="418810F4"/>
    <w:rsid w:val="41906748"/>
    <w:rsid w:val="419D4283"/>
    <w:rsid w:val="41A37673"/>
    <w:rsid w:val="41FF190E"/>
    <w:rsid w:val="422E1487"/>
    <w:rsid w:val="42503F5E"/>
    <w:rsid w:val="42BF46CD"/>
    <w:rsid w:val="42C30950"/>
    <w:rsid w:val="43216DFB"/>
    <w:rsid w:val="43ED127A"/>
    <w:rsid w:val="458A2D71"/>
    <w:rsid w:val="459B4F7E"/>
    <w:rsid w:val="45A65C7F"/>
    <w:rsid w:val="45F13359"/>
    <w:rsid w:val="46095589"/>
    <w:rsid w:val="46790455"/>
    <w:rsid w:val="468C2A4A"/>
    <w:rsid w:val="46940A5B"/>
    <w:rsid w:val="469C284B"/>
    <w:rsid w:val="46AD2493"/>
    <w:rsid w:val="46EC7F14"/>
    <w:rsid w:val="473F289E"/>
    <w:rsid w:val="47CA7D9C"/>
    <w:rsid w:val="47DB3D58"/>
    <w:rsid w:val="47FE7A46"/>
    <w:rsid w:val="48194880"/>
    <w:rsid w:val="48AF4C7F"/>
    <w:rsid w:val="48C22774"/>
    <w:rsid w:val="49FA2E02"/>
    <w:rsid w:val="4A5B46DD"/>
    <w:rsid w:val="4A6F6A56"/>
    <w:rsid w:val="4A7B35D0"/>
    <w:rsid w:val="4A81677A"/>
    <w:rsid w:val="4B3B5348"/>
    <w:rsid w:val="4B655957"/>
    <w:rsid w:val="4B972BC9"/>
    <w:rsid w:val="4C1D2450"/>
    <w:rsid w:val="4C5B0181"/>
    <w:rsid w:val="4D111FCA"/>
    <w:rsid w:val="4DA03084"/>
    <w:rsid w:val="4DA177B2"/>
    <w:rsid w:val="4DA370C6"/>
    <w:rsid w:val="4DF36D4F"/>
    <w:rsid w:val="4DF776A6"/>
    <w:rsid w:val="4F2732DA"/>
    <w:rsid w:val="4F8F5BEB"/>
    <w:rsid w:val="500C47F3"/>
    <w:rsid w:val="501B7C76"/>
    <w:rsid w:val="504D5CCF"/>
    <w:rsid w:val="50937B8A"/>
    <w:rsid w:val="511A2CA6"/>
    <w:rsid w:val="51453FF0"/>
    <w:rsid w:val="515F3303"/>
    <w:rsid w:val="51AF590D"/>
    <w:rsid w:val="527128BD"/>
    <w:rsid w:val="533A7469"/>
    <w:rsid w:val="53526129"/>
    <w:rsid w:val="538B4CD8"/>
    <w:rsid w:val="53A21BCD"/>
    <w:rsid w:val="54370568"/>
    <w:rsid w:val="54394F3D"/>
    <w:rsid w:val="548456F9"/>
    <w:rsid w:val="550479C8"/>
    <w:rsid w:val="565F61A9"/>
    <w:rsid w:val="568E1479"/>
    <w:rsid w:val="56AD4B11"/>
    <w:rsid w:val="57232FC4"/>
    <w:rsid w:val="572D2326"/>
    <w:rsid w:val="57346FE0"/>
    <w:rsid w:val="57365691"/>
    <w:rsid w:val="57FF4D66"/>
    <w:rsid w:val="594D337C"/>
    <w:rsid w:val="59EE1E48"/>
    <w:rsid w:val="5A490F5C"/>
    <w:rsid w:val="5B805E16"/>
    <w:rsid w:val="5BD21464"/>
    <w:rsid w:val="5BDE2B83"/>
    <w:rsid w:val="5C777282"/>
    <w:rsid w:val="5C9B365E"/>
    <w:rsid w:val="6002152A"/>
    <w:rsid w:val="611731E1"/>
    <w:rsid w:val="61265ACC"/>
    <w:rsid w:val="615B7E6E"/>
    <w:rsid w:val="61635F72"/>
    <w:rsid w:val="618606C5"/>
    <w:rsid w:val="61FF01EB"/>
    <w:rsid w:val="6224402D"/>
    <w:rsid w:val="62F660EE"/>
    <w:rsid w:val="6384067A"/>
    <w:rsid w:val="638D125E"/>
    <w:rsid w:val="6396333E"/>
    <w:rsid w:val="63B64F2C"/>
    <w:rsid w:val="63D469C3"/>
    <w:rsid w:val="63E114D3"/>
    <w:rsid w:val="64D546F5"/>
    <w:rsid w:val="66935F9D"/>
    <w:rsid w:val="683978CB"/>
    <w:rsid w:val="68EA39A3"/>
    <w:rsid w:val="693059B2"/>
    <w:rsid w:val="697B6033"/>
    <w:rsid w:val="6AD46D46"/>
    <w:rsid w:val="6ADE0965"/>
    <w:rsid w:val="6B07083C"/>
    <w:rsid w:val="6B31557E"/>
    <w:rsid w:val="6B3F7DE2"/>
    <w:rsid w:val="6B5F1716"/>
    <w:rsid w:val="6B623CC4"/>
    <w:rsid w:val="6B6C65E0"/>
    <w:rsid w:val="6C2B67AC"/>
    <w:rsid w:val="6C5C5FD8"/>
    <w:rsid w:val="6DA96DEC"/>
    <w:rsid w:val="6DC5381E"/>
    <w:rsid w:val="6DE07909"/>
    <w:rsid w:val="6E58438A"/>
    <w:rsid w:val="6E7066F8"/>
    <w:rsid w:val="6E892E12"/>
    <w:rsid w:val="6E8D2C96"/>
    <w:rsid w:val="6E9D5508"/>
    <w:rsid w:val="6ED00ECA"/>
    <w:rsid w:val="6EF011D6"/>
    <w:rsid w:val="6EFE3D04"/>
    <w:rsid w:val="6F3A0AB4"/>
    <w:rsid w:val="6F871359"/>
    <w:rsid w:val="6F8D6081"/>
    <w:rsid w:val="6FD31A5D"/>
    <w:rsid w:val="70031467"/>
    <w:rsid w:val="703961EB"/>
    <w:rsid w:val="710870BC"/>
    <w:rsid w:val="71187B70"/>
    <w:rsid w:val="711B7F18"/>
    <w:rsid w:val="713F0604"/>
    <w:rsid w:val="71EB22B3"/>
    <w:rsid w:val="72010FA6"/>
    <w:rsid w:val="72E95E7F"/>
    <w:rsid w:val="733F48EB"/>
    <w:rsid w:val="73F531FC"/>
    <w:rsid w:val="74212849"/>
    <w:rsid w:val="744C1D4E"/>
    <w:rsid w:val="748A4F72"/>
    <w:rsid w:val="74961819"/>
    <w:rsid w:val="750202C6"/>
    <w:rsid w:val="75664078"/>
    <w:rsid w:val="759A6CE4"/>
    <w:rsid w:val="75F522C6"/>
    <w:rsid w:val="761E4132"/>
    <w:rsid w:val="767A2A46"/>
    <w:rsid w:val="76842D88"/>
    <w:rsid w:val="77636326"/>
    <w:rsid w:val="77690AED"/>
    <w:rsid w:val="77BC00F3"/>
    <w:rsid w:val="77DB27A2"/>
    <w:rsid w:val="78061A79"/>
    <w:rsid w:val="78514EB9"/>
    <w:rsid w:val="78F35EB0"/>
    <w:rsid w:val="791660EE"/>
    <w:rsid w:val="79181486"/>
    <w:rsid w:val="79EA1A55"/>
    <w:rsid w:val="7A072540"/>
    <w:rsid w:val="7AFE32DE"/>
    <w:rsid w:val="7AFE508C"/>
    <w:rsid w:val="7B2561EC"/>
    <w:rsid w:val="7BC003CA"/>
    <w:rsid w:val="7BC8381A"/>
    <w:rsid w:val="7BD307B8"/>
    <w:rsid w:val="7CAF4890"/>
    <w:rsid w:val="7CBF4BB4"/>
    <w:rsid w:val="7CE65DD7"/>
    <w:rsid w:val="7D2F3C22"/>
    <w:rsid w:val="7D5C54B8"/>
    <w:rsid w:val="7DCC4E63"/>
    <w:rsid w:val="7DF7054D"/>
    <w:rsid w:val="7E53749D"/>
    <w:rsid w:val="7E5D346D"/>
    <w:rsid w:val="7E6809D5"/>
    <w:rsid w:val="7EA32F36"/>
    <w:rsid w:val="7EEC1DCB"/>
    <w:rsid w:val="7F4339B5"/>
    <w:rsid w:val="7F595DBA"/>
    <w:rsid w:val="7F906D91"/>
    <w:rsid w:val="7FB26FA2"/>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640" w:firstLineChars="200"/>
      <w:jc w:val="both"/>
    </w:pPr>
    <w:rPr>
      <w:rFonts w:ascii="仿宋_GB2312" w:hAnsi="仿宋_GB2312" w:eastAsia="仿宋" w:cs="仿宋_GB2312"/>
      <w:kern w:val="2"/>
      <w:sz w:val="28"/>
      <w:szCs w:val="24"/>
      <w:lang w:val="en-US" w:eastAsia="zh-CN" w:bidi="ar-SA"/>
    </w:rPr>
  </w:style>
  <w:style w:type="paragraph" w:styleId="4">
    <w:name w:val="heading 1"/>
    <w:basedOn w:val="1"/>
    <w:next w:val="1"/>
    <w:qFormat/>
    <w:uiPriority w:val="0"/>
    <w:pPr>
      <w:keepNext/>
      <w:keepLines/>
      <w:jc w:val="left"/>
      <w:outlineLvl w:val="0"/>
    </w:pPr>
    <w:rPr>
      <w:rFonts w:ascii="宋体" w:hAnsi="宋体" w:eastAsia="黑体"/>
      <w:bCs/>
      <w:kern w:val="44"/>
      <w:sz w:val="32"/>
      <w:szCs w:val="44"/>
    </w:rPr>
  </w:style>
  <w:style w:type="paragraph" w:styleId="5">
    <w:name w:val="heading 2"/>
    <w:basedOn w:val="1"/>
    <w:next w:val="1"/>
    <w:unhideWhenUsed/>
    <w:qFormat/>
    <w:uiPriority w:val="0"/>
    <w:pPr>
      <w:keepNext/>
      <w:keepLines/>
      <w:spacing w:before="50" w:beforeLines="50" w:beforeAutospacing="0" w:afterLines="0" w:afterAutospacing="0" w:line="360" w:lineRule="auto"/>
      <w:outlineLvl w:val="1"/>
    </w:pPr>
    <w:rPr>
      <w:rFonts w:ascii="Arial" w:hAnsi="Arial" w:eastAsia="楷体_GB2312"/>
      <w:b/>
      <w:sz w:val="32"/>
    </w:rPr>
  </w:style>
  <w:style w:type="paragraph" w:styleId="6">
    <w:name w:val="heading 3"/>
    <w:basedOn w:val="1"/>
    <w:next w:val="1"/>
    <w:unhideWhenUsed/>
    <w:qFormat/>
    <w:uiPriority w:val="9"/>
    <w:pPr>
      <w:keepNext/>
      <w:keepLines/>
      <w:spacing w:before="140" w:line="360" w:lineRule="auto"/>
      <w:outlineLvl w:val="2"/>
    </w:pPr>
    <w:rPr>
      <w:b/>
      <w:bCs/>
      <w:sz w:val="30"/>
      <w:szCs w:val="32"/>
    </w:rPr>
  </w:style>
  <w:style w:type="character" w:default="1" w:styleId="22">
    <w:name w:val="Default Paragraph Font"/>
    <w:unhideWhenUsed/>
    <w:qFormat/>
    <w:uiPriority w:val="1"/>
  </w:style>
  <w:style w:type="table" w:default="1" w:styleId="20">
    <w:name w:val="Normal Table"/>
    <w:unhideWhenUsed/>
    <w:qFormat/>
    <w:uiPriority w:val="99"/>
    <w:tblPr>
      <w:tblCellMar>
        <w:top w:w="0" w:type="dxa"/>
        <w:left w:w="108" w:type="dxa"/>
        <w:bottom w:w="0" w:type="dxa"/>
        <w:right w:w="108" w:type="dxa"/>
      </w:tblCellMar>
    </w:tblPr>
  </w:style>
  <w:style w:type="paragraph" w:customStyle="1" w:styleId="2">
    <w:name w:val="BodyText1I"/>
    <w:basedOn w:val="3"/>
    <w:qFormat/>
    <w:uiPriority w:val="0"/>
    <w:pPr>
      <w:ind w:left="100" w:firstLine="420" w:firstLineChars="100"/>
      <w:jc w:val="both"/>
      <w:textAlignment w:val="baseline"/>
    </w:pPr>
    <w:rPr>
      <w:rFonts w:ascii="Times New Roman" w:hAnsi="Times New Roman" w:eastAsia="宋体"/>
      <w:kern w:val="0"/>
      <w:sz w:val="32"/>
      <w:szCs w:val="24"/>
      <w:lang w:val="en-US" w:eastAsia="zh-CN" w:bidi="ar-SA"/>
    </w:rPr>
  </w:style>
  <w:style w:type="paragraph" w:customStyle="1" w:styleId="3">
    <w:name w:val="BodyText"/>
    <w:basedOn w:val="1"/>
    <w:next w:val="2"/>
    <w:qFormat/>
    <w:uiPriority w:val="0"/>
    <w:pPr>
      <w:ind w:left="100"/>
      <w:jc w:val="both"/>
      <w:textAlignment w:val="baseline"/>
    </w:pPr>
    <w:rPr>
      <w:rFonts w:ascii="仿宋_GB2312" w:hAnsi="仿宋_GB2312" w:eastAsia="仿宋_GB2312"/>
      <w:kern w:val="0"/>
      <w:sz w:val="32"/>
      <w:szCs w:val="24"/>
      <w:lang w:val="en-US" w:eastAsia="zh-CN" w:bidi="ar-SA"/>
    </w:rPr>
  </w:style>
  <w:style w:type="paragraph" w:styleId="7">
    <w:name w:val="Normal Indent"/>
    <w:basedOn w:val="1"/>
    <w:next w:val="8"/>
    <w:qFormat/>
    <w:uiPriority w:val="0"/>
    <w:pPr>
      <w:ind w:firstLine="420"/>
    </w:pPr>
    <w:rPr>
      <w:sz w:val="21"/>
    </w:rPr>
  </w:style>
  <w:style w:type="paragraph" w:styleId="8">
    <w:name w:val="toc 4"/>
    <w:basedOn w:val="1"/>
    <w:next w:val="1"/>
    <w:qFormat/>
    <w:uiPriority w:val="0"/>
    <w:pPr>
      <w:ind w:left="1260" w:leftChars="600"/>
    </w:pPr>
  </w:style>
  <w:style w:type="paragraph" w:styleId="9">
    <w:name w:val="annotation text"/>
    <w:basedOn w:val="1"/>
    <w:unhideWhenUsed/>
    <w:qFormat/>
    <w:uiPriority w:val="99"/>
    <w:pPr>
      <w:jc w:val="left"/>
    </w:pPr>
  </w:style>
  <w:style w:type="paragraph" w:styleId="10">
    <w:name w:val="Body Text"/>
    <w:basedOn w:val="1"/>
    <w:qFormat/>
    <w:uiPriority w:val="0"/>
    <w:pPr>
      <w:spacing w:before="240" w:after="240" w:line="360" w:lineRule="auto"/>
      <w:jc w:val="center"/>
    </w:pPr>
    <w:rPr>
      <w:b/>
      <w:sz w:val="44"/>
    </w:rPr>
  </w:style>
  <w:style w:type="paragraph" w:styleId="11">
    <w:name w:val="Body Text Indent"/>
    <w:basedOn w:val="1"/>
    <w:next w:val="1"/>
    <w:qFormat/>
    <w:uiPriority w:val="0"/>
    <w:pPr>
      <w:spacing w:after="120"/>
      <w:ind w:left="420" w:leftChars="200"/>
    </w:pPr>
  </w:style>
  <w:style w:type="paragraph" w:styleId="12">
    <w:name w:val="footer"/>
    <w:basedOn w:val="1"/>
    <w:link w:val="26"/>
    <w:unhideWhenUsed/>
    <w:qFormat/>
    <w:uiPriority w:val="99"/>
    <w:pPr>
      <w:tabs>
        <w:tab w:val="center" w:pos="4153"/>
        <w:tab w:val="right" w:pos="8306"/>
      </w:tabs>
      <w:snapToGrid w:val="0"/>
      <w:jc w:val="left"/>
    </w:pPr>
    <w:rPr>
      <w:sz w:val="18"/>
      <w:szCs w:val="18"/>
    </w:rPr>
  </w:style>
  <w:style w:type="paragraph" w:styleId="13">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next w:val="15"/>
    <w:qFormat/>
    <w:uiPriority w:val="0"/>
    <w:pPr>
      <w:snapToGrid w:val="0"/>
      <w:jc w:val="left"/>
    </w:pPr>
    <w:rPr>
      <w:rFonts w:hint="eastAsia"/>
      <w:sz w:val="18"/>
    </w:rPr>
  </w:style>
  <w:style w:type="paragraph" w:customStyle="1" w:styleId="15">
    <w:name w:val="正文文本首行缩进 21"/>
    <w:basedOn w:val="16"/>
    <w:qFormat/>
    <w:uiPriority w:val="0"/>
    <w:pPr>
      <w:ind w:firstLine="420" w:firstLineChars="200"/>
    </w:pPr>
  </w:style>
  <w:style w:type="paragraph" w:customStyle="1" w:styleId="16">
    <w:name w:val="正文文本缩进1"/>
    <w:basedOn w:val="1"/>
    <w:next w:val="17"/>
    <w:qFormat/>
    <w:uiPriority w:val="0"/>
    <w:pPr>
      <w:spacing w:line="574" w:lineRule="exact"/>
      <w:ind w:left="400" w:hanging="400" w:hangingChars="400"/>
    </w:pPr>
    <w:rPr>
      <w:rFonts w:eastAsia="仿宋_GB2312"/>
      <w:sz w:val="32"/>
      <w:szCs w:val="32"/>
    </w:rPr>
  </w:style>
  <w:style w:type="paragraph" w:customStyle="1" w:styleId="17">
    <w:name w:val="正文缩进1"/>
    <w:basedOn w:val="1"/>
    <w:qFormat/>
    <w:uiPriority w:val="0"/>
    <w:pPr>
      <w:ind w:firstLine="420"/>
    </w:pPr>
    <w:rPr>
      <w:sz w:val="32"/>
    </w:rPr>
  </w:style>
  <w:style w:type="paragraph" w:styleId="18">
    <w:name w:val="Normal (Web)"/>
    <w:basedOn w:val="1"/>
    <w:qFormat/>
    <w:uiPriority w:val="99"/>
    <w:pPr>
      <w:spacing w:before="100" w:beforeAutospacing="1" w:after="100" w:afterAutospacing="1"/>
      <w:jc w:val="left"/>
    </w:pPr>
    <w:rPr>
      <w:sz w:val="24"/>
      <w:lang w:bidi="ar"/>
    </w:rPr>
  </w:style>
  <w:style w:type="paragraph" w:styleId="19">
    <w:name w:val="Body Text First Indent 2"/>
    <w:basedOn w:val="11"/>
    <w:qFormat/>
    <w:uiPriority w:val="0"/>
    <w:pPr>
      <w:ind w:firstLine="420" w:firstLineChars="200"/>
    </w:pPr>
    <w:rPr>
      <w:rFonts w:ascii="仿宋_GB2312" w:hAnsi="Calibri" w:eastAsia="仿宋_GB2312"/>
      <w:color w:val="000000"/>
      <w:kern w:val="0"/>
      <w:sz w:val="32"/>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bCs/>
    </w:rPr>
  </w:style>
  <w:style w:type="character" w:styleId="24">
    <w:name w:val="Hyperlink"/>
    <w:basedOn w:val="22"/>
    <w:qFormat/>
    <w:uiPriority w:val="0"/>
    <w:rPr>
      <w:color w:val="5B677D"/>
      <w:u w:val="none"/>
    </w:rPr>
  </w:style>
  <w:style w:type="paragraph" w:customStyle="1" w:styleId="25">
    <w:name w:val="List Paragraph"/>
    <w:basedOn w:val="1"/>
    <w:unhideWhenUsed/>
    <w:qFormat/>
    <w:uiPriority w:val="99"/>
    <w:pPr>
      <w:ind w:firstLine="420" w:firstLineChars="200"/>
    </w:pPr>
  </w:style>
  <w:style w:type="character" w:customStyle="1" w:styleId="26">
    <w:name w:val="页脚 字符"/>
    <w:basedOn w:val="22"/>
    <w:link w:val="12"/>
    <w:qFormat/>
    <w:uiPriority w:val="99"/>
    <w:rPr>
      <w:sz w:val="18"/>
      <w:szCs w:val="18"/>
    </w:rPr>
  </w:style>
  <w:style w:type="character" w:customStyle="1" w:styleId="27">
    <w:name w:val="页眉 字符"/>
    <w:basedOn w:val="22"/>
    <w:link w:val="13"/>
    <w:qFormat/>
    <w:uiPriority w:val="99"/>
    <w:rPr>
      <w:sz w:val="18"/>
      <w:szCs w:val="18"/>
    </w:rPr>
  </w:style>
  <w:style w:type="paragraph" w:customStyle="1" w:styleId="28">
    <w:name w:val="WPSOffice手动目录 1"/>
    <w:qFormat/>
    <w:uiPriority w:val="0"/>
    <w:pPr>
      <w:ind w:leftChars="0"/>
    </w:pPr>
    <w:rPr>
      <w:rFonts w:asciiTheme="minorHAnsi" w:hAnsiTheme="minorHAnsi" w:eastAsiaTheme="minorEastAsia" w:cstheme="minorBidi"/>
      <w:sz w:val="20"/>
      <w:szCs w:val="20"/>
    </w:rPr>
  </w:style>
  <w:style w:type="paragraph" w:customStyle="1" w:styleId="29">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20</Pages>
  <Words>10225</Words>
  <Characters>10776</Characters>
  <Lines>7</Lines>
  <Paragraphs>2</Paragraphs>
  <TotalTime>17</TotalTime>
  <ScaleCrop>false</ScaleCrop>
  <LinksUpToDate>false</LinksUpToDate>
  <CharactersWithSpaces>10787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WPS_1374729787</cp:lastModifiedBy>
  <dcterms:modified xsi:type="dcterms:W3CDTF">2024-08-11T07:45:36Z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FA48308C584B4C498E9734F137FE4F69</vt:lpwstr>
  </property>
</Properties>
</file>