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和静县乃门莫敦镇中心卫生院</w:t>
      </w:r>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rPr>
          <w:rFonts w:hint="eastAsia"/>
          <w:color w:val="auto"/>
          <w:szCs w:val="28"/>
          <w:highlight w:val="none"/>
        </w:rPr>
      </w:pPr>
      <w:r>
        <w:rPr>
          <w:rFonts w:hint="eastAsia"/>
          <w:color w:val="auto"/>
          <w:szCs w:val="28"/>
          <w:highlight w:val="none"/>
          <w:lang w:val="en-US" w:eastAsia="zh-CN"/>
        </w:rPr>
        <w:t>和静县乃门莫敦镇中心卫生院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II型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和静县乃门莫敦镇中心卫生院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ascii="仿宋_GB2312" w:hAnsi="黑体" w:eastAsia="仿宋_GB2312" w:cs="仿宋_GB2312"/>
          <w:color w:val="auto"/>
          <w:sz w:val="28"/>
          <w:szCs w:val="28"/>
          <w:highlight w:val="none"/>
          <w:lang w:val="en-US" w:eastAsia="zh-CN"/>
        </w:rPr>
        <w:t>15</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w:t>
      </w:r>
      <w:r>
        <w:rPr>
          <w:rFonts w:hint="eastAsia" w:ascii="仿宋_GB2312" w:eastAsia="仿宋_GB2312"/>
          <w:color w:val="auto"/>
          <w:sz w:val="28"/>
          <w:szCs w:val="28"/>
          <w:highlight w:val="none"/>
          <w:lang w:val="en-US" w:eastAsia="zh-CN"/>
        </w:rPr>
        <w:t>妇幼科、</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4个村卫生室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医生办、护士办、住院部、中医科</w:t>
      </w:r>
      <w:r>
        <w:rPr>
          <w:rFonts w:hint="eastAsia" w:ascii="仿宋_GB2312" w:hAnsi="仿宋" w:eastAsia="仿宋_GB2312"/>
          <w:color w:val="auto"/>
          <w:sz w:val="28"/>
          <w:szCs w:val="28"/>
          <w:highlight w:val="none"/>
        </w:rPr>
        <w:t>等。</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和静县乃门莫敦镇中心卫生院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共2</w:t>
      </w:r>
      <w:r>
        <w:rPr>
          <w:rFonts w:hint="eastAsia" w:hAnsi="宋体" w:eastAsia="仿宋_GB2312"/>
          <w:color w:val="auto"/>
          <w:sz w:val="28"/>
          <w:szCs w:val="28"/>
          <w:highlight w:val="none"/>
          <w:lang w:val="en-US" w:eastAsia="zh-CN"/>
        </w:rPr>
        <w:t>1</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21</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0人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23</w:t>
      </w:r>
      <w:r>
        <w:rPr>
          <w:rFonts w:hint="eastAsia"/>
          <w:color w:val="auto"/>
          <w:szCs w:val="28"/>
          <w:highlight w:val="none"/>
        </w:rPr>
        <w:t>人，退休人员</w:t>
      </w:r>
      <w:r>
        <w:rPr>
          <w:rFonts w:hint="eastAsia"/>
          <w:color w:val="auto"/>
          <w:szCs w:val="28"/>
          <w:highlight w:val="none"/>
          <w:lang w:val="en-US" w:eastAsia="zh-CN"/>
        </w:rPr>
        <w:t>9</w:t>
      </w:r>
      <w:r>
        <w:rPr>
          <w:rFonts w:hint="eastAsia"/>
          <w:color w:val="auto"/>
          <w:szCs w:val="28"/>
          <w:highlight w:val="none"/>
        </w:rPr>
        <w:t>人。年末实有在职人数</w:t>
      </w:r>
      <w:r>
        <w:rPr>
          <w:rFonts w:hint="eastAsia"/>
          <w:color w:val="auto"/>
          <w:szCs w:val="28"/>
          <w:highlight w:val="none"/>
          <w:lang w:val="en-US" w:eastAsia="zh-CN"/>
        </w:rPr>
        <w:t>21</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9</w:t>
      </w:r>
      <w:r>
        <w:rPr>
          <w:rFonts w:hint="eastAsia"/>
          <w:color w:val="auto"/>
          <w:szCs w:val="28"/>
          <w:highlight w:val="none"/>
        </w:rPr>
        <w:t>人。</w:t>
      </w:r>
    </w:p>
    <w:p>
      <w:pPr>
        <w:bidi w:val="0"/>
        <w:rPr>
          <w:rFonts w:hint="eastAsia"/>
          <w:color w:val="auto"/>
          <w:highlight w:val="none"/>
          <w:lang w:val="en-US" w:eastAsia="zh-CN"/>
        </w:rPr>
      </w:pP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2023年，我单位深入学习贯彻党的十</w:t>
      </w:r>
      <w:r>
        <w:rPr>
          <w:rFonts w:hint="eastAsia"/>
          <w:color w:val="auto"/>
          <w:szCs w:val="28"/>
          <w:highlight w:val="none"/>
          <w:lang w:val="en-US" w:eastAsia="zh-CN"/>
        </w:rPr>
        <w:t>九大精神，坚持以习近平新时代中国特色社会主义思想为指引，着力解决突出问题，深入推进干部能力建设。具体如下：</w:t>
      </w:r>
    </w:p>
    <w:p>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行程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我单位年初预算数为411.29万元，实际预算执行数411.29万元，预算执行率为100%。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全年预算数为603.25万元，全年实际支出资金603.25万元，预算执行率为100%。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411.29</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191.96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603.25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46.67</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603.25</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522.99</w:t>
      </w:r>
      <w:r>
        <w:rPr>
          <w:rFonts w:hint="default"/>
          <w:color w:val="auto"/>
          <w:highlight w:val="none"/>
          <w:lang w:val="en-US" w:eastAsia="zh-CN"/>
        </w:rPr>
        <w:t>万元，资金的使用方向为我单位机关人员经费支出</w:t>
      </w:r>
      <w:r>
        <w:rPr>
          <w:rFonts w:hint="eastAsia"/>
          <w:color w:val="auto"/>
          <w:highlight w:val="none"/>
          <w:lang w:val="en-US" w:eastAsia="zh-CN"/>
        </w:rPr>
        <w:t>392.81</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130.19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80.25</w:t>
      </w:r>
      <w:r>
        <w:rPr>
          <w:rFonts w:hint="default"/>
          <w:color w:val="auto"/>
          <w:highlight w:val="none"/>
          <w:lang w:val="en-US" w:eastAsia="zh-CN"/>
        </w:rPr>
        <w:t>万元，主要用于基本药物制度补助项目、</w:t>
      </w:r>
      <w:r>
        <w:rPr>
          <w:rFonts w:hint="eastAsia"/>
          <w:color w:val="auto"/>
          <w:highlight w:val="none"/>
          <w:lang w:val="en-US" w:eastAsia="zh-CN"/>
        </w:rPr>
        <w:t>基本公共卫生服务</w:t>
      </w:r>
      <w:r>
        <w:rPr>
          <w:rFonts w:hint="default"/>
          <w:color w:val="auto"/>
          <w:highlight w:val="none"/>
          <w:lang w:val="en-US" w:eastAsia="zh-CN"/>
        </w:rPr>
        <w:t>项目、重大传染病防治补助项目</w:t>
      </w:r>
      <w:r>
        <w:rPr>
          <w:rFonts w:hint="eastAsia"/>
          <w:color w:val="auto"/>
          <w:highlight w:val="none"/>
          <w:lang w:val="en-US" w:eastAsia="zh-CN"/>
        </w:rPr>
        <w:t>、突发公共卫生事件应急处理项目、地方公共卫生服务补助（全民健康体检）</w:t>
      </w:r>
      <w:r>
        <w:rPr>
          <w:rFonts w:hint="default"/>
          <w:color w:val="auto"/>
          <w:highlight w:val="none"/>
          <w:lang w:val="en-US" w:eastAsia="zh-CN"/>
        </w:rPr>
        <w:t>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522.99万元，全年实际支出522.99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392.81万元，主要包括：基本工资、津贴补贴、奖金、绩效工资、机关事业单位基本养老保险缴费、职业年金缴费、职工基本医疗保险缴费、其他社会保障缴费、住房公积金、其他工资福利支出、生活补助。</w:t>
      </w:r>
    </w:p>
    <w:p>
      <w:pPr>
        <w:bidi w:val="0"/>
        <w:rPr>
          <w:rFonts w:hint="eastAsia"/>
          <w:color w:val="auto"/>
          <w:highlight w:val="none"/>
          <w:lang w:val="en-US" w:eastAsia="zh-CN"/>
        </w:rPr>
      </w:pPr>
      <w:r>
        <w:rPr>
          <w:rFonts w:hint="eastAsia"/>
          <w:color w:val="auto"/>
          <w:highlight w:val="none"/>
          <w:lang w:val="en-US" w:eastAsia="zh-CN"/>
        </w:rPr>
        <w:t>公用经费支出130.19万元，主要包括：办公费、水费、电费、邮电费、取暖费、维修（护）费、专用材料费。</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项目支出预算80.25</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其中：上级专项资金58.79万元，本级财政资金21.46万元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80.25万元，其中基本药物制度补助资金7.42万元、基本公共卫生服务配套资金52.74万元、重大传染病防治补助资金3.18万元、突发公共卫生事件应急处理项目资金2.42万元、地方公共卫生服务补助（全民健康体检）14.49万元。项目资金全部通过财政国库集中支付方式直接拨给项目实施单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pPr>
        <w:ind w:firstLine="560" w:firstLineChars="200"/>
        <w:rPr>
          <w:rFonts w:hint="eastAsia"/>
          <w:color w:val="auto"/>
          <w:highlight w:val="none"/>
          <w:lang w:val="en-US" w:eastAsia="zh-CN"/>
        </w:rPr>
      </w:pP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度安排项目支出资金80.25万元，</w:t>
      </w:r>
      <w:r>
        <w:rPr>
          <w:rFonts w:hint="eastAsia"/>
          <w:color w:val="auto"/>
          <w:highlight w:val="none"/>
          <w:lang w:eastAsia="zh-CN"/>
        </w:rPr>
        <w:t>实际</w:t>
      </w:r>
      <w:r>
        <w:rPr>
          <w:rFonts w:hint="eastAsia"/>
          <w:color w:val="auto"/>
          <w:highlight w:val="none"/>
          <w:lang w:val="en-US" w:eastAsia="zh-CN"/>
        </w:rPr>
        <w:t>支出80.25</w:t>
      </w:r>
      <w:r>
        <w:rPr>
          <w:rFonts w:hint="eastAsia"/>
          <w:color w:val="auto"/>
          <w:highlight w:val="none"/>
          <w:lang w:eastAsia="zh-CN"/>
        </w:rPr>
        <w:t>万元，</w:t>
      </w:r>
      <w:r>
        <w:rPr>
          <w:rFonts w:hint="eastAsia"/>
          <w:color w:val="auto"/>
          <w:highlight w:val="none"/>
          <w:lang w:val="en-US" w:eastAsia="zh-CN"/>
        </w:rPr>
        <w:t>其中：上级专项资金支出58.79万元，本级财政安排项目资金支出21.46万元，项目预算资金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包括基层医疗卫生机构支出</w:t>
      </w:r>
      <w:r>
        <w:rPr>
          <w:rFonts w:hint="eastAsia"/>
          <w:color w:val="auto"/>
          <w:highlight w:val="none"/>
          <w:lang w:val="en-US" w:eastAsia="zh-CN"/>
        </w:rPr>
        <w:t>7.42</w:t>
      </w:r>
      <w:r>
        <w:rPr>
          <w:rFonts w:hint="default"/>
          <w:color w:val="auto"/>
          <w:highlight w:val="none"/>
          <w:lang w:val="en-US" w:eastAsia="zh-CN"/>
        </w:rPr>
        <w:t>万元，公共卫生支出</w:t>
      </w:r>
      <w:r>
        <w:rPr>
          <w:rFonts w:hint="eastAsia"/>
          <w:color w:val="auto"/>
          <w:highlight w:val="none"/>
          <w:lang w:val="en-US" w:eastAsia="zh-CN"/>
        </w:rPr>
        <w:t>72.83</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numPr>
          <w:ilvl w:val="0"/>
          <w:numId w:val="0"/>
        </w:numPr>
        <w:bidi w:val="0"/>
        <w:ind w:firstLine="643" w:firstLineChars="200"/>
        <w:rPr>
          <w:color w:val="auto"/>
          <w:highlight w:val="none"/>
        </w:rPr>
      </w:pPr>
      <w:r>
        <w:rPr>
          <w:rFonts w:hint="eastAsia"/>
          <w:color w:val="auto"/>
          <w:highlight w:val="none"/>
          <w:lang w:val="en-US" w:eastAsia="zh-CN"/>
        </w:rPr>
        <w:t>（一）基本支出预算执行率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基本支出预算执行率指标年初设定目标是=100%，年中绩效运行监控时完成值55.35%，年终实际完成值是100%，指标完成率是100%，达到了基本支出合理控制的预期目标。偏差原因：无偏差。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pPr>
        <w:pStyle w:val="4"/>
        <w:numPr>
          <w:ilvl w:val="0"/>
          <w:numId w:val="0"/>
        </w:numPr>
        <w:bidi w:val="0"/>
        <w:ind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在职人员经费保障人数指标年初设定目标是&gt;=23人，年中绩效运行监控时完成值</w:t>
      </w:r>
      <w:r>
        <w:rPr>
          <w:rFonts w:hint="eastAsia" w:cs="仿宋_GB2312"/>
          <w:b w:val="0"/>
          <w:bCs w:val="0"/>
          <w:color w:val="auto"/>
          <w:kern w:val="2"/>
          <w:sz w:val="28"/>
          <w:szCs w:val="24"/>
          <w:highlight w:val="none"/>
          <w:lang w:val="en-US" w:eastAsia="zh-CN" w:bidi="ar-SA"/>
        </w:rPr>
        <w:t>23</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21人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91.3</w:t>
      </w:r>
      <w:r>
        <w:rPr>
          <w:rFonts w:hint="eastAsia" w:ascii="仿宋_GB2312" w:hAnsi="仿宋_GB2312" w:eastAsia="仿宋" w:cs="仿宋_GB2312"/>
          <w:b w:val="0"/>
          <w:bCs w:val="0"/>
          <w:color w:val="auto"/>
          <w:kern w:val="2"/>
          <w:sz w:val="28"/>
          <w:szCs w:val="24"/>
          <w:highlight w:val="none"/>
          <w:lang w:val="en-US" w:eastAsia="zh-CN" w:bidi="ar-SA"/>
        </w:rPr>
        <w:t>%，达到了职工人员工资</w:t>
      </w:r>
      <w:r>
        <w:rPr>
          <w:rFonts w:hint="eastAsia" w:cs="仿宋_GB2312"/>
          <w:b w:val="0"/>
          <w:bCs w:val="0"/>
          <w:color w:val="auto"/>
          <w:kern w:val="2"/>
          <w:sz w:val="28"/>
          <w:szCs w:val="24"/>
          <w:highlight w:val="none"/>
          <w:lang w:val="en-US" w:eastAsia="zh-CN" w:bidi="ar-SA"/>
        </w:rPr>
        <w:t>按时</w:t>
      </w:r>
      <w:r>
        <w:rPr>
          <w:rFonts w:hint="eastAsia" w:ascii="仿宋_GB2312" w:hAnsi="仿宋_GB2312" w:eastAsia="仿宋" w:cs="仿宋_GB2312"/>
          <w:b w:val="0"/>
          <w:bCs w:val="0"/>
          <w:color w:val="auto"/>
          <w:kern w:val="2"/>
          <w:sz w:val="28"/>
          <w:szCs w:val="24"/>
          <w:highlight w:val="none"/>
          <w:lang w:val="en-US" w:eastAsia="zh-CN" w:bidi="ar-SA"/>
        </w:rPr>
        <w:t>发放</w:t>
      </w:r>
      <w:r>
        <w:rPr>
          <w:rFonts w:hint="eastAsia" w:cs="仿宋_GB2312"/>
          <w:b w:val="0"/>
          <w:bCs w:val="0"/>
          <w:color w:val="auto"/>
          <w:kern w:val="2"/>
          <w:sz w:val="28"/>
          <w:szCs w:val="24"/>
          <w:highlight w:val="none"/>
          <w:lang w:val="en-US" w:eastAsia="zh-CN" w:bidi="ar-SA"/>
        </w:rPr>
        <w:t>、社保按时缴纳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的预期目标。偏差原因：在职人员有退休辞职，使年初目标与年终实际完成值有偏差。改进措施：年初预算时充分考虑多方面因素，使预算更加精确。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（三）门诊就诊患者人数指标完成情况分析</w:t>
      </w:r>
    </w:p>
    <w:p>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13000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人，年中绩效运行监控时完成值12801人，年终实际完成值是</w:t>
      </w:r>
      <w:r>
        <w:rPr>
          <w:rFonts w:hint="eastAsia" w:cs="仿宋_GB2312"/>
          <w:b w:val="0"/>
          <w:bCs w:val="0"/>
          <w:color w:val="auto"/>
          <w:kern w:val="2"/>
          <w:sz w:val="28"/>
          <w:szCs w:val="24"/>
          <w:highlight w:val="none"/>
          <w:lang w:val="en-US" w:eastAsia="zh-CN" w:bidi="ar-SA"/>
        </w:rPr>
        <w:t>14092</w:t>
      </w:r>
      <w:r>
        <w:rPr>
          <w:rFonts w:hint="eastAsia" w:ascii="仿宋_GB2312" w:hAnsi="仿宋_GB2312" w:eastAsia="仿宋" w:cs="仿宋_GB2312"/>
          <w:b w:val="0"/>
          <w:bCs w:val="0"/>
          <w:color w:val="auto"/>
          <w:kern w:val="2"/>
          <w:sz w:val="28"/>
          <w:szCs w:val="24"/>
          <w:highlight w:val="none"/>
          <w:lang w:val="en-US" w:eastAsia="zh-CN" w:bidi="ar-SA"/>
        </w:rPr>
        <w:t>人，指标完成率是1</w:t>
      </w:r>
      <w:r>
        <w:rPr>
          <w:rFonts w:hint="eastAsia" w:cs="仿宋_GB2312"/>
          <w:b w:val="0"/>
          <w:bCs w:val="0"/>
          <w:color w:val="auto"/>
          <w:kern w:val="2"/>
          <w:sz w:val="28"/>
          <w:szCs w:val="24"/>
          <w:highlight w:val="none"/>
          <w:lang w:val="en-US" w:eastAsia="zh-CN" w:bidi="ar-SA"/>
        </w:rPr>
        <w:t>08.4</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（四）住院就诊患者人数指标完成情况分析</w:t>
      </w:r>
    </w:p>
    <w:p>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住院就诊患者人数指标年初设定目标是&gt;=200人，年中绩效运行监控时完成值</w:t>
      </w:r>
      <w:r>
        <w:rPr>
          <w:rFonts w:hint="eastAsia" w:cs="仿宋_GB2312"/>
          <w:b w:val="0"/>
          <w:bCs w:val="0"/>
          <w:color w:val="auto"/>
          <w:kern w:val="2"/>
          <w:sz w:val="28"/>
          <w:szCs w:val="24"/>
          <w:highlight w:val="none"/>
          <w:lang w:val="en-US" w:eastAsia="zh-CN" w:bidi="ar-SA"/>
        </w:rPr>
        <w:t>200人</w:t>
      </w:r>
      <w:r>
        <w:rPr>
          <w:rFonts w:hint="eastAsia" w:ascii="仿宋_GB2312" w:hAnsi="仿宋_GB2312" w:eastAsia="仿宋" w:cs="仿宋_GB2312"/>
          <w:b w:val="0"/>
          <w:bCs w:val="0"/>
          <w:color w:val="auto"/>
          <w:kern w:val="2"/>
          <w:sz w:val="28"/>
          <w:szCs w:val="24"/>
          <w:highlight w:val="none"/>
          <w:lang w:val="en-US" w:eastAsia="zh-CN" w:bidi="ar-SA"/>
        </w:rPr>
        <w:t>，年终实际完成值是</w:t>
      </w:r>
      <w:r>
        <w:rPr>
          <w:rFonts w:hint="eastAsia" w:cs="仿宋_GB2312"/>
          <w:b w:val="0"/>
          <w:bCs w:val="0"/>
          <w:color w:val="auto"/>
          <w:kern w:val="2"/>
          <w:sz w:val="28"/>
          <w:szCs w:val="24"/>
          <w:highlight w:val="none"/>
          <w:lang w:val="en-US" w:eastAsia="zh-CN" w:bidi="ar-SA"/>
        </w:rPr>
        <w:t>409人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204.5</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达到了住院量增加，医疗收入提高的</w:t>
      </w:r>
      <w:r>
        <w:rPr>
          <w:rFonts w:hint="eastAsia" w:ascii="仿宋_GB2312" w:hAnsi="仿宋_GB2312" w:eastAsia="仿宋" w:cs="仿宋_GB2312"/>
          <w:b w:val="0"/>
          <w:bCs w:val="0"/>
          <w:color w:val="auto"/>
          <w:kern w:val="2"/>
          <w:sz w:val="28"/>
          <w:szCs w:val="24"/>
          <w:highlight w:val="none"/>
          <w:lang w:val="en-US" w:eastAsia="zh-CN" w:bidi="ar-SA"/>
        </w:rPr>
        <w:t>预期目标。偏差原因：</w:t>
      </w:r>
      <w:r>
        <w:rPr>
          <w:rFonts w:hint="eastAsia" w:cs="仿宋_GB2312"/>
          <w:b w:val="0"/>
          <w:bCs w:val="0"/>
          <w:color w:val="auto"/>
          <w:kern w:val="2"/>
          <w:sz w:val="28"/>
          <w:szCs w:val="24"/>
          <w:highlight w:val="none"/>
          <w:lang w:val="en-US" w:eastAsia="zh-CN" w:bidi="ar-SA"/>
        </w:rPr>
        <w:t>因2023年流感病毒反复，导致住院患者大幅增加。</w:t>
      </w:r>
      <w:r>
        <w:rPr>
          <w:rFonts w:hint="eastAsia"/>
          <w:color w:val="auto"/>
          <w:highlight w:val="none"/>
          <w:lang w:val="en-US" w:eastAsia="zh-CN"/>
        </w:rPr>
        <w:t>改进措施：年初预算时充分考虑多方面因素，使预算更加精确。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药品差价政策执行率指标年初设定目标是&gt;=6人次，年中绩效运行监控时完成值6人次，年终实际完成值是6人次，指标完成率是100%，达到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pPr>
        <w:pStyle w:val="2"/>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1"/>
        </w:numPr>
        <w:bidi w:val="0"/>
        <w:spacing w:before="0" w:beforeLines="0" w:line="240" w:lineRule="auto"/>
        <w:ind w:left="560" w:leftChars="0" w:firstLine="0" w:firstLineChars="0"/>
        <w:rPr>
          <w:rFonts w:hint="eastAsia"/>
          <w:color w:val="auto"/>
          <w:highlight w:val="none"/>
          <w:lang w:val="en-US" w:eastAsia="zh-CN"/>
        </w:rPr>
      </w:pPr>
      <w:r>
        <w:rPr>
          <w:rFonts w:hint="eastAsia"/>
          <w:color w:val="auto"/>
          <w:highlight w:val="none"/>
          <w:lang w:val="en-US" w:eastAsia="zh-CN"/>
        </w:rPr>
        <w:t>人员经费足额发放率指标完成情况分析</w:t>
      </w:r>
    </w:p>
    <w:p>
      <w:pPr>
        <w:rPr>
          <w:rFonts w:hint="eastAsia"/>
          <w:color w:val="auto"/>
          <w:highlight w:val="none"/>
          <w:lang w:val="en-US" w:eastAsia="zh-CN"/>
        </w:rPr>
      </w:pPr>
    </w:p>
    <w:p>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（八）药品差价政策执行率</w:t>
      </w:r>
      <w:r>
        <w:rPr>
          <w:rFonts w:hint="eastAsia"/>
          <w:color w:val="auto"/>
          <w:highlight w:val="none"/>
          <w:lang w:val="en-US" w:eastAsia="zh-CN"/>
        </w:rPr>
        <w:t>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（九）辖区基本公共卫生服务覆盖率</w:t>
      </w:r>
      <w:r>
        <w:rPr>
          <w:rFonts w:hint="eastAsia"/>
          <w:color w:val="auto"/>
          <w:highlight w:val="none"/>
          <w:lang w:val="en-US" w:eastAsia="zh-CN"/>
        </w:rPr>
        <w:t>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pPr>
        <w:bidi w:val="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医保政策知晓率指标年初设定目标是&gt;=85%，年中绩效运行监控时完成值100%，年终实际完成值是85%，指标完成率是100%，提高了居民对医保政策的理解和信任的预期目标。偏差原因：无偏差。</w:t>
      </w:r>
    </w:p>
    <w:p>
      <w:pPr>
        <w:pStyle w:val="2"/>
        <w:numPr>
          <w:ilvl w:val="0"/>
          <w:numId w:val="2"/>
        </w:numPr>
        <w:rPr>
          <w:rFonts w:hint="eastAsia"/>
          <w:color w:val="auto"/>
          <w:highlight w:val="none"/>
          <w:lang w:val="en-US" w:eastAsia="zh-CN"/>
        </w:rPr>
      </w:pPr>
      <w:r>
        <w:rPr>
          <w:rFonts w:hint="eastAsia"/>
          <w:color w:val="auto"/>
          <w:highlight w:val="none"/>
          <w:lang w:val="en-US" w:eastAsia="zh-CN"/>
        </w:rPr>
        <w:t>提升本辖区居民健康水平</w:t>
      </w:r>
      <w:r>
        <w:rPr>
          <w:rFonts w:hint="eastAsia"/>
          <w:color w:val="auto"/>
          <w:highlight w:val="none"/>
          <w:lang w:val="en-US" w:eastAsia="zh-CN"/>
        </w:rPr>
        <w:t>指标完成情况分析</w:t>
      </w:r>
    </w:p>
    <w:p>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提升本辖区居民健康水平指标年初设定目标是&gt;=90%，年中绩效运行监控时完成值未达监控节点，年终实际完成值是90%，指标完成率是100%，提高了</w:t>
      </w:r>
      <w:r>
        <w:rPr>
          <w:rFonts w:hint="eastAsia"/>
          <w:color w:val="auto"/>
          <w:highlight w:val="none"/>
          <w:lang w:val="en-US" w:eastAsia="zh-CN"/>
        </w:rPr>
        <w:t>本辖区</w:t>
      </w:r>
      <w:r>
        <w:rPr>
          <w:rFonts w:hint="eastAsia"/>
          <w:color w:val="auto"/>
          <w:highlight w:val="none"/>
          <w:lang w:val="en-US" w:eastAsia="zh-CN"/>
        </w:rPr>
        <w:t>居民</w:t>
      </w:r>
      <w:r>
        <w:rPr>
          <w:rFonts w:hint="eastAsia"/>
          <w:color w:val="auto"/>
          <w:highlight w:val="none"/>
          <w:lang w:val="en-US" w:eastAsia="zh-CN"/>
        </w:rPr>
        <w:t>健康水平</w:t>
      </w:r>
      <w:r>
        <w:rPr>
          <w:rFonts w:hint="eastAsia"/>
          <w:color w:val="auto"/>
          <w:highlight w:val="none"/>
          <w:lang w:val="en-US" w:eastAsia="zh-CN"/>
        </w:rPr>
        <w:t>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（十二）居民满意度指标完成情况分析</w:t>
      </w:r>
    </w:p>
    <w:p>
      <w:pPr>
        <w:bidi w:val="0"/>
        <w:rPr>
          <w:rFonts w:hint="eastAsia"/>
          <w:color w:val="auto"/>
          <w:highlight w:val="none"/>
          <w:lang w:val="en-US" w:eastAsia="zh-CN"/>
        </w:rPr>
      </w:pPr>
      <w:r>
        <w:rPr>
          <w:rFonts w:hint="eastAsia"/>
          <w:color w:val="auto"/>
          <w:highlight w:val="none"/>
          <w:lang w:val="en-US" w:eastAsia="zh-CN"/>
        </w:rPr>
        <w:t>居民满意度指标年初设定目标是&gt;=90%，年中绩效运行监控时完成值未达监控节点，年终实际完成值是90%，指标完成率是100%，提升了患者满意度和就诊体验的预期目标。偏差原因：无偏差。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（十三）职工满意度指标完成情况分析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95%，年中绩效运行监控时完成值未达监控节点，年终实际完成值是95%，指标完成率是100%，增强了员工的积极性，提高了工作效率，减少人员流失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99.3</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spacing w:line="560" w:lineRule="exact"/>
        <w:ind w:firstLine="560" w:firstLineChars="200"/>
        <w:rPr>
          <w:rFonts w:hint="default"/>
          <w:color w:val="auto"/>
          <w:highlight w:val="none"/>
          <w:lang w:eastAsia="zh-CN"/>
        </w:rPr>
      </w:pPr>
      <w:bookmarkStart w:id="4" w:name="_Toc22800_WPSOffice_Level1"/>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乃门莫敦镇中心卫生院</w:t>
      </w:r>
      <w:r>
        <w:rPr>
          <w:rFonts w:hint="default"/>
          <w:color w:val="auto"/>
          <w:highlight w:val="none"/>
          <w:lang w:eastAsia="zh-CN"/>
        </w:rPr>
        <w:t>坚持以习近平新时代中国特色社会主义重要思想为指导，深入贯彻党的</w:t>
      </w:r>
      <w:r>
        <w:rPr>
          <w:rFonts w:hint="default"/>
          <w:color w:val="auto"/>
          <w:highlight w:val="none"/>
          <w:lang w:val="en-US" w:eastAsia="zh-CN"/>
        </w:rPr>
        <w:t>二十</w:t>
      </w:r>
      <w:r>
        <w:rPr>
          <w:rFonts w:hint="default"/>
          <w:color w:val="auto"/>
          <w:highlight w:val="none"/>
          <w:lang w:eastAsia="zh-CN"/>
        </w:rPr>
        <w:t>大精神</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numPr>
          <w:ilvl w:val="0"/>
          <w:numId w:val="3"/>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w:t>
      </w:r>
      <w:bookmarkStart w:id="6" w:name="_GoBack"/>
      <w:bookmarkEnd w:id="6"/>
      <w:r>
        <w:rPr>
          <w:rFonts w:hint="eastAsia"/>
          <w:color w:val="auto"/>
          <w:highlight w:val="none"/>
          <w:lang w:val="en-US" w:eastAsia="zh-CN"/>
        </w:rPr>
        <w:t>及时了解预算执行差异，合理调整、纠正预算执行偏差，切实提高部门预算收支管理水平。尽可能地做到决算与预算相衔接。</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abstractNum w:abstractNumId="1">
    <w:nsid w:val="1E81D3EC"/>
    <w:multiLevelType w:val="singleLevel"/>
    <w:tmpl w:val="1E81D3EC"/>
    <w:lvl w:ilvl="0" w:tentative="0">
      <w:start w:val="11"/>
      <w:numFmt w:val="chineseCounting"/>
      <w:suff w:val="nothing"/>
      <w:lvlText w:val="（%1）"/>
      <w:lvlJc w:val="left"/>
      <w:rPr>
        <w:rFonts w:hint="eastAsia"/>
      </w:rPr>
    </w:lvl>
  </w:abstractNum>
  <w:abstractNum w:abstractNumId="2">
    <w:nsid w:val="221A81B8"/>
    <w:multiLevelType w:val="singleLevel"/>
    <w:tmpl w:val="221A81B8"/>
    <w:lvl w:ilvl="0" w:tentative="0">
      <w:start w:val="7"/>
      <w:numFmt w:val="chineseCounting"/>
      <w:suff w:val="nothing"/>
      <w:lvlText w:val="（%1）"/>
      <w:lvlJc w:val="left"/>
      <w:pPr>
        <w:ind w:left="56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D5684"/>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892162"/>
    <w:rsid w:val="04DB4953"/>
    <w:rsid w:val="04FF0482"/>
    <w:rsid w:val="05062887"/>
    <w:rsid w:val="05464D81"/>
    <w:rsid w:val="0575419C"/>
    <w:rsid w:val="05F70F85"/>
    <w:rsid w:val="0607573C"/>
    <w:rsid w:val="06547701"/>
    <w:rsid w:val="072B19D6"/>
    <w:rsid w:val="07F75BB0"/>
    <w:rsid w:val="084208C4"/>
    <w:rsid w:val="098A3C0A"/>
    <w:rsid w:val="09A24E4E"/>
    <w:rsid w:val="0A9A7091"/>
    <w:rsid w:val="0ABB584A"/>
    <w:rsid w:val="0C48260B"/>
    <w:rsid w:val="0C6738B8"/>
    <w:rsid w:val="0CE47028"/>
    <w:rsid w:val="0E7D784C"/>
    <w:rsid w:val="0FBC1346"/>
    <w:rsid w:val="10300946"/>
    <w:rsid w:val="10A122E9"/>
    <w:rsid w:val="10FE60D7"/>
    <w:rsid w:val="13477178"/>
    <w:rsid w:val="134D58A4"/>
    <w:rsid w:val="134F7771"/>
    <w:rsid w:val="13E513B9"/>
    <w:rsid w:val="14FB46BE"/>
    <w:rsid w:val="158C5316"/>
    <w:rsid w:val="15B904C0"/>
    <w:rsid w:val="165C118C"/>
    <w:rsid w:val="17125CEF"/>
    <w:rsid w:val="172D035F"/>
    <w:rsid w:val="175D58E3"/>
    <w:rsid w:val="17E51656"/>
    <w:rsid w:val="18061B60"/>
    <w:rsid w:val="18906761"/>
    <w:rsid w:val="190C3DF8"/>
    <w:rsid w:val="19AA4D08"/>
    <w:rsid w:val="19B9393C"/>
    <w:rsid w:val="19F83E30"/>
    <w:rsid w:val="1B403139"/>
    <w:rsid w:val="1C6D319F"/>
    <w:rsid w:val="1D13631D"/>
    <w:rsid w:val="1D384A93"/>
    <w:rsid w:val="1D4D74D6"/>
    <w:rsid w:val="1DE32CFD"/>
    <w:rsid w:val="1E064D07"/>
    <w:rsid w:val="1F1A602A"/>
    <w:rsid w:val="1F2854B6"/>
    <w:rsid w:val="209329A5"/>
    <w:rsid w:val="217D20CE"/>
    <w:rsid w:val="21C67E02"/>
    <w:rsid w:val="21C768CD"/>
    <w:rsid w:val="22E14253"/>
    <w:rsid w:val="23931BB2"/>
    <w:rsid w:val="23F209A3"/>
    <w:rsid w:val="2403516E"/>
    <w:rsid w:val="24E71FCC"/>
    <w:rsid w:val="256A2A9E"/>
    <w:rsid w:val="26BF16F1"/>
    <w:rsid w:val="27F7226E"/>
    <w:rsid w:val="2805537E"/>
    <w:rsid w:val="289437EE"/>
    <w:rsid w:val="297873DB"/>
    <w:rsid w:val="29F35E61"/>
    <w:rsid w:val="2A285817"/>
    <w:rsid w:val="2B6F150A"/>
    <w:rsid w:val="2BB557CB"/>
    <w:rsid w:val="2BC51751"/>
    <w:rsid w:val="2D166684"/>
    <w:rsid w:val="2EBF757D"/>
    <w:rsid w:val="30A91022"/>
    <w:rsid w:val="313A1C72"/>
    <w:rsid w:val="31927D00"/>
    <w:rsid w:val="31AE39CE"/>
    <w:rsid w:val="31B83F5F"/>
    <w:rsid w:val="328E2AB6"/>
    <w:rsid w:val="329B12EA"/>
    <w:rsid w:val="32FB1A54"/>
    <w:rsid w:val="331A3077"/>
    <w:rsid w:val="33291F9F"/>
    <w:rsid w:val="332E3A59"/>
    <w:rsid w:val="33A83F87"/>
    <w:rsid w:val="340D2D0F"/>
    <w:rsid w:val="348F1A9E"/>
    <w:rsid w:val="355C2B3F"/>
    <w:rsid w:val="356B4AF0"/>
    <w:rsid w:val="35F12468"/>
    <w:rsid w:val="36851B5C"/>
    <w:rsid w:val="36E667CE"/>
    <w:rsid w:val="36FE0561"/>
    <w:rsid w:val="3714684D"/>
    <w:rsid w:val="37661A13"/>
    <w:rsid w:val="377A54BF"/>
    <w:rsid w:val="379871D0"/>
    <w:rsid w:val="37BA58BB"/>
    <w:rsid w:val="37D360CA"/>
    <w:rsid w:val="3882287D"/>
    <w:rsid w:val="38CB5066"/>
    <w:rsid w:val="38CD161E"/>
    <w:rsid w:val="38E054C9"/>
    <w:rsid w:val="3A565DE9"/>
    <w:rsid w:val="3AB111F7"/>
    <w:rsid w:val="3AC36A27"/>
    <w:rsid w:val="3B4A33FA"/>
    <w:rsid w:val="3B4A3407"/>
    <w:rsid w:val="3BA26036"/>
    <w:rsid w:val="3CCA58BE"/>
    <w:rsid w:val="3F301058"/>
    <w:rsid w:val="3F4D3B97"/>
    <w:rsid w:val="417A34F9"/>
    <w:rsid w:val="418810F4"/>
    <w:rsid w:val="41A37673"/>
    <w:rsid w:val="42503F5E"/>
    <w:rsid w:val="425863FC"/>
    <w:rsid w:val="42C30950"/>
    <w:rsid w:val="43F63628"/>
    <w:rsid w:val="44EB17AA"/>
    <w:rsid w:val="459B4F7E"/>
    <w:rsid w:val="45A65C7F"/>
    <w:rsid w:val="45F13359"/>
    <w:rsid w:val="468C2A4A"/>
    <w:rsid w:val="46AD2493"/>
    <w:rsid w:val="46EC7F14"/>
    <w:rsid w:val="471276CB"/>
    <w:rsid w:val="47CA7D9C"/>
    <w:rsid w:val="47DB3D58"/>
    <w:rsid w:val="480D0379"/>
    <w:rsid w:val="48194880"/>
    <w:rsid w:val="48AF4C7F"/>
    <w:rsid w:val="4A5B46DD"/>
    <w:rsid w:val="4A6F6A56"/>
    <w:rsid w:val="4A7162AD"/>
    <w:rsid w:val="4A81677A"/>
    <w:rsid w:val="4AD43BE1"/>
    <w:rsid w:val="4B3B5348"/>
    <w:rsid w:val="4D2143D5"/>
    <w:rsid w:val="4D217148"/>
    <w:rsid w:val="4DA177B2"/>
    <w:rsid w:val="4DA370C6"/>
    <w:rsid w:val="4DF36D4F"/>
    <w:rsid w:val="4E50267E"/>
    <w:rsid w:val="4F2E6E63"/>
    <w:rsid w:val="4F5B577E"/>
    <w:rsid w:val="501B7C76"/>
    <w:rsid w:val="504D5CCF"/>
    <w:rsid w:val="50744D49"/>
    <w:rsid w:val="511A2CA6"/>
    <w:rsid w:val="533A7469"/>
    <w:rsid w:val="53526129"/>
    <w:rsid w:val="538B4CD8"/>
    <w:rsid w:val="53A21BCD"/>
    <w:rsid w:val="541D74A6"/>
    <w:rsid w:val="54394F3D"/>
    <w:rsid w:val="54A84FC1"/>
    <w:rsid w:val="54E12281"/>
    <w:rsid w:val="55570796"/>
    <w:rsid w:val="565F61A9"/>
    <w:rsid w:val="56AD4B11"/>
    <w:rsid w:val="57232FC4"/>
    <w:rsid w:val="572D2326"/>
    <w:rsid w:val="57365691"/>
    <w:rsid w:val="59EE1E48"/>
    <w:rsid w:val="5A490F5C"/>
    <w:rsid w:val="5B805E16"/>
    <w:rsid w:val="5BD21464"/>
    <w:rsid w:val="5BDE2B83"/>
    <w:rsid w:val="5C777282"/>
    <w:rsid w:val="61635F72"/>
    <w:rsid w:val="618606C5"/>
    <w:rsid w:val="6224402D"/>
    <w:rsid w:val="62516C98"/>
    <w:rsid w:val="629A57C5"/>
    <w:rsid w:val="636649C5"/>
    <w:rsid w:val="6384067A"/>
    <w:rsid w:val="638D125E"/>
    <w:rsid w:val="6396333E"/>
    <w:rsid w:val="63E114D3"/>
    <w:rsid w:val="64033FC2"/>
    <w:rsid w:val="65B174D2"/>
    <w:rsid w:val="66951451"/>
    <w:rsid w:val="680E0276"/>
    <w:rsid w:val="690031C6"/>
    <w:rsid w:val="6A2B751B"/>
    <w:rsid w:val="6AD46D46"/>
    <w:rsid w:val="6B07083C"/>
    <w:rsid w:val="6B623CC4"/>
    <w:rsid w:val="6B6C65E0"/>
    <w:rsid w:val="6C2B67AC"/>
    <w:rsid w:val="6CB31465"/>
    <w:rsid w:val="6D08089B"/>
    <w:rsid w:val="6DE07909"/>
    <w:rsid w:val="6E0C3182"/>
    <w:rsid w:val="6E58438A"/>
    <w:rsid w:val="6E7066F8"/>
    <w:rsid w:val="6E9D5508"/>
    <w:rsid w:val="6F871359"/>
    <w:rsid w:val="7012558D"/>
    <w:rsid w:val="70CB5E68"/>
    <w:rsid w:val="711B7F18"/>
    <w:rsid w:val="71EB22B3"/>
    <w:rsid w:val="72010FA6"/>
    <w:rsid w:val="730542C9"/>
    <w:rsid w:val="733F48EB"/>
    <w:rsid w:val="74212849"/>
    <w:rsid w:val="744C1D4E"/>
    <w:rsid w:val="74602D6B"/>
    <w:rsid w:val="748A4F72"/>
    <w:rsid w:val="74934EEE"/>
    <w:rsid w:val="74961819"/>
    <w:rsid w:val="750202C6"/>
    <w:rsid w:val="75664078"/>
    <w:rsid w:val="761E4132"/>
    <w:rsid w:val="77707769"/>
    <w:rsid w:val="78061A79"/>
    <w:rsid w:val="78713799"/>
    <w:rsid w:val="79181486"/>
    <w:rsid w:val="7A015F2D"/>
    <w:rsid w:val="7AFE508C"/>
    <w:rsid w:val="7B2561EC"/>
    <w:rsid w:val="7B587F11"/>
    <w:rsid w:val="7BC003CA"/>
    <w:rsid w:val="7CBF4BB4"/>
    <w:rsid w:val="7E53749D"/>
    <w:rsid w:val="7E5D346D"/>
    <w:rsid w:val="7EEF3669"/>
    <w:rsid w:val="7F323556"/>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6</Pages>
  <Words>2590</Words>
  <Characters>2809</Characters>
  <Lines>7</Lines>
  <Paragraphs>2</Paragraphs>
  <TotalTime>6</TotalTime>
  <ScaleCrop>false</ScaleCrop>
  <LinksUpToDate>false</LinksUpToDate>
  <CharactersWithSpaces>2809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2024-08-11T08:04:43Z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