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2"/>
        <w:pageBreakBefore w:val="0"/>
        <w:widowControl w:val="0"/>
        <w:kinsoku/>
        <w:wordWrap/>
        <w:overflowPunct/>
        <w:topLinePunct w:val="0"/>
        <w:autoSpaceDE/>
        <w:autoSpaceDN/>
        <w:bidi w:val="0"/>
        <w:adjustRightInd w:val="0"/>
        <w:snapToGrid w:val="0"/>
        <w:spacing w:line="560" w:lineRule="exact"/>
        <w:ind w:leftChars="0"/>
        <w:textAlignment w:val="auto"/>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3"/>
        <w:pageBreakBefore w:val="0"/>
        <w:widowControl w:val="0"/>
        <w:kinsoku/>
        <w:wordWrap/>
        <w:overflowPunct/>
        <w:topLinePunct w:val="0"/>
        <w:autoSpaceDE/>
        <w:autoSpaceDN/>
        <w:bidi w:val="0"/>
        <w:adjustRightInd w:val="0"/>
        <w:snapToGrid w:val="0"/>
        <w:spacing w:before="0" w:beforeLines="0" w:afterLines="0" w:line="560" w:lineRule="exact"/>
        <w:ind w:leftChars="0"/>
        <w:textAlignment w:val="auto"/>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4"/>
        <w:pageBreakBefore w:val="0"/>
        <w:widowControl w:val="0"/>
        <w:kinsoku/>
        <w:wordWrap/>
        <w:overflowPunct/>
        <w:topLinePunct w:val="0"/>
        <w:autoSpaceDE/>
        <w:autoSpaceDN/>
        <w:bidi w:val="0"/>
        <w:adjustRightInd w:val="0"/>
        <w:snapToGrid w:val="0"/>
        <w:spacing w:before="0" w:line="560" w:lineRule="exact"/>
        <w:ind w:leftChars="0"/>
        <w:textAlignment w:val="auto"/>
        <w:rPr>
          <w:rFonts w:hint="eastAsia"/>
          <w:color w:val="auto"/>
          <w:highlight w:val="none"/>
          <w:lang w:val="en-US" w:eastAsia="zh-CN"/>
        </w:rPr>
      </w:pPr>
      <w:r>
        <w:rPr>
          <w:rFonts w:hint="eastAsia"/>
          <w:color w:val="auto"/>
          <w:highlight w:val="none"/>
          <w:lang w:val="en-US" w:eastAsia="zh-CN"/>
        </w:rPr>
        <w:t>1.部门主要职能</w:t>
      </w:r>
    </w:p>
    <w:p>
      <w:pPr>
        <w:pStyle w:val="26"/>
        <w:pageBreakBefore w:val="0"/>
        <w:widowControl w:val="0"/>
        <w:kinsoku/>
        <w:wordWrap/>
        <w:overflowPunct/>
        <w:topLinePunct w:val="0"/>
        <w:autoSpaceDE/>
        <w:autoSpaceDN/>
        <w:bidi w:val="0"/>
        <w:adjustRightInd w:val="0"/>
        <w:snapToGrid w:val="0"/>
        <w:spacing w:line="560" w:lineRule="exact"/>
        <w:ind w:leftChars="0" w:firstLineChars="200"/>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kern w:val="0"/>
          <w:sz w:val="28"/>
          <w:szCs w:val="28"/>
          <w:highlight w:val="none"/>
          <w:lang w:val="en-US" w:eastAsia="zh-CN" w:bidi="ar"/>
        </w:rPr>
        <w:t>中国共产主义青年团和静县委员会</w:t>
      </w:r>
      <w:r>
        <w:rPr>
          <w:rFonts w:hint="eastAsia" w:ascii="仿宋_GB2312" w:hAnsi="仿宋_GB2312" w:eastAsia="仿宋_GB2312" w:cs="仿宋_GB2312"/>
          <w:color w:val="auto"/>
          <w:kern w:val="2"/>
          <w:sz w:val="28"/>
          <w:szCs w:val="28"/>
          <w:highlight w:val="none"/>
          <w:lang w:val="en-US" w:eastAsia="zh-CN" w:bidi="ar-SA"/>
        </w:rPr>
        <w:t>在县委领导下，负责贯彻落实新时代党的组织路线和以习近平同志为核心的党中央治疆方略、聚焦服务社会稳定和长治久安总目标，落实党中央、自治区党委、地委和县委关于组织体系、领导班子建设，领导干部队伍、公务员队伍、人才队伍、离退休干部建设的方针政策和决策部署。主要职责是：</w:t>
      </w:r>
    </w:p>
    <w:p>
      <w:pPr>
        <w:pStyle w:val="26"/>
        <w:pageBreakBefore w:val="0"/>
        <w:widowControl w:val="0"/>
        <w:kinsoku/>
        <w:wordWrap/>
        <w:overflowPunct/>
        <w:topLinePunct w:val="0"/>
        <w:autoSpaceDE/>
        <w:autoSpaceDN/>
        <w:bidi w:val="0"/>
        <w:adjustRightInd w:val="0"/>
        <w:snapToGrid w:val="0"/>
        <w:spacing w:line="560" w:lineRule="exact"/>
        <w:ind w:leftChars="0" w:firstLineChars="200"/>
        <w:textAlignment w:val="auto"/>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（1）发挥好党的助手和后备军作用</w:t>
      </w:r>
    </w:p>
    <w:p>
      <w:pPr>
        <w:pStyle w:val="26"/>
        <w:pageBreakBefore w:val="0"/>
        <w:widowControl w:val="0"/>
        <w:kinsoku/>
        <w:wordWrap/>
        <w:overflowPunct/>
        <w:topLinePunct w:val="0"/>
        <w:autoSpaceDE/>
        <w:autoSpaceDN/>
        <w:bidi w:val="0"/>
        <w:adjustRightInd w:val="0"/>
        <w:snapToGrid w:val="0"/>
        <w:spacing w:line="560" w:lineRule="exact"/>
        <w:ind w:leftChars="0" w:firstLineChars="200"/>
        <w:textAlignment w:val="auto"/>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为党的事业教育、团结和带领好青年。引导青年坚定信念，刻苦学习，奋发成才，使广大青年在全面建设小康社会的伟大实践中锻炼成长为有理想、有道德、有文化、有纪律的一代新人。</w:t>
      </w:r>
    </w:p>
    <w:p>
      <w:pPr>
        <w:pStyle w:val="26"/>
        <w:pageBreakBefore w:val="0"/>
        <w:widowControl w:val="0"/>
        <w:kinsoku/>
        <w:wordWrap/>
        <w:overflowPunct/>
        <w:topLinePunct w:val="0"/>
        <w:autoSpaceDE/>
        <w:autoSpaceDN/>
        <w:bidi w:val="0"/>
        <w:adjustRightInd w:val="0"/>
        <w:snapToGrid w:val="0"/>
        <w:spacing w:line="560" w:lineRule="exact"/>
        <w:ind w:left="0" w:leftChars="0" w:firstLine="560" w:firstLineChars="200"/>
        <w:textAlignment w:val="auto"/>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（2）发挥好国家政权的重要社会支柱作用</w:t>
      </w:r>
    </w:p>
    <w:p>
      <w:pPr>
        <w:pStyle w:val="26"/>
        <w:pageBreakBefore w:val="0"/>
        <w:widowControl w:val="0"/>
        <w:kinsoku/>
        <w:wordWrap/>
        <w:overflowPunct/>
        <w:topLinePunct w:val="0"/>
        <w:autoSpaceDE/>
        <w:autoSpaceDN/>
        <w:bidi w:val="0"/>
        <w:adjustRightInd w:val="0"/>
        <w:snapToGrid w:val="0"/>
        <w:spacing w:line="560" w:lineRule="exact"/>
        <w:ind w:leftChars="0" w:firstLineChars="200"/>
        <w:textAlignment w:val="auto"/>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积极协助政府管理好青年事务。参与社会协商对话、民主管理和民主监督，承担政府委托的有关青年工作事务，指导和帮助青联、学联、少先队等青少年组织开展工作。</w:t>
      </w:r>
    </w:p>
    <w:p>
      <w:pPr>
        <w:pStyle w:val="26"/>
        <w:pageBreakBefore w:val="0"/>
        <w:widowControl w:val="0"/>
        <w:kinsoku/>
        <w:wordWrap/>
        <w:overflowPunct/>
        <w:topLinePunct w:val="0"/>
        <w:autoSpaceDE/>
        <w:autoSpaceDN/>
        <w:bidi w:val="0"/>
        <w:adjustRightInd w:val="0"/>
        <w:snapToGrid w:val="0"/>
        <w:spacing w:line="560" w:lineRule="exact"/>
        <w:ind w:leftChars="0" w:firstLineChars="200"/>
        <w:textAlignment w:val="auto"/>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发挥党和政府联系青年群众的桥梁和纽带作用，依法代表和维护青年的具体利益，反映青年的意愿和呼声。在维护全国人民总体利益的前提下，代表和维护青年的具体利益，全心全意为青年服务，发挥青年利益的社会代表作用。</w:t>
      </w:r>
    </w:p>
    <w:p>
      <w:pPr>
        <w:pStyle w:val="26"/>
        <w:pageBreakBefore w:val="0"/>
        <w:widowControl w:val="0"/>
        <w:kinsoku/>
        <w:wordWrap/>
        <w:overflowPunct/>
        <w:topLinePunct w:val="0"/>
        <w:autoSpaceDE/>
        <w:autoSpaceDN/>
        <w:bidi w:val="0"/>
        <w:adjustRightInd w:val="0"/>
        <w:snapToGrid w:val="0"/>
        <w:spacing w:line="560" w:lineRule="exact"/>
        <w:ind w:leftChars="0" w:firstLineChars="200"/>
        <w:textAlignment w:val="auto"/>
        <w:rPr>
          <w:rFonts w:hint="eastAsia"/>
          <w:color w:val="auto"/>
          <w:highlight w:val="none"/>
          <w:lang w:val="en-US" w:eastAsia="zh-CN"/>
        </w:rPr>
      </w:pPr>
      <w:r>
        <w:rPr>
          <w:rFonts w:hint="eastAsia"/>
          <w:color w:val="auto"/>
          <w:highlight w:val="none"/>
          <w:lang w:val="en-US" w:eastAsia="zh-CN"/>
        </w:rPr>
        <w:t>2.部门机构设置及人员构成</w:t>
      </w:r>
    </w:p>
    <w:p>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中国共产主义青年团和静县委员会单位无下属预算单位，下设1个处室，分别是：综合办公室。中国共产主义青年团和静县委员会人员总数5名，其中：在职4名，退休1名.实有人员5人。</w:t>
      </w:r>
    </w:p>
    <w:p>
      <w:pPr>
        <w:pStyle w:val="3"/>
        <w:pageBreakBefore w:val="0"/>
        <w:widowControl w:val="0"/>
        <w:kinsoku/>
        <w:wordWrap/>
        <w:overflowPunct/>
        <w:topLinePunct w:val="0"/>
        <w:autoSpaceDE/>
        <w:autoSpaceDN/>
        <w:bidi w:val="0"/>
        <w:adjustRightInd w:val="0"/>
        <w:snapToGrid w:val="0"/>
        <w:spacing w:before="0" w:beforeLines="0" w:afterLines="0" w:line="560" w:lineRule="exact"/>
        <w:ind w:leftChars="0"/>
        <w:textAlignment w:val="auto"/>
        <w:outlineLvl w:val="1"/>
        <w:rPr>
          <w:rFonts w:hint="eastAsia"/>
          <w:color w:val="auto"/>
          <w:highlight w:val="none"/>
          <w:lang w:val="en-US" w:eastAsia="zh-CN"/>
        </w:rPr>
      </w:pPr>
      <w:r>
        <w:rPr>
          <w:rFonts w:hint="eastAsia"/>
          <w:color w:val="auto"/>
          <w:highlight w:val="none"/>
          <w:lang w:val="en-US" w:eastAsia="zh-CN"/>
        </w:rPr>
        <w:t>（二）部门单位年度重点工作</w:t>
      </w:r>
    </w:p>
    <w:p>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2023年中国共产主义青年团和静县委员会将继续以全面深化共青团、少先队改革为主抓手，广泛联系服务青年，带领全县各级团组织和广大团员青年以“无奋斗、不青春”的精神姿态激发工作热情，砥砺奋进力量。</w:t>
      </w:r>
    </w:p>
    <w:p>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一是扎实推进主题教育，提升履职能力。加强团员、团干部理论知识学习，从政治、思想、理论、情感等多层次出发，利用好“青年之家”“团代表联络站”等团属阵地，积极组织具有针对性的培训教育和活动不少于10次，通过增加团干部的理论知识储备，提高团干部履职能力，促进团建工作再上新台阶，开展团干部培训、座谈、交流研讨活动不少于10次；</w:t>
      </w:r>
    </w:p>
    <w:p>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二是进一步加强团员青年的思想建设。充分依托座谈会、主题团日、组织生活、读书活动等形式，及时掌握青年思想倾向，有针对性地引导青年关心的热点、焦点问题，引领青年树立积极向上的思想，及时疏导青年在工作及生活中存在的问题，为服务青年成长成才奠定思想基础；</w:t>
      </w:r>
    </w:p>
    <w:p>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三是广泛开展创先评优活动，树典型、立标杆，为青年成长搭建平台。开展技能比武等创先争优活动，营造你追我赶的竞技氛围，树立先进标杆及典型，激励全县团组织干部、团员青年不断提升岗位技能。有针对性地创建2—3个具有特色的基层团组织精品教学点，让团委（支部）书记授课，干过的人讲干过的事；</w:t>
      </w:r>
    </w:p>
    <w:p>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四是落实“两新”团组织服务管理。持续摸排县内非公企业和新社会组织，推动“两新”团组织“应建尽建”，针对已建团“两新”组织，做好团干部指导和培训工作，依托“团·聚”交友活动为组织内团员提供交友平台，让团员切实感受到共青团带来的温暖；</w:t>
      </w:r>
    </w:p>
    <w:p>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五是规范落实团组织工作流程，扎实推进团内各项工作开展，严格按照县党委及上级团委工作要求，做好共青团工作的规定动作，同时创造性地提高团属品牌的影响力，建设具有和静特色的团建示范点；</w:t>
      </w:r>
    </w:p>
    <w:p>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六是持续发挥好桥梁纽带作用，进一步加强大学生志愿者服务管理工作。持续开展助力乡村振兴、疫情防控、环境卫生整治等志愿服务活动，搭建更多志愿者风采展示平台，充分发挥“专业团队”和“兴趣社团”两支队伍作用，不断做大做强、打响“和静·推介官”团属品牌，用“小节目”讲“大道理”，把宣讲“直通车”开进企业、社区、学校、乡镇等基层一线，让共青团成为青年想得起、找得到、靠得住的力量。</w:t>
      </w:r>
    </w:p>
    <w:p>
      <w:pPr>
        <w:pStyle w:val="3"/>
        <w:pageBreakBefore w:val="0"/>
        <w:widowControl w:val="0"/>
        <w:kinsoku/>
        <w:wordWrap/>
        <w:overflowPunct/>
        <w:topLinePunct w:val="0"/>
        <w:autoSpaceDE/>
        <w:autoSpaceDN/>
        <w:bidi w:val="0"/>
        <w:adjustRightInd w:val="0"/>
        <w:snapToGrid w:val="0"/>
        <w:spacing w:before="0" w:beforeLines="0" w:afterLines="0" w:line="560" w:lineRule="exact"/>
        <w:ind w:leftChars="0"/>
        <w:textAlignment w:val="auto"/>
        <w:rPr>
          <w:rFonts w:hint="default"/>
          <w:color w:val="auto"/>
          <w:highlight w:val="none"/>
          <w:lang w:val="en-US" w:eastAsia="zh-CN"/>
        </w:rPr>
      </w:pPr>
      <w:r>
        <w:rPr>
          <w:rFonts w:hint="eastAsia"/>
          <w:color w:val="auto"/>
          <w:highlight w:val="none"/>
          <w:lang w:val="en-US" w:eastAsia="zh-CN"/>
        </w:rPr>
        <w:t>（三）部门单位整体预算规模及安排情况</w:t>
      </w:r>
    </w:p>
    <w:p>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我单位年初预算数为710.68万元，实际预算执行数688.24万元，预算执行率为96.84%。</w:t>
      </w:r>
    </w:p>
    <w:p>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全年预算数为717.04万元，全年实际支出资金717.04万元，预算执行率为100%。</w:t>
      </w:r>
    </w:p>
    <w:p>
      <w:pPr>
        <w:pStyle w:val="4"/>
        <w:pageBreakBefore w:val="0"/>
        <w:widowControl w:val="0"/>
        <w:kinsoku/>
        <w:wordWrap/>
        <w:overflowPunct/>
        <w:topLinePunct w:val="0"/>
        <w:autoSpaceDE/>
        <w:autoSpaceDN/>
        <w:bidi w:val="0"/>
        <w:adjustRightInd w:val="0"/>
        <w:snapToGrid w:val="0"/>
        <w:spacing w:before="0" w:line="560" w:lineRule="exact"/>
        <w:ind w:leftChars="0"/>
        <w:textAlignment w:val="auto"/>
        <w:rPr>
          <w:rFonts w:hint="eastAsia"/>
          <w:color w:val="auto"/>
          <w:highlight w:val="none"/>
          <w:lang w:val="en-US" w:eastAsia="zh-CN"/>
        </w:rPr>
      </w:pPr>
      <w:r>
        <w:rPr>
          <w:rFonts w:hint="eastAsia"/>
          <w:color w:val="auto"/>
          <w:highlight w:val="none"/>
          <w:lang w:val="en-US" w:eastAsia="zh-CN"/>
        </w:rPr>
        <w:t>2.预算调整（追加减）情况</w:t>
      </w:r>
    </w:p>
    <w:p>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710.68</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6.36</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717.04</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0.89</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0.89</w:t>
      </w:r>
      <w:r>
        <w:rPr>
          <w:rFonts w:hint="eastAsia" w:ascii="Times New Roman" w:hAnsi="Times New Roman" w:cs="Times New Roman"/>
          <w:bCs/>
          <w:color w:val="auto"/>
          <w:highlight w:val="none"/>
          <w:lang w:eastAsia="zh-CN"/>
        </w:rPr>
        <w:t>%。）</w:t>
      </w:r>
    </w:p>
    <w:p>
      <w:pPr>
        <w:pStyle w:val="4"/>
        <w:pageBreakBefore w:val="0"/>
        <w:widowControl w:val="0"/>
        <w:kinsoku/>
        <w:wordWrap/>
        <w:overflowPunct/>
        <w:topLinePunct w:val="0"/>
        <w:autoSpaceDE/>
        <w:autoSpaceDN/>
        <w:bidi w:val="0"/>
        <w:adjustRightInd w:val="0"/>
        <w:snapToGrid w:val="0"/>
        <w:spacing w:before="0" w:line="560" w:lineRule="exact"/>
        <w:ind w:leftChars="0"/>
        <w:textAlignment w:val="auto"/>
        <w:rPr>
          <w:rFonts w:hint="default"/>
          <w:color w:val="auto"/>
          <w:highlight w:val="none"/>
          <w:lang w:val="en-US" w:eastAsia="zh-CN"/>
        </w:rPr>
      </w:pPr>
      <w:r>
        <w:rPr>
          <w:rFonts w:hint="default"/>
          <w:color w:val="auto"/>
          <w:highlight w:val="none"/>
          <w:lang w:val="en-US" w:eastAsia="zh-CN"/>
        </w:rPr>
        <w:t>3.资金使用主要内容、涉及的范围</w:t>
      </w:r>
    </w:p>
    <w:p>
      <w:pPr>
        <w:pageBreakBefore w:val="0"/>
        <w:widowControl w:val="0"/>
        <w:kinsoku/>
        <w:wordWrap/>
        <w:overflowPunct/>
        <w:topLinePunct w:val="0"/>
        <w:autoSpaceDE/>
        <w:autoSpaceDN/>
        <w:bidi w:val="0"/>
        <w:adjustRightInd w:val="0"/>
        <w:snapToGrid w:val="0"/>
        <w:spacing w:line="560" w:lineRule="exact"/>
        <w:ind w:leftChars="0"/>
        <w:textAlignment w:val="auto"/>
        <w:rPr>
          <w:rFonts w:hint="default"/>
          <w:color w:val="auto"/>
          <w:highlight w:val="none"/>
          <w:lang w:val="en-US" w:eastAsia="zh-CN"/>
        </w:rPr>
      </w:pPr>
      <w:r>
        <w:rPr>
          <w:rFonts w:hint="default"/>
          <w:color w:val="auto"/>
          <w:highlight w:val="none"/>
          <w:lang w:val="en-US" w:eastAsia="zh-CN"/>
        </w:rPr>
        <w:t>我单位2023年度部门整体支出为717.04万元，其中：</w:t>
      </w:r>
    </w:p>
    <w:p>
      <w:pPr>
        <w:pageBreakBefore w:val="0"/>
        <w:widowControl w:val="0"/>
        <w:kinsoku/>
        <w:wordWrap/>
        <w:overflowPunct/>
        <w:topLinePunct w:val="0"/>
        <w:autoSpaceDE/>
        <w:autoSpaceDN/>
        <w:bidi w:val="0"/>
        <w:adjustRightInd w:val="0"/>
        <w:snapToGrid w:val="0"/>
        <w:spacing w:line="560" w:lineRule="exact"/>
        <w:ind w:leftChars="0"/>
        <w:textAlignment w:val="auto"/>
        <w:rPr>
          <w:rFonts w:hint="default"/>
          <w:color w:val="auto"/>
          <w:highlight w:val="none"/>
          <w:lang w:val="en-US" w:eastAsia="zh-CN"/>
        </w:rPr>
      </w:pPr>
      <w:r>
        <w:rPr>
          <w:rFonts w:hint="default"/>
          <w:color w:val="auto"/>
          <w:highlight w:val="none"/>
          <w:lang w:val="en-US" w:eastAsia="zh-CN"/>
        </w:rPr>
        <w:t>基本支出599.09万元，资金的使用方向为我单位机关人员经费支出584.24万元</w:t>
      </w:r>
      <w:r>
        <w:rPr>
          <w:rFonts w:hint="eastAsia"/>
          <w:color w:val="auto"/>
          <w:highlight w:val="none"/>
          <w:lang w:val="en-US" w:eastAsia="zh-CN"/>
        </w:rPr>
        <w:t>，</w:t>
      </w:r>
      <w:r>
        <w:rPr>
          <w:rFonts w:hint="default"/>
          <w:color w:val="auto"/>
          <w:highlight w:val="none"/>
          <w:lang w:val="en-US" w:eastAsia="zh-CN"/>
        </w:rPr>
        <w:t>日常公用经费支出14.85万元</w:t>
      </w:r>
      <w:r>
        <w:rPr>
          <w:rFonts w:hint="eastAsia"/>
          <w:color w:val="auto"/>
          <w:highlight w:val="none"/>
          <w:lang w:val="en-US" w:eastAsia="zh-CN"/>
        </w:rPr>
        <w:t>，主要用于保障人员工资及人员医保、社保、住房公积金等缴费，西部计划志愿者生活补贴、交通补贴及医保、社保缴费、单位办公用品购买及车辆燃油费及维修等方面支出。</w:t>
      </w:r>
    </w:p>
    <w:p>
      <w:pPr>
        <w:pageBreakBefore w:val="0"/>
        <w:widowControl w:val="0"/>
        <w:kinsoku/>
        <w:wordWrap/>
        <w:overflowPunct/>
        <w:topLinePunct w:val="0"/>
        <w:autoSpaceDE/>
        <w:autoSpaceDN/>
        <w:bidi w:val="0"/>
        <w:adjustRightInd w:val="0"/>
        <w:snapToGrid w:val="0"/>
        <w:spacing w:line="560" w:lineRule="exact"/>
        <w:ind w:leftChars="0"/>
        <w:textAlignment w:val="auto"/>
        <w:rPr>
          <w:rFonts w:hint="default"/>
          <w:color w:val="auto"/>
          <w:highlight w:val="none"/>
          <w:lang w:val="en-US" w:eastAsia="zh-CN"/>
        </w:rPr>
      </w:pPr>
      <w:r>
        <w:rPr>
          <w:rFonts w:hint="default"/>
          <w:color w:val="auto"/>
          <w:highlight w:val="none"/>
          <w:lang w:val="en-US" w:eastAsia="zh-CN"/>
        </w:rPr>
        <w:t>项目支出共计117.95万元，主要用于保障2023年大学生志愿服务西部计划中央补助资金项目、2023年第一批河北对口援疆项目资金项目支出。</w:t>
      </w:r>
    </w:p>
    <w:p>
      <w:pPr>
        <w:pStyle w:val="2"/>
        <w:pageBreakBefore w:val="0"/>
        <w:widowControl w:val="0"/>
        <w:kinsoku/>
        <w:wordWrap/>
        <w:overflowPunct/>
        <w:topLinePunct w:val="0"/>
        <w:autoSpaceDE/>
        <w:autoSpaceDN/>
        <w:bidi w:val="0"/>
        <w:adjustRightInd w:val="0"/>
        <w:snapToGrid w:val="0"/>
        <w:spacing w:line="560" w:lineRule="exact"/>
        <w:ind w:leftChars="0"/>
        <w:textAlignment w:val="auto"/>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3"/>
        <w:pageBreakBefore w:val="0"/>
        <w:widowControl w:val="0"/>
        <w:kinsoku/>
        <w:wordWrap/>
        <w:overflowPunct/>
        <w:topLinePunct w:val="0"/>
        <w:autoSpaceDE/>
        <w:autoSpaceDN/>
        <w:bidi w:val="0"/>
        <w:adjustRightInd w:val="0"/>
        <w:snapToGrid w:val="0"/>
        <w:spacing w:before="0" w:beforeLines="0" w:afterLines="0" w:line="560" w:lineRule="exact"/>
        <w:ind w:leftChars="0"/>
        <w:textAlignment w:val="auto"/>
        <w:rPr>
          <w:rFonts w:hint="eastAsia"/>
          <w:color w:val="auto"/>
          <w:highlight w:val="none"/>
          <w:lang w:val="en-US" w:eastAsia="zh-CN"/>
        </w:rPr>
      </w:pPr>
      <w:r>
        <w:rPr>
          <w:rFonts w:hint="eastAsia"/>
          <w:color w:val="auto"/>
          <w:highlight w:val="none"/>
          <w:lang w:val="en-US" w:eastAsia="zh-CN"/>
        </w:rPr>
        <w:t>（一）基本支出和使用情况</w:t>
      </w:r>
    </w:p>
    <w:p>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599.09万元，全年实际支出599.09万元，资金执行率100%。基本支出严格按照财务管理制度执行，其中：</w:t>
      </w:r>
    </w:p>
    <w:p>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人员经费支出584.24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公用经费支出14.85万元，主要包括：办公费、印刷费、水费、电费、邮电费、取暖费、物业管理费、差旅费、培训费、公务接待费、工会经费、福利费、公务用车运行维护费、其他交通费用、其他商品和服务支出。</w:t>
      </w:r>
    </w:p>
    <w:p>
      <w:pPr>
        <w:pStyle w:val="3"/>
        <w:pageBreakBefore w:val="0"/>
        <w:widowControl w:val="0"/>
        <w:kinsoku/>
        <w:wordWrap/>
        <w:overflowPunct/>
        <w:topLinePunct w:val="0"/>
        <w:autoSpaceDE/>
        <w:autoSpaceDN/>
        <w:bidi w:val="0"/>
        <w:adjustRightInd w:val="0"/>
        <w:snapToGrid w:val="0"/>
        <w:spacing w:before="0" w:beforeLines="0" w:afterLines="0" w:line="560" w:lineRule="exact"/>
        <w:ind w:leftChars="0"/>
        <w:textAlignment w:val="auto"/>
        <w:rPr>
          <w:rFonts w:hint="eastAsia"/>
          <w:color w:val="auto"/>
          <w:highlight w:val="none"/>
          <w:lang w:val="en-US" w:eastAsia="zh-CN"/>
        </w:rPr>
      </w:pPr>
      <w:r>
        <w:rPr>
          <w:rFonts w:hint="eastAsia"/>
          <w:color w:val="auto"/>
          <w:highlight w:val="none"/>
          <w:lang w:val="en-US" w:eastAsia="zh-CN"/>
        </w:rPr>
        <w:t>（二）政策、项目支出和使用情况</w:t>
      </w:r>
    </w:p>
    <w:p>
      <w:pPr>
        <w:pStyle w:val="4"/>
        <w:pageBreakBefore w:val="0"/>
        <w:widowControl w:val="0"/>
        <w:kinsoku/>
        <w:wordWrap/>
        <w:overflowPunct/>
        <w:topLinePunct w:val="0"/>
        <w:autoSpaceDE/>
        <w:autoSpaceDN/>
        <w:bidi w:val="0"/>
        <w:adjustRightInd w:val="0"/>
        <w:snapToGrid w:val="0"/>
        <w:spacing w:before="0" w:line="560" w:lineRule="exact"/>
        <w:ind w:leftChars="0"/>
        <w:textAlignment w:val="auto"/>
        <w:rPr>
          <w:rFonts w:hint="eastAsia"/>
          <w:color w:val="auto"/>
          <w:highlight w:val="none"/>
          <w:lang w:val="en-US" w:eastAsia="zh-CN"/>
        </w:rPr>
      </w:pPr>
      <w:r>
        <w:rPr>
          <w:rFonts w:hint="eastAsia"/>
          <w:color w:val="auto"/>
          <w:highlight w:val="none"/>
          <w:lang w:val="en-US" w:eastAsia="zh-CN"/>
        </w:rPr>
        <w:t>1.政策、项目支出的投入情况分析</w:t>
      </w:r>
    </w:p>
    <w:p>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w:t>
      </w:r>
      <w:r>
        <w:rPr>
          <w:rFonts w:hint="default"/>
          <w:color w:val="auto"/>
          <w:highlight w:val="none"/>
          <w:lang w:val="en-US" w:eastAsia="zh-CN"/>
        </w:rPr>
        <w:t>117.95</w:t>
      </w:r>
      <w:r>
        <w:rPr>
          <w:rFonts w:hint="eastAsia"/>
          <w:color w:val="auto"/>
          <w:highlight w:val="none"/>
          <w:lang w:eastAsia="zh-CN"/>
        </w:rPr>
        <w:t>万元，</w:t>
      </w:r>
      <w:r>
        <w:rPr>
          <w:rFonts w:hint="eastAsia"/>
          <w:color w:val="auto"/>
          <w:highlight w:val="none"/>
          <w:lang w:val="en-US" w:eastAsia="zh-CN"/>
        </w:rPr>
        <w:t>其中：上级专项资金</w:t>
      </w:r>
      <w:r>
        <w:rPr>
          <w:rFonts w:hint="default"/>
          <w:color w:val="auto"/>
          <w:highlight w:val="none"/>
          <w:lang w:val="en-US" w:eastAsia="zh-CN"/>
        </w:rPr>
        <w:t>117.95</w:t>
      </w:r>
      <w:r>
        <w:rPr>
          <w:rFonts w:hint="eastAsia"/>
          <w:color w:val="auto"/>
          <w:highlight w:val="none"/>
          <w:lang w:val="en-US" w:eastAsia="zh-CN"/>
        </w:rPr>
        <w:t>万元，无本级财政资金</w:t>
      </w:r>
      <w:r>
        <w:rPr>
          <w:rFonts w:hint="eastAsia"/>
          <w:color w:val="auto"/>
          <w:highlight w:val="none"/>
          <w:lang w:eastAsia="zh-CN"/>
        </w:rPr>
        <w:t>。</w:t>
      </w:r>
    </w:p>
    <w:p>
      <w:pPr>
        <w:pStyle w:val="4"/>
        <w:pageBreakBefore w:val="0"/>
        <w:widowControl w:val="0"/>
        <w:kinsoku/>
        <w:wordWrap/>
        <w:overflowPunct/>
        <w:topLinePunct w:val="0"/>
        <w:autoSpaceDE/>
        <w:autoSpaceDN/>
        <w:bidi w:val="0"/>
        <w:adjustRightInd w:val="0"/>
        <w:snapToGrid w:val="0"/>
        <w:spacing w:before="0" w:line="560" w:lineRule="exact"/>
        <w:ind w:leftChars="0"/>
        <w:textAlignment w:val="auto"/>
        <w:rPr>
          <w:rFonts w:hint="eastAsia"/>
          <w:color w:val="auto"/>
          <w:highlight w:val="none"/>
          <w:lang w:val="en-US" w:eastAsia="zh-CN"/>
        </w:rPr>
      </w:pPr>
      <w:r>
        <w:rPr>
          <w:rFonts w:hint="eastAsia"/>
          <w:color w:val="auto"/>
          <w:highlight w:val="none"/>
          <w:lang w:val="en-US" w:eastAsia="zh-CN"/>
        </w:rPr>
        <w:t>2.政策、项目支出管理情况</w:t>
      </w:r>
    </w:p>
    <w:p>
      <w:pPr>
        <w:pageBreakBefore w:val="0"/>
        <w:widowControl w:val="0"/>
        <w:kinsoku/>
        <w:wordWrap/>
        <w:overflowPunct/>
        <w:topLinePunct w:val="0"/>
        <w:autoSpaceDE/>
        <w:autoSpaceDN/>
        <w:bidi w:val="0"/>
        <w:adjustRightInd w:val="0"/>
        <w:snapToGrid w:val="0"/>
        <w:spacing w:line="560" w:lineRule="exact"/>
        <w:ind w:leftChars="0" w:firstLine="560"/>
        <w:textAlignment w:val="auto"/>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做好和静县112名志愿者发放生活补贴，办理志愿者基本养老保险及基本医疗保险。在拨付过程中严把监督审核关，建立健全内部审批制度，财务做好项目专账，严格实行专款专用，保证资金及时足额用到项目中。2023年上级财政下达我单位专项资金89.15万元，其中，用于</w:t>
      </w:r>
      <w:r>
        <w:rPr>
          <w:rFonts w:hint="eastAsia"/>
          <w:color w:val="auto"/>
          <w:highlight w:val="none"/>
        </w:rPr>
        <w:t>支付</w:t>
      </w:r>
      <w:r>
        <w:rPr>
          <w:rFonts w:hint="eastAsia"/>
          <w:color w:val="auto"/>
          <w:highlight w:val="none"/>
          <w:lang w:val="en-US" w:eastAsia="zh-CN"/>
        </w:rPr>
        <w:t>112名志愿者生活补贴</w:t>
      </w:r>
      <w:r>
        <w:rPr>
          <w:rFonts w:hint="eastAsia"/>
          <w:color w:val="auto"/>
          <w:highlight w:val="none"/>
        </w:rPr>
        <w:t>费用</w:t>
      </w:r>
      <w:r>
        <w:rPr>
          <w:rFonts w:hint="eastAsia"/>
          <w:color w:val="auto"/>
          <w:highlight w:val="none"/>
          <w:lang w:val="en-US" w:eastAsia="zh-CN"/>
        </w:rPr>
        <w:t>52.79</w:t>
      </w:r>
      <w:r>
        <w:rPr>
          <w:rFonts w:hint="eastAsia"/>
          <w:color w:val="auto"/>
          <w:highlight w:val="none"/>
        </w:rPr>
        <w:t>万元、</w:t>
      </w:r>
      <w:r>
        <w:rPr>
          <w:rFonts w:hint="eastAsia"/>
          <w:color w:val="auto"/>
          <w:highlight w:val="none"/>
          <w:lang w:val="en-US" w:eastAsia="zh-CN"/>
        </w:rPr>
        <w:t>112名志愿者城职养老</w:t>
      </w:r>
      <w:r>
        <w:rPr>
          <w:rFonts w:hint="eastAsia"/>
          <w:color w:val="auto"/>
          <w:highlight w:val="none"/>
        </w:rPr>
        <w:t>费用</w:t>
      </w:r>
      <w:r>
        <w:rPr>
          <w:rFonts w:hint="eastAsia"/>
          <w:color w:val="auto"/>
          <w:highlight w:val="none"/>
          <w:lang w:val="en-US" w:eastAsia="zh-CN"/>
        </w:rPr>
        <w:t>26.64</w:t>
      </w:r>
      <w:r>
        <w:rPr>
          <w:rFonts w:hint="eastAsia"/>
          <w:color w:val="auto"/>
          <w:highlight w:val="none"/>
        </w:rPr>
        <w:t>万元</w:t>
      </w:r>
      <w:r>
        <w:rPr>
          <w:rFonts w:hint="eastAsia"/>
          <w:color w:val="auto"/>
          <w:highlight w:val="none"/>
          <w:lang w:eastAsia="zh-CN"/>
        </w:rPr>
        <w:t>、</w:t>
      </w:r>
      <w:r>
        <w:rPr>
          <w:rFonts w:hint="eastAsia"/>
          <w:color w:val="auto"/>
          <w:highlight w:val="none"/>
          <w:lang w:val="en-US" w:eastAsia="zh-CN"/>
        </w:rPr>
        <w:t>112名志愿者基本医疗</w:t>
      </w:r>
      <w:r>
        <w:rPr>
          <w:rFonts w:hint="eastAsia"/>
          <w:color w:val="auto"/>
          <w:highlight w:val="none"/>
        </w:rPr>
        <w:t>费用</w:t>
      </w:r>
      <w:r>
        <w:rPr>
          <w:rFonts w:hint="eastAsia"/>
          <w:color w:val="auto"/>
          <w:highlight w:val="none"/>
          <w:lang w:val="en-US" w:eastAsia="zh-CN"/>
        </w:rPr>
        <w:t>9.52</w:t>
      </w:r>
      <w:r>
        <w:rPr>
          <w:rFonts w:hint="eastAsia"/>
          <w:color w:val="auto"/>
          <w:highlight w:val="none"/>
        </w:rPr>
        <w:t>万元</w:t>
      </w:r>
      <w:r>
        <w:rPr>
          <w:rFonts w:hint="eastAsia"/>
          <w:color w:val="auto"/>
          <w:highlight w:val="none"/>
          <w:lang w:eastAsia="zh-CN"/>
        </w:rPr>
        <w:t>、</w:t>
      </w:r>
      <w:r>
        <w:rPr>
          <w:rFonts w:hint="eastAsia"/>
          <w:color w:val="auto"/>
          <w:highlight w:val="none"/>
          <w:lang w:val="en-US" w:eastAsia="zh-CN"/>
        </w:rPr>
        <w:t>112名志愿者大额医疗</w:t>
      </w:r>
      <w:r>
        <w:rPr>
          <w:rFonts w:hint="eastAsia"/>
          <w:color w:val="auto"/>
          <w:highlight w:val="none"/>
        </w:rPr>
        <w:t>费用</w:t>
      </w:r>
      <w:r>
        <w:rPr>
          <w:rFonts w:hint="eastAsia"/>
          <w:color w:val="auto"/>
          <w:highlight w:val="none"/>
          <w:lang w:val="en-US" w:eastAsia="zh-CN"/>
        </w:rPr>
        <w:t>0.2</w:t>
      </w:r>
      <w:r>
        <w:rPr>
          <w:rFonts w:hint="eastAsia"/>
          <w:color w:val="auto"/>
          <w:highlight w:val="none"/>
        </w:rPr>
        <w:t>万元。</w:t>
      </w:r>
    </w:p>
    <w:p>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一是以志愿服务的方式探索了鼓励引导高校毕业生来和静县开展基层服务创业的新途径，有效促进了疆内外区域协调发展。培养了一大批懂国情、讲奉献、高素质的、综合型的青年人才，留疆发展志愿者逐年增长。二是西部计划志愿者以实际行动弘扬了奉献、友爱、互助、进步的志愿精神，有效推动了和静县青年志愿者事业的持续发展，为我县各项事业提供了新鲜血液，丰富了基层青年工作职能，促进了基层共青团组织的发展。三是确保资金及时足额发放，为我县112名志愿者的生活补贴及医保社保，按时缴纳和发放，在疆开展志愿服务期间生活得到保障。</w:t>
      </w:r>
    </w:p>
    <w:p>
      <w:pPr>
        <w:pStyle w:val="4"/>
        <w:pageBreakBefore w:val="0"/>
        <w:widowControl w:val="0"/>
        <w:kinsoku/>
        <w:wordWrap/>
        <w:overflowPunct/>
        <w:topLinePunct w:val="0"/>
        <w:autoSpaceDE/>
        <w:autoSpaceDN/>
        <w:bidi w:val="0"/>
        <w:adjustRightInd w:val="0"/>
        <w:snapToGrid w:val="0"/>
        <w:spacing w:before="0" w:line="560" w:lineRule="exact"/>
        <w:ind w:leftChars="0"/>
        <w:textAlignment w:val="auto"/>
        <w:rPr>
          <w:rFonts w:hint="eastAsia"/>
          <w:color w:val="auto"/>
          <w:highlight w:val="none"/>
          <w:lang w:val="en-US" w:eastAsia="zh-CN"/>
        </w:rPr>
      </w:pPr>
      <w:r>
        <w:rPr>
          <w:rFonts w:hint="eastAsia"/>
          <w:color w:val="auto"/>
          <w:highlight w:val="none"/>
          <w:lang w:val="en-US" w:eastAsia="zh-CN"/>
        </w:rPr>
        <w:t>3.政策、项目支出总体实际使用情况</w:t>
      </w:r>
    </w:p>
    <w:p>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度安排项目支出资金89.15万元，</w:t>
      </w:r>
      <w:r>
        <w:rPr>
          <w:rFonts w:hint="eastAsia"/>
          <w:color w:val="auto"/>
          <w:highlight w:val="none"/>
          <w:lang w:eastAsia="zh-CN"/>
        </w:rPr>
        <w:t>实际</w:t>
      </w:r>
      <w:r>
        <w:rPr>
          <w:rFonts w:hint="eastAsia"/>
          <w:color w:val="auto"/>
          <w:highlight w:val="none"/>
          <w:lang w:val="en-US" w:eastAsia="zh-CN"/>
        </w:rPr>
        <w:t>支出</w:t>
      </w:r>
      <w:r>
        <w:rPr>
          <w:rFonts w:hint="default"/>
          <w:color w:val="auto"/>
          <w:highlight w:val="none"/>
          <w:lang w:val="en-US" w:eastAsia="zh-CN"/>
        </w:rPr>
        <w:t>117.95</w:t>
      </w:r>
      <w:r>
        <w:rPr>
          <w:rFonts w:hint="eastAsia"/>
          <w:color w:val="auto"/>
          <w:highlight w:val="none"/>
          <w:lang w:eastAsia="zh-CN"/>
        </w:rPr>
        <w:t>万元，</w:t>
      </w:r>
      <w:r>
        <w:rPr>
          <w:rFonts w:hint="eastAsia"/>
          <w:color w:val="auto"/>
          <w:highlight w:val="none"/>
          <w:lang w:val="en-US" w:eastAsia="zh-CN"/>
        </w:rPr>
        <w:t>其中：上级专项资金支出</w:t>
      </w:r>
      <w:r>
        <w:rPr>
          <w:rFonts w:hint="default"/>
          <w:color w:val="auto"/>
          <w:highlight w:val="none"/>
          <w:lang w:val="en-US" w:eastAsia="zh-CN"/>
        </w:rPr>
        <w:t>117.95</w:t>
      </w:r>
      <w:r>
        <w:rPr>
          <w:rFonts w:hint="eastAsia"/>
          <w:color w:val="auto"/>
          <w:highlight w:val="none"/>
          <w:lang w:val="en-US" w:eastAsia="zh-CN"/>
        </w:rPr>
        <w:t>万元，本级财政安排项目资金支出0万元，项目预算资金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pPr>
        <w:pageBreakBefore w:val="0"/>
        <w:widowControl w:val="0"/>
        <w:kinsoku/>
        <w:wordWrap/>
        <w:overflowPunct/>
        <w:topLinePunct w:val="0"/>
        <w:autoSpaceDE/>
        <w:autoSpaceDN/>
        <w:bidi w:val="0"/>
        <w:adjustRightInd w:val="0"/>
        <w:snapToGrid w:val="0"/>
        <w:spacing w:line="560" w:lineRule="exact"/>
        <w:ind w:leftChars="0"/>
        <w:textAlignment w:val="auto"/>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）：其他群众团体事务支出117.95万元。</w:t>
      </w:r>
    </w:p>
    <w:bookmarkEnd w:id="2"/>
    <w:p>
      <w:pPr>
        <w:pStyle w:val="2"/>
        <w:pageBreakBefore w:val="0"/>
        <w:widowControl w:val="0"/>
        <w:kinsoku/>
        <w:wordWrap/>
        <w:overflowPunct/>
        <w:topLinePunct w:val="0"/>
        <w:autoSpaceDE/>
        <w:autoSpaceDN/>
        <w:bidi w:val="0"/>
        <w:adjustRightInd w:val="0"/>
        <w:snapToGrid w:val="0"/>
        <w:spacing w:line="560" w:lineRule="exact"/>
        <w:ind w:leftChars="0"/>
        <w:textAlignment w:val="auto"/>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pageBreakBefore w:val="0"/>
        <w:widowControl w:val="0"/>
        <w:kinsoku/>
        <w:wordWrap/>
        <w:overflowPunct/>
        <w:topLinePunct w:val="0"/>
        <w:autoSpaceDE/>
        <w:autoSpaceDN/>
        <w:bidi w:val="0"/>
        <w:adjustRightInd w:val="0"/>
        <w:snapToGrid w:val="0"/>
        <w:spacing w:line="560" w:lineRule="exact"/>
        <w:ind w:leftChars="0"/>
        <w:textAlignment w:val="auto"/>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13</w:t>
      </w:r>
      <w:r>
        <w:rPr>
          <w:rFonts w:hint="eastAsia"/>
          <w:color w:val="auto"/>
          <w:highlight w:val="none"/>
        </w:rPr>
        <w:t>个，三级指标</w:t>
      </w:r>
      <w:r>
        <w:rPr>
          <w:rFonts w:hint="eastAsia"/>
          <w:color w:val="auto"/>
          <w:highlight w:val="none"/>
          <w:lang w:val="en-US" w:eastAsia="zh-CN"/>
        </w:rPr>
        <w:t>13</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13</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3"/>
        <w:pageBreakBefore w:val="0"/>
        <w:widowControl w:val="0"/>
        <w:kinsoku/>
        <w:wordWrap/>
        <w:overflowPunct/>
        <w:topLinePunct w:val="0"/>
        <w:autoSpaceDE/>
        <w:autoSpaceDN/>
        <w:bidi w:val="0"/>
        <w:adjustRightInd w:val="0"/>
        <w:snapToGrid w:val="0"/>
        <w:spacing w:before="0" w:beforeLines="0" w:afterLines="0" w:line="560" w:lineRule="exact"/>
        <w:ind w:leftChars="0"/>
        <w:textAlignment w:val="auto"/>
        <w:rPr>
          <w:rFonts w:hint="eastAsia"/>
          <w:color w:val="auto"/>
          <w:highlight w:val="none"/>
        </w:rPr>
      </w:pPr>
      <w:r>
        <w:rPr>
          <w:rFonts w:hint="eastAsia"/>
          <w:color w:val="auto"/>
          <w:highlight w:val="none"/>
          <w:lang w:eastAsia="zh-CN"/>
        </w:rPr>
        <w:t>（</w:t>
      </w:r>
      <w:r>
        <w:rPr>
          <w:rFonts w:hint="eastAsia"/>
          <w:color w:val="auto"/>
          <w:highlight w:val="none"/>
          <w:lang w:val="en-US" w:eastAsia="zh-CN"/>
        </w:rPr>
        <w:t>一）单位基本履职人数</w:t>
      </w:r>
      <w:r>
        <w:rPr>
          <w:rFonts w:hint="eastAsia"/>
          <w:color w:val="auto"/>
          <w:highlight w:val="none"/>
        </w:rPr>
        <w:t>指标完成情况分析</w:t>
      </w:r>
    </w:p>
    <w:p>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单位基本履职人数指标年初设定目标是&gt;=4人，年中绩效运行监控时完成值4人，年终实际完成值是4人，指标完成率是100%，达到了保障我单位在职人员的基本工资、津贴补贴、奖金、绩效工资、机关事业单位基本养老保险缴费、职业年金缴费、职工基本医疗保险缴费、公务员医疗补助缴费、其他社会保障缴费、住房公积金等费用，2023年在职人员职数无变化。</w:t>
      </w:r>
    </w:p>
    <w:p>
      <w:pPr>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43" w:firstLineChars="200"/>
        <w:textAlignment w:val="auto"/>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（二）志愿者人数指标完成情况分析</w:t>
      </w:r>
    </w:p>
    <w:p>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志愿者人数指标年初设定目标是&lt;=132人，年终绩效运行监控时完成值是111人，年终实际完成值是130人，指标完成率是100%，达到了招募西部计划志愿者至少70人的目标，确保了志愿者补助资金及时足额发放，为志愿者的生活补贴及医保社保，按时缴纳和发放，在疆开展志愿服务期间生活得到保障。</w:t>
      </w:r>
    </w:p>
    <w:p>
      <w:pPr>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43" w:firstLineChars="200"/>
        <w:textAlignment w:val="auto"/>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（三）举办活动场次指标完成情况分析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举办活动场次指标年初设定目标是&gt;=20次，年终绩效运行监控时完成值是10</w:t>
      </w:r>
      <w:r>
        <w:rPr>
          <w:rFonts w:hint="eastAsia" w:cs="仿宋_GB2312"/>
          <w:b w:val="0"/>
          <w:bCs w:val="0"/>
          <w:color w:val="auto"/>
          <w:kern w:val="2"/>
          <w:sz w:val="28"/>
          <w:szCs w:val="24"/>
          <w:highlight w:val="none"/>
          <w:lang w:val="en-US" w:eastAsia="zh-CN" w:bidi="ar-SA"/>
        </w:rPr>
        <w:t>次</w:t>
      </w:r>
      <w:r>
        <w:rPr>
          <w:rFonts w:hint="eastAsia" w:ascii="仿宋_GB2312" w:hAnsi="仿宋_GB2312" w:eastAsia="仿宋" w:cs="仿宋_GB2312"/>
          <w:b w:val="0"/>
          <w:bCs w:val="0"/>
          <w:color w:val="auto"/>
          <w:kern w:val="2"/>
          <w:sz w:val="28"/>
          <w:szCs w:val="24"/>
          <w:highlight w:val="none"/>
          <w:lang w:val="en-US" w:eastAsia="zh-CN" w:bidi="ar-SA"/>
        </w:rPr>
        <w:t>，年终实际完成值是1</w:t>
      </w:r>
      <w:r>
        <w:rPr>
          <w:rFonts w:hint="eastAsia" w:cs="仿宋_GB2312"/>
          <w:b w:val="0"/>
          <w:bCs w:val="0"/>
          <w:color w:val="auto"/>
          <w:kern w:val="2"/>
          <w:sz w:val="28"/>
          <w:szCs w:val="24"/>
          <w:highlight w:val="none"/>
          <w:lang w:val="en-US" w:eastAsia="zh-CN" w:bidi="ar-SA"/>
        </w:rPr>
        <w:t>3</w:t>
      </w:r>
      <w:r>
        <w:rPr>
          <w:rFonts w:hint="eastAsia" w:ascii="仿宋_GB2312" w:hAnsi="仿宋_GB2312" w:eastAsia="仿宋" w:cs="仿宋_GB2312"/>
          <w:b w:val="0"/>
          <w:bCs w:val="0"/>
          <w:color w:val="auto"/>
          <w:kern w:val="2"/>
          <w:sz w:val="28"/>
          <w:szCs w:val="24"/>
          <w:highlight w:val="none"/>
          <w:lang w:val="en-US" w:eastAsia="zh-CN" w:bidi="ar-SA"/>
        </w:rPr>
        <w:t>0</w:t>
      </w:r>
      <w:r>
        <w:rPr>
          <w:rFonts w:hint="eastAsia" w:cs="仿宋_GB2312"/>
          <w:b w:val="0"/>
          <w:bCs w:val="0"/>
          <w:color w:val="auto"/>
          <w:kern w:val="2"/>
          <w:sz w:val="28"/>
          <w:szCs w:val="24"/>
          <w:highlight w:val="none"/>
          <w:lang w:val="en-US" w:eastAsia="zh-CN" w:bidi="ar-SA"/>
        </w:rPr>
        <w:t>次</w:t>
      </w:r>
      <w:r>
        <w:rPr>
          <w:rFonts w:hint="eastAsia" w:ascii="仿宋_GB2312" w:hAnsi="仿宋_GB2312" w:eastAsia="仿宋" w:cs="仿宋_GB2312"/>
          <w:b w:val="0"/>
          <w:bCs w:val="0"/>
          <w:color w:val="auto"/>
          <w:kern w:val="2"/>
          <w:sz w:val="28"/>
          <w:szCs w:val="24"/>
          <w:highlight w:val="none"/>
          <w:lang w:val="en-US" w:eastAsia="zh-CN" w:bidi="ar-SA"/>
        </w:rPr>
        <w:t>，指标完成率是</w:t>
      </w:r>
      <w:r>
        <w:rPr>
          <w:rFonts w:hint="eastAsia" w:cs="仿宋_GB2312"/>
          <w:b w:val="0"/>
          <w:bCs w:val="0"/>
          <w:color w:val="auto"/>
          <w:kern w:val="2"/>
          <w:sz w:val="28"/>
          <w:szCs w:val="24"/>
          <w:highlight w:val="none"/>
          <w:lang w:val="en-US" w:eastAsia="zh-CN" w:bidi="ar-SA"/>
        </w:rPr>
        <w:t>650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完成我单位及</w:t>
      </w:r>
      <w:r>
        <w:rPr>
          <w:rFonts w:hint="eastAsia" w:ascii="仿宋_GB2312" w:hAnsi="仿宋_GB2312" w:eastAsia="仿宋" w:cs="仿宋_GB2312"/>
          <w:b w:val="0"/>
          <w:bCs w:val="0"/>
          <w:color w:val="auto"/>
          <w:kern w:val="2"/>
          <w:sz w:val="28"/>
          <w:szCs w:val="24"/>
          <w:highlight w:val="none"/>
          <w:lang w:val="en-US" w:eastAsia="zh-CN" w:bidi="ar-SA"/>
        </w:rPr>
        <w:t>各乡镇、学校、县直、两新以及大学生西部计划志愿者团组织，开展</w:t>
      </w:r>
      <w:r>
        <w:rPr>
          <w:rFonts w:hint="eastAsia" w:cs="仿宋_GB2312"/>
          <w:b w:val="0"/>
          <w:bCs w:val="0"/>
          <w:color w:val="auto"/>
          <w:kern w:val="2"/>
          <w:sz w:val="28"/>
          <w:szCs w:val="24"/>
          <w:highlight w:val="none"/>
          <w:lang w:val="en-US" w:eastAsia="zh-CN" w:bidi="ar-SA"/>
        </w:rPr>
        <w:t>政策</w:t>
      </w:r>
      <w:r>
        <w:rPr>
          <w:rFonts w:hint="eastAsia" w:ascii="仿宋_GB2312" w:hAnsi="仿宋_GB2312" w:eastAsia="仿宋" w:cs="仿宋_GB2312"/>
          <w:b w:val="0"/>
          <w:bCs w:val="0"/>
          <w:color w:val="auto"/>
          <w:kern w:val="2"/>
          <w:sz w:val="28"/>
          <w:szCs w:val="24"/>
          <w:highlight w:val="none"/>
          <w:lang w:val="en-US" w:eastAsia="zh-CN" w:bidi="ar-SA"/>
        </w:rPr>
        <w:t>宣讲、环境卫生整治、关心关爱社会群体</w:t>
      </w:r>
      <w:r>
        <w:rPr>
          <w:rFonts w:hint="eastAsia" w:cs="仿宋_GB2312"/>
          <w:b w:val="0"/>
          <w:bCs w:val="0"/>
          <w:color w:val="auto"/>
          <w:kern w:val="2"/>
          <w:sz w:val="28"/>
          <w:szCs w:val="24"/>
          <w:highlight w:val="none"/>
          <w:lang w:val="en-US" w:eastAsia="zh-CN" w:bidi="ar-SA"/>
        </w:rPr>
        <w:t>、心理健康科普宣传、</w:t>
      </w:r>
      <w:r>
        <w:rPr>
          <w:rFonts w:hint="eastAsia" w:ascii="仿宋_GB2312" w:hAnsi="仿宋_GB2312" w:eastAsia="仿宋" w:cs="仿宋_GB2312"/>
          <w:b w:val="0"/>
          <w:bCs w:val="0"/>
          <w:color w:val="auto"/>
          <w:kern w:val="2"/>
          <w:sz w:val="28"/>
          <w:szCs w:val="24"/>
          <w:highlight w:val="none"/>
          <w:lang w:val="en-US" w:eastAsia="zh-CN" w:bidi="ar-SA"/>
        </w:rPr>
        <w:t>“共青团爱心生日会</w:t>
      </w:r>
      <w:r>
        <w:rPr>
          <w:rFonts w:hint="eastAsia" w:cs="仿宋_GB2312"/>
          <w:b w:val="0"/>
          <w:bCs w:val="0"/>
          <w:color w:val="auto"/>
          <w:kern w:val="2"/>
          <w:sz w:val="28"/>
          <w:szCs w:val="24"/>
          <w:highlight w:val="none"/>
          <w:lang w:val="en-US" w:eastAsia="zh-CN" w:bidi="ar-SA"/>
        </w:rPr>
        <w:t>”“</w:t>
      </w:r>
      <w:r>
        <w:rPr>
          <w:rFonts w:hint="eastAsia" w:ascii="仿宋_GB2312" w:hAnsi="仿宋_GB2312" w:eastAsia="仿宋" w:cs="仿宋_GB2312"/>
          <w:b w:val="0"/>
          <w:bCs w:val="0"/>
          <w:color w:val="auto"/>
          <w:kern w:val="2"/>
          <w:sz w:val="28"/>
          <w:szCs w:val="24"/>
          <w:highlight w:val="none"/>
          <w:lang w:val="en-US" w:eastAsia="zh-CN" w:bidi="ar-SA"/>
        </w:rPr>
        <w:t>红领巾小课堂”各类融情营等活动，截至目前，共开展相关活动130余场次。偏差原因：根据县域共青团改革目标要求，本年度为夯实基层组织建设，每</w:t>
      </w:r>
      <w:r>
        <w:rPr>
          <w:rFonts w:hint="eastAsia" w:cs="仿宋_GB2312"/>
          <w:b w:val="0"/>
          <w:bCs w:val="0"/>
          <w:color w:val="auto"/>
          <w:kern w:val="2"/>
          <w:sz w:val="28"/>
          <w:szCs w:val="24"/>
          <w:highlight w:val="none"/>
          <w:lang w:val="en-US" w:eastAsia="zh-CN" w:bidi="ar-SA"/>
        </w:rPr>
        <w:t>两</w:t>
      </w:r>
      <w:r>
        <w:rPr>
          <w:rFonts w:hint="eastAsia" w:ascii="仿宋_GB2312" w:hAnsi="仿宋_GB2312" w:eastAsia="仿宋" w:cs="仿宋_GB2312"/>
          <w:b w:val="0"/>
          <w:bCs w:val="0"/>
          <w:color w:val="auto"/>
          <w:kern w:val="2"/>
          <w:sz w:val="28"/>
          <w:szCs w:val="24"/>
          <w:highlight w:val="none"/>
          <w:lang w:val="en-US" w:eastAsia="zh-CN" w:bidi="ar-SA"/>
        </w:rPr>
        <w:t>周开展</w:t>
      </w:r>
      <w:r>
        <w:rPr>
          <w:rFonts w:hint="eastAsia" w:cs="仿宋_GB2312"/>
          <w:b w:val="0"/>
          <w:bCs w:val="0"/>
          <w:color w:val="auto"/>
          <w:kern w:val="2"/>
          <w:sz w:val="28"/>
          <w:szCs w:val="24"/>
          <w:highlight w:val="none"/>
          <w:lang w:val="en-US" w:eastAsia="zh-CN" w:bidi="ar-SA"/>
        </w:rPr>
        <w:t>1—2次</w:t>
      </w:r>
      <w:r>
        <w:rPr>
          <w:rFonts w:hint="eastAsia" w:ascii="仿宋_GB2312" w:hAnsi="仿宋_GB2312" w:eastAsia="仿宋" w:cs="仿宋_GB2312"/>
          <w:b w:val="0"/>
          <w:bCs w:val="0"/>
          <w:color w:val="auto"/>
          <w:kern w:val="2"/>
          <w:sz w:val="28"/>
          <w:szCs w:val="24"/>
          <w:highlight w:val="none"/>
          <w:lang w:val="en-US" w:eastAsia="zh-CN" w:bidi="ar-SA"/>
        </w:rPr>
        <w:t>团属青年活动、主题团日活动</w:t>
      </w:r>
      <w:r>
        <w:rPr>
          <w:rFonts w:hint="eastAsia" w:cs="仿宋_GB2312"/>
          <w:b w:val="0"/>
          <w:bCs w:val="0"/>
          <w:color w:val="auto"/>
          <w:kern w:val="2"/>
          <w:sz w:val="28"/>
          <w:szCs w:val="24"/>
          <w:highlight w:val="none"/>
          <w:lang w:val="en-US" w:eastAsia="zh-CN" w:bidi="ar-SA"/>
        </w:rPr>
        <w:t>、</w:t>
      </w:r>
      <w:r>
        <w:rPr>
          <w:rFonts w:hint="eastAsia" w:ascii="仿宋_GB2312" w:hAnsi="仿宋_GB2312" w:eastAsia="仿宋" w:cs="仿宋_GB2312"/>
          <w:b w:val="0"/>
          <w:bCs w:val="0"/>
          <w:color w:val="auto"/>
          <w:kern w:val="2"/>
          <w:sz w:val="28"/>
          <w:szCs w:val="24"/>
          <w:highlight w:val="none"/>
          <w:lang w:val="en-US" w:eastAsia="zh-CN" w:bidi="ar-SA"/>
        </w:rPr>
        <w:t>志愿服务</w:t>
      </w:r>
      <w:r>
        <w:rPr>
          <w:rFonts w:hint="eastAsia" w:cs="仿宋_GB2312"/>
          <w:b w:val="0"/>
          <w:bCs w:val="0"/>
          <w:color w:val="auto"/>
          <w:kern w:val="2"/>
          <w:sz w:val="28"/>
          <w:szCs w:val="24"/>
          <w:highlight w:val="none"/>
          <w:lang w:val="en-US" w:eastAsia="zh-CN" w:bidi="ar-SA"/>
        </w:rPr>
        <w:t>等</w:t>
      </w:r>
      <w:r>
        <w:rPr>
          <w:rFonts w:hint="eastAsia" w:ascii="仿宋_GB2312" w:hAnsi="仿宋_GB2312" w:eastAsia="仿宋" w:cs="仿宋_GB2312"/>
          <w:b w:val="0"/>
          <w:bCs w:val="0"/>
          <w:color w:val="auto"/>
          <w:kern w:val="2"/>
          <w:sz w:val="28"/>
          <w:szCs w:val="24"/>
          <w:highlight w:val="none"/>
          <w:lang w:val="en-US" w:eastAsia="zh-CN" w:bidi="ar-SA"/>
        </w:rPr>
        <w:t>活动</w:t>
      </w:r>
      <w:r>
        <w:rPr>
          <w:rFonts w:hint="eastAsia" w:cs="仿宋_GB2312"/>
          <w:b w:val="0"/>
          <w:bCs w:val="0"/>
          <w:color w:val="auto"/>
          <w:kern w:val="2"/>
          <w:sz w:val="28"/>
          <w:szCs w:val="24"/>
          <w:highlight w:val="none"/>
          <w:lang w:val="en-US" w:eastAsia="zh-CN" w:bidi="ar-SA"/>
        </w:rPr>
        <w:t>，下一步将做好前期调研工作，确保指标设置精确度</w:t>
      </w:r>
      <w:r>
        <w:rPr>
          <w:rFonts w:hint="eastAsia" w:ascii="仿宋_GB2312" w:hAnsi="仿宋_GB2312" w:eastAsia="仿宋" w:cs="仿宋_GB2312"/>
          <w:b w:val="0"/>
          <w:bCs w:val="0"/>
          <w:color w:val="auto"/>
          <w:kern w:val="2"/>
          <w:sz w:val="28"/>
          <w:szCs w:val="24"/>
          <w:highlight w:val="none"/>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（四）项目支出预算执行率指标完成情况分析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项目支出预算执行率指标年初设定目标是=100%，年终绩效运行监控时完成值是100%，年终实际完成值是100%，指标完成率是100%，达到了资金到位及时，资金使用合规合法，财务管理制度健全，项目管理制度健全，项目组织实施总体与目标无差异，无偏离。</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（五）资金规范管理使用率指标完成情况分析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资金规范管理使用率指标年初设定目标是=100%，年终绩效运行监控时完成值是100%，年终实际完成值是100%，指标完成率是100%，达到了资金使用合规合法，财务管理制度健全，项目管理制度健全，资金使用无截留、挤占、挪用、虚列支出等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（六）志愿者覆盖率指标完成情况分析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志愿者覆盖率指标年初设定目标是=100%，年终绩效运行监控时完成值是100%，年终实际完成值是100%，指标完成率是100%，达到了每月保障当月在岗志愿者的生活补贴发放及医保社保缴纳。</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（七）活动开展及时性指标完成情况分析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活动开展及时性指标年初设定目标是=100%，年终绩效运行监控时完成值是100%，年终实际完成值是100%，指标完成率是100%，达到了每月开展活动不少于2次。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（八）活动按时完成率指标完成情况分析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活动按时完成率指标年初设定目标是=100%，年终绩效运行监控时完成值是100%，年终实际完成值是100%，指标完成率是100%，利用我县“青年之家”“团代表联络站”等团属阵地，积极组织了具有针对性的培训教育和活动不少于10次，通过增加团干部的理论知识储备，提高团干履职能力，促进团建工作再上新台阶，开展了团干部培训、座谈、交流研讨活动不少于10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（九）资金发放及时率指标完成情况分析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志愿者生活水平保障率指标年初设定目标是=100%，年终绩效运行监控时完成值是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%，年终实际完成值是100%，指标完成率是100%，完成每月在职人员工资及志愿者补助资金及时足额发放，为志愿者的生活补贴及医保社保，按时缴纳和发放。</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（十）志愿者生活水平保障率指标完成情况分析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志愿者生活水平保障率指标年初设定目标是&gt;=98%，年终绩效运行监控时完成值是98%，年终实际完成值是100%，指标完成率是100%，每月保障志</w:t>
      </w:r>
      <w:r>
        <w:rPr>
          <w:rFonts w:hint="eastAsia" w:cs="仿宋_GB2312"/>
          <w:b w:val="0"/>
          <w:bCs w:val="0"/>
          <w:color w:val="auto"/>
          <w:kern w:val="2"/>
          <w:sz w:val="28"/>
          <w:szCs w:val="24"/>
          <w:highlight w:val="none"/>
          <w:lang w:val="en-US" w:eastAsia="zh-CN" w:bidi="ar-SA"/>
        </w:rPr>
        <w:t>愿</w:t>
      </w:r>
      <w:r>
        <w:rPr>
          <w:rFonts w:hint="eastAsia" w:ascii="仿宋_GB2312" w:hAnsi="仿宋_GB2312" w:eastAsia="仿宋" w:cs="仿宋_GB2312"/>
          <w:b w:val="0"/>
          <w:bCs w:val="0"/>
          <w:color w:val="auto"/>
          <w:kern w:val="2"/>
          <w:sz w:val="28"/>
          <w:szCs w:val="24"/>
          <w:highlight w:val="none"/>
          <w:lang w:val="en-US" w:eastAsia="zh-CN" w:bidi="ar-SA"/>
        </w:rPr>
        <w:t>者不少于3609.39元/人的补贴标准全额发放和缴纳。</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（十一）人才培养率指标完成情况分析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人才培养率指标年初设定目标是&gt;=90%，年终绩效运行监控完成值是</w:t>
      </w:r>
      <w:r>
        <w:rPr>
          <w:rFonts w:hint="eastAsia" w:cs="仿宋_GB2312"/>
          <w:b w:val="0"/>
          <w:bCs w:val="0"/>
          <w:color w:val="auto"/>
          <w:kern w:val="2"/>
          <w:sz w:val="28"/>
          <w:szCs w:val="24"/>
          <w:highlight w:val="none"/>
          <w:lang w:val="en-US" w:eastAsia="zh-CN" w:bidi="ar-SA"/>
        </w:rPr>
        <w:t>未达监控节点</w:t>
      </w:r>
      <w:r>
        <w:rPr>
          <w:rFonts w:hint="eastAsia" w:ascii="仿宋_GB2312" w:hAnsi="仿宋_GB2312" w:eastAsia="仿宋" w:cs="仿宋_GB2312"/>
          <w:b w:val="0"/>
          <w:bCs w:val="0"/>
          <w:color w:val="auto"/>
          <w:kern w:val="2"/>
          <w:sz w:val="28"/>
          <w:szCs w:val="24"/>
          <w:highlight w:val="none"/>
          <w:lang w:val="en-US" w:eastAsia="zh-CN" w:bidi="ar-SA"/>
        </w:rPr>
        <w:t>，年终实际完成值是100%，指标完成率是100%，</w:t>
      </w:r>
      <w:r>
        <w:rPr>
          <w:rFonts w:hint="eastAsia" w:cs="仿宋_GB2312"/>
          <w:b w:val="0"/>
          <w:bCs w:val="0"/>
          <w:color w:val="auto"/>
          <w:kern w:val="2"/>
          <w:sz w:val="28"/>
          <w:szCs w:val="24"/>
          <w:highlight w:val="none"/>
          <w:lang w:val="en-US" w:eastAsia="zh-CN" w:bidi="ar-SA"/>
        </w:rPr>
        <w:t>达到</w:t>
      </w:r>
      <w:r>
        <w:rPr>
          <w:rFonts w:hint="eastAsia" w:ascii="仿宋_GB2312" w:hAnsi="仿宋_GB2312" w:eastAsia="仿宋" w:cs="仿宋_GB2312"/>
          <w:b w:val="0"/>
          <w:bCs w:val="0"/>
          <w:color w:val="auto"/>
          <w:kern w:val="2"/>
          <w:sz w:val="28"/>
          <w:szCs w:val="24"/>
          <w:highlight w:val="none"/>
          <w:lang w:val="en-US" w:eastAsia="zh-CN" w:bidi="ar-SA"/>
        </w:rPr>
        <w:t>县域内在岗志愿者的能力素质得到提升，为我县各志愿者服务单位的提供人才保障，改善人才结构，引进新思想新力量。</w:t>
      </w:r>
    </w:p>
    <w:p>
      <w:pPr>
        <w:pStyle w:val="3"/>
        <w:pageBreakBefore w:val="0"/>
        <w:widowControl w:val="0"/>
        <w:kinsoku/>
        <w:wordWrap/>
        <w:overflowPunct/>
        <w:topLinePunct w:val="0"/>
        <w:autoSpaceDE/>
        <w:autoSpaceDN/>
        <w:bidi w:val="0"/>
        <w:adjustRightInd w:val="0"/>
        <w:snapToGrid w:val="0"/>
        <w:spacing w:before="0" w:beforeLines="0" w:afterLines="0" w:line="560" w:lineRule="exact"/>
        <w:ind w:leftChars="0"/>
        <w:textAlignment w:val="auto"/>
        <w:rPr>
          <w:rFonts w:hint="eastAsia"/>
          <w:color w:val="auto"/>
          <w:highlight w:val="none"/>
          <w:lang w:val="en-US" w:eastAsia="zh-CN"/>
        </w:rPr>
      </w:pPr>
      <w:r>
        <w:rPr>
          <w:rFonts w:hint="eastAsia"/>
          <w:color w:val="auto"/>
          <w:highlight w:val="none"/>
          <w:lang w:val="en-US" w:eastAsia="zh-CN"/>
        </w:rPr>
        <w:t>（十二）单位职工满意度指标完成情况分析</w:t>
      </w:r>
    </w:p>
    <w:p>
      <w:pPr>
        <w:pStyle w:val="3"/>
        <w:pageBreakBefore w:val="0"/>
        <w:widowControl w:val="0"/>
        <w:kinsoku/>
        <w:wordWrap/>
        <w:overflowPunct/>
        <w:topLinePunct w:val="0"/>
        <w:autoSpaceDE/>
        <w:autoSpaceDN/>
        <w:bidi w:val="0"/>
        <w:adjustRightInd w:val="0"/>
        <w:snapToGrid w:val="0"/>
        <w:spacing w:before="0" w:beforeLines="0" w:afterLines="0" w:line="560" w:lineRule="exact"/>
        <w:ind w:leftChars="0"/>
        <w:textAlignment w:val="auto"/>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单位职工满意度指标年初设定目标是&gt;=95%，年终绩效运行监控完成值是未达监控节点，年终实际完成值是100%，指标完成率是100%，根据向在职人员发放在线调查问卷的结果，4名我单位在职人员对生活正常运行的资金保障满意度整体较高。</w:t>
      </w:r>
    </w:p>
    <w:p>
      <w:pPr>
        <w:pStyle w:val="3"/>
        <w:pageBreakBefore w:val="0"/>
        <w:widowControl w:val="0"/>
        <w:kinsoku/>
        <w:wordWrap/>
        <w:overflowPunct/>
        <w:topLinePunct w:val="0"/>
        <w:autoSpaceDE/>
        <w:autoSpaceDN/>
        <w:bidi w:val="0"/>
        <w:adjustRightInd w:val="0"/>
        <w:snapToGrid w:val="0"/>
        <w:spacing w:before="0" w:beforeLines="0" w:afterLines="0" w:line="560" w:lineRule="exact"/>
        <w:ind w:leftChars="0"/>
        <w:textAlignment w:val="auto"/>
        <w:rPr>
          <w:rFonts w:hint="eastAsia"/>
          <w:color w:val="auto"/>
          <w:highlight w:val="none"/>
          <w:lang w:eastAsia="zh-CN"/>
        </w:rPr>
      </w:pPr>
      <w:r>
        <w:rPr>
          <w:rFonts w:hint="eastAsia"/>
          <w:color w:val="auto"/>
          <w:highlight w:val="none"/>
          <w:lang w:val="en-US" w:eastAsia="zh-CN"/>
        </w:rPr>
        <w:t>（十三）志愿者满意度指标完成情况分析</w:t>
      </w:r>
    </w:p>
    <w:p>
      <w:pPr>
        <w:pStyle w:val="2"/>
        <w:pageBreakBefore w:val="0"/>
        <w:widowControl w:val="0"/>
        <w:numPr>
          <w:ilvl w:val="0"/>
          <w:numId w:val="0"/>
        </w:numPr>
        <w:kinsoku/>
        <w:wordWrap/>
        <w:overflowPunct/>
        <w:topLinePunct w:val="0"/>
        <w:autoSpaceDE/>
        <w:autoSpaceDN/>
        <w:bidi w:val="0"/>
        <w:adjustRightInd w:val="0"/>
        <w:snapToGrid w:val="0"/>
        <w:spacing w:line="560" w:lineRule="exact"/>
        <w:ind w:leftChars="0" w:firstLine="560" w:firstLineChars="200"/>
        <w:textAlignment w:val="auto"/>
        <w:rPr>
          <w:rFonts w:hint="eastAsia" w:ascii="仿宋_GB2312" w:hAnsi="仿宋_GB2312" w:eastAsia="仿宋" w:cs="仿宋_GB2312"/>
          <w:bCs w:val="0"/>
          <w:color w:val="auto"/>
          <w:kern w:val="2"/>
          <w:sz w:val="28"/>
          <w:szCs w:val="24"/>
          <w:highlight w:val="none"/>
          <w:lang w:val="en-US" w:eastAsia="zh-CN" w:bidi="ar-SA"/>
        </w:rPr>
      </w:pPr>
      <w:r>
        <w:rPr>
          <w:rFonts w:hint="eastAsia" w:ascii="仿宋_GB2312" w:hAnsi="仿宋_GB2312" w:eastAsia="仿宋" w:cs="仿宋_GB2312"/>
          <w:bCs w:val="0"/>
          <w:color w:val="auto"/>
          <w:kern w:val="2"/>
          <w:sz w:val="28"/>
          <w:szCs w:val="24"/>
          <w:highlight w:val="none"/>
          <w:lang w:val="en-US" w:eastAsia="zh-CN" w:bidi="ar-SA"/>
        </w:rPr>
        <w:t>志愿者满意度指标年初设定目标是&gt;=95%，</w:t>
      </w:r>
      <w:r>
        <w:rPr>
          <w:rFonts w:hint="eastAsia" w:ascii="仿宋_GB2312" w:hAnsi="仿宋_GB2312" w:eastAsia="仿宋" w:cs="仿宋_GB2312"/>
          <w:b w:val="0"/>
          <w:bCs w:val="0"/>
          <w:color w:val="auto"/>
          <w:kern w:val="2"/>
          <w:sz w:val="28"/>
          <w:szCs w:val="24"/>
          <w:highlight w:val="none"/>
          <w:lang w:val="en-US" w:eastAsia="zh-CN" w:bidi="ar-SA"/>
        </w:rPr>
        <w:t>年终绩效运行监控完成值是未达监控节点</w:t>
      </w:r>
      <w:r>
        <w:rPr>
          <w:rFonts w:hint="eastAsia" w:ascii="仿宋_GB2312" w:hAnsi="仿宋_GB2312" w:eastAsia="仿宋" w:cs="仿宋_GB2312"/>
          <w:bCs w:val="0"/>
          <w:color w:val="auto"/>
          <w:kern w:val="2"/>
          <w:sz w:val="28"/>
          <w:szCs w:val="24"/>
          <w:highlight w:val="none"/>
          <w:lang w:val="en-US" w:eastAsia="zh-CN" w:bidi="ar-SA"/>
        </w:rPr>
        <w:t>，年终实际完成值是100%，指标完成率是100%，根据向志愿者发放在线调查问卷的结果，志愿者对我单位保障生活正常运行和开展团日活动、志愿服务活动的满意度整体较高。</w:t>
      </w:r>
    </w:p>
    <w:p>
      <w:pPr>
        <w:pStyle w:val="2"/>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textAlignment w:val="auto"/>
        <w:rPr>
          <w:rFonts w:hint="default"/>
          <w:color w:val="auto"/>
          <w:highlight w:val="none"/>
          <w:lang w:val="en-US"/>
        </w:rPr>
      </w:pPr>
      <w:r>
        <w:rPr>
          <w:rFonts w:hint="eastAsia"/>
          <w:color w:val="auto"/>
          <w:highlight w:val="none"/>
          <w:lang w:val="en-US" w:eastAsia="zh-CN"/>
        </w:rPr>
        <w:t>四、评价结论</w:t>
      </w:r>
    </w:p>
    <w:p>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bookmarkStart w:id="4" w:name="_Toc22800_WPSOffice_Level1"/>
    </w:p>
    <w:p>
      <w:pPr>
        <w:pageBreakBefore w:val="0"/>
        <w:widowControl w:val="0"/>
        <w:kinsoku/>
        <w:wordWrap/>
        <w:overflowPunct/>
        <w:topLinePunct w:val="0"/>
        <w:autoSpaceDE/>
        <w:autoSpaceDN/>
        <w:bidi w:val="0"/>
        <w:adjustRightInd w:val="0"/>
        <w:snapToGrid w:val="0"/>
        <w:spacing w:line="560" w:lineRule="exact"/>
        <w:ind w:leftChars="0"/>
        <w:textAlignment w:val="auto"/>
        <w:rPr>
          <w:rFonts w:hint="default"/>
          <w:color w:val="auto"/>
          <w:highlight w:val="none"/>
          <w:lang w:val="en-US" w:eastAsia="zh-CN"/>
        </w:rPr>
      </w:pPr>
      <w:r>
        <w:rPr>
          <w:rFonts w:hint="eastAsia"/>
          <w:color w:val="auto"/>
          <w:highlight w:val="none"/>
          <w:lang w:val="en-US" w:eastAsia="zh-CN"/>
        </w:rPr>
        <w:t>一是按月对本单位在职人员个人所得税进行汇算清缴、社保（医保）缴纳、公积金缴纳；按时上报在职人员工资，进行了单位在职人员3人的工资晋级和晋升工作；完成每月本县大学生西部计划志愿者生活补助发放、社保（医保）申请和缴纳。</w:t>
      </w:r>
    </w:p>
    <w:p>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二是上报政府采购、债务、资产等各类报表；根据财政局的要求，对存量资金清理、往来款项清理、公务卡使用情况自查、财政资金专项整治自查自纠工作、非税收入清查、财政供养人员工资关系及工资发放情况进行自查清理等对资金专项整治、非税收入、财政供养人员工资及工资发放、往来款项清理、公务卡等各方面做了自查清理工作。</w:t>
      </w:r>
    </w:p>
    <w:p>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三是上报</w:t>
      </w:r>
      <w:r>
        <w:rPr>
          <w:rFonts w:hint="default"/>
          <w:color w:val="auto"/>
          <w:highlight w:val="none"/>
          <w:lang w:val="en-US" w:eastAsia="zh-CN"/>
        </w:rPr>
        <w:t>2022年政府财务报告、2022年内部控制报告、2022年决算公开、2023年预算公开、2024年预算</w:t>
      </w:r>
      <w:r>
        <w:rPr>
          <w:rFonts w:hint="eastAsia"/>
          <w:color w:val="auto"/>
          <w:highlight w:val="none"/>
          <w:lang w:val="en-US" w:eastAsia="zh-CN"/>
        </w:rPr>
        <w:t>编制等，使预算更加切合实际，利于操作，确保了我委各项工作的顺利完成。</w:t>
      </w:r>
    </w:p>
    <w:p>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ascii="方正仿宋_GBK" w:hAnsi="方正仿宋_GBK" w:eastAsia="方正仿宋_GBK" w:cs="方正仿宋_GBK"/>
          <w:color w:val="auto"/>
          <w:sz w:val="32"/>
          <w:szCs w:val="32"/>
          <w:highlight w:val="none"/>
          <w:lang w:val="en-US" w:eastAsia="zh-CN"/>
        </w:rPr>
      </w:pPr>
      <w:r>
        <w:rPr>
          <w:rFonts w:hint="eastAsia"/>
          <w:color w:val="auto"/>
          <w:highlight w:val="none"/>
          <w:lang w:val="en-US" w:eastAsia="zh-CN"/>
        </w:rPr>
        <w:t>四是按月对发生的各项业务及时地进行电子账单</w:t>
      </w:r>
      <w:bookmarkStart w:id="6" w:name="_GoBack"/>
      <w:bookmarkEnd w:id="6"/>
      <w:r>
        <w:rPr>
          <w:rFonts w:hint="eastAsia"/>
          <w:color w:val="auto"/>
          <w:highlight w:val="none"/>
          <w:lang w:val="en-US" w:eastAsia="zh-CN"/>
        </w:rPr>
        <w:t>处理。做好预算绩效和绩效监控工作。根据县财政局要求，在财政局对部门预算编制的要求，设定年初整体和项目预算绩效目标，</w:t>
      </w:r>
      <w:r>
        <w:rPr>
          <w:rFonts w:hint="default"/>
          <w:color w:val="auto"/>
          <w:highlight w:val="none"/>
          <w:lang w:val="en-US" w:eastAsia="zh-CN"/>
        </w:rPr>
        <w:t>在5月、8月分别做了绩效监控，通过绩效监控工作，对完成情况和</w:t>
      </w:r>
      <w:r>
        <w:rPr>
          <w:rFonts w:hint="eastAsia"/>
          <w:color w:val="auto"/>
          <w:highlight w:val="none"/>
          <w:lang w:val="en-US" w:eastAsia="zh-CN"/>
        </w:rPr>
        <w:t>支付情况做了相应说明和下一步整改措施，提前完成了本年度工作任务。</w:t>
      </w:r>
    </w:p>
    <w:p>
      <w:pPr>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textAlignment w:val="auto"/>
        <w:rPr>
          <w:rFonts w:hint="eastAsia" w:ascii="宋体" w:hAnsi="宋体" w:eastAsia="黑体" w:cs="仿宋_GB2312"/>
          <w:bCs/>
          <w:color w:val="auto"/>
          <w:kern w:val="44"/>
          <w:sz w:val="32"/>
          <w:szCs w:val="44"/>
          <w:highlight w:val="none"/>
          <w:lang w:val="en-US" w:eastAsia="zh-CN" w:bidi="ar-SA"/>
        </w:rPr>
      </w:pPr>
      <w:r>
        <w:rPr>
          <w:rFonts w:hint="eastAsia" w:ascii="宋体" w:hAnsi="宋体" w:eastAsia="黑体" w:cs="仿宋_GB2312"/>
          <w:bCs/>
          <w:color w:val="auto"/>
          <w:kern w:val="44"/>
          <w:sz w:val="32"/>
          <w:szCs w:val="44"/>
          <w:highlight w:val="none"/>
          <w:lang w:val="en-US" w:eastAsia="zh-CN" w:bidi="ar-SA"/>
        </w:rPr>
        <w:t>五、存在的主要问题</w:t>
      </w:r>
      <w:bookmarkEnd w:id="4"/>
      <w:r>
        <w:rPr>
          <w:rFonts w:hint="eastAsia" w:ascii="宋体" w:hAnsi="宋体" w:eastAsia="黑体" w:cs="仿宋_GB2312"/>
          <w:bCs/>
          <w:color w:val="auto"/>
          <w:kern w:val="44"/>
          <w:sz w:val="32"/>
          <w:szCs w:val="44"/>
          <w:highlight w:val="none"/>
          <w:lang w:val="en-US" w:eastAsia="zh-CN" w:bidi="ar-SA"/>
        </w:rPr>
        <w:t>及原因分析</w:t>
      </w:r>
    </w:p>
    <w:p>
      <w:pPr>
        <w:pageBreakBefore w:val="0"/>
        <w:widowControl w:val="0"/>
        <w:numPr>
          <w:ilvl w:val="0"/>
          <w:numId w:val="0"/>
        </w:numPr>
        <w:kinsoku/>
        <w:wordWrap/>
        <w:overflowPunct/>
        <w:topLinePunct w:val="0"/>
        <w:autoSpaceDE/>
        <w:autoSpaceDN/>
        <w:bidi w:val="0"/>
        <w:adjustRightInd w:val="0"/>
        <w:snapToGrid w:val="0"/>
        <w:spacing w:line="560" w:lineRule="exact"/>
        <w:ind w:leftChars="0" w:firstLine="560" w:firstLineChars="200"/>
        <w:textAlignment w:val="auto"/>
        <w:rPr>
          <w:rFonts w:hint="eastAsia" w:ascii="仿宋_GB2312" w:hAnsi="仿宋_GB2312" w:eastAsia="仿宋" w:cs="仿宋_GB2312"/>
          <w:bCs w:val="0"/>
          <w:color w:val="auto"/>
          <w:kern w:val="2"/>
          <w:sz w:val="28"/>
          <w:szCs w:val="24"/>
          <w:highlight w:val="none"/>
          <w:lang w:val="en-US" w:eastAsia="zh-CN" w:bidi="ar-SA"/>
        </w:rPr>
      </w:pPr>
      <w:bookmarkStart w:id="5" w:name="_Toc29546_WPSOffice_Level1"/>
      <w:r>
        <w:rPr>
          <w:rFonts w:hint="eastAsia" w:ascii="仿宋_GB2312" w:hAnsi="仿宋_GB2312" w:eastAsia="仿宋" w:cs="仿宋_GB2312"/>
          <w:bCs w:val="0"/>
          <w:color w:val="auto"/>
          <w:kern w:val="2"/>
          <w:sz w:val="28"/>
          <w:szCs w:val="24"/>
          <w:highlight w:val="none"/>
          <w:lang w:val="en-US" w:eastAsia="zh-CN" w:bidi="ar-SA"/>
        </w:rPr>
        <w:t>1</w:t>
      </w:r>
      <w:r>
        <w:rPr>
          <w:rFonts w:hint="eastAsia" w:cs="仿宋_GB2312"/>
          <w:bCs w:val="0"/>
          <w:color w:val="auto"/>
          <w:kern w:val="2"/>
          <w:sz w:val="28"/>
          <w:szCs w:val="24"/>
          <w:highlight w:val="none"/>
          <w:lang w:val="en-US" w:eastAsia="zh-CN" w:bidi="ar-SA"/>
        </w:rPr>
        <w:t xml:space="preserve">. </w:t>
      </w:r>
      <w:r>
        <w:rPr>
          <w:rFonts w:hint="eastAsia" w:ascii="仿宋_GB2312" w:hAnsi="仿宋_GB2312" w:eastAsia="仿宋" w:cs="仿宋_GB2312"/>
          <w:bCs w:val="0"/>
          <w:color w:val="auto"/>
          <w:kern w:val="2"/>
          <w:sz w:val="28"/>
          <w:szCs w:val="24"/>
          <w:highlight w:val="none"/>
          <w:lang w:val="en-US" w:eastAsia="zh-CN" w:bidi="ar-SA"/>
        </w:rPr>
        <w:t>本单位财务管理制度不够完善，执行力度不强。</w:t>
      </w:r>
    </w:p>
    <w:p>
      <w:pPr>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560" w:firstLineChars="200"/>
        <w:textAlignment w:val="auto"/>
        <w:rPr>
          <w:rFonts w:hint="default" w:ascii="仿宋_GB2312" w:hAnsi="仿宋_GB2312" w:eastAsia="仿宋" w:cs="仿宋_GB2312"/>
          <w:bCs w:val="0"/>
          <w:color w:val="auto"/>
          <w:kern w:val="2"/>
          <w:sz w:val="28"/>
          <w:szCs w:val="24"/>
          <w:highlight w:val="none"/>
          <w:lang w:val="en-US" w:eastAsia="zh-CN" w:bidi="ar-SA"/>
        </w:rPr>
      </w:pPr>
      <w:r>
        <w:rPr>
          <w:rFonts w:hint="eastAsia" w:ascii="仿宋_GB2312" w:hAnsi="仿宋_GB2312" w:eastAsia="仿宋" w:cs="仿宋_GB2312"/>
          <w:bCs w:val="0"/>
          <w:color w:val="auto"/>
          <w:kern w:val="2"/>
          <w:sz w:val="28"/>
          <w:szCs w:val="24"/>
          <w:highlight w:val="none"/>
          <w:lang w:val="en-US" w:eastAsia="zh-CN" w:bidi="ar-SA"/>
        </w:rPr>
        <w:t>2</w:t>
      </w:r>
      <w:r>
        <w:rPr>
          <w:rFonts w:hint="eastAsia" w:cs="仿宋_GB2312"/>
          <w:bCs w:val="0"/>
          <w:color w:val="auto"/>
          <w:kern w:val="2"/>
          <w:sz w:val="28"/>
          <w:szCs w:val="24"/>
          <w:highlight w:val="none"/>
          <w:lang w:val="en-US" w:eastAsia="zh-CN" w:bidi="ar-SA"/>
        </w:rPr>
        <w:t>. 预算编制内容目标设置的随意性较大，不能反映出每个预算周期内预算资金的运行轨迹，未能体现设置指标的真实情况。</w:t>
      </w:r>
    </w:p>
    <w:p>
      <w:pPr>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textAlignment w:val="auto"/>
        <w:rPr>
          <w:rFonts w:hint="eastAsia" w:ascii="宋体" w:hAnsi="宋体" w:eastAsia="黑体" w:cs="仿宋_GB2312"/>
          <w:bCs/>
          <w:color w:val="auto"/>
          <w:kern w:val="44"/>
          <w:sz w:val="32"/>
          <w:szCs w:val="44"/>
          <w:highlight w:val="none"/>
          <w:lang w:val="en-US" w:eastAsia="zh-CN" w:bidi="ar-SA"/>
        </w:rPr>
      </w:pPr>
      <w:r>
        <w:rPr>
          <w:rFonts w:hint="eastAsia" w:ascii="宋体" w:hAnsi="宋体" w:eastAsia="黑体" w:cs="仿宋_GB2312"/>
          <w:bCs/>
          <w:color w:val="auto"/>
          <w:kern w:val="44"/>
          <w:sz w:val="32"/>
          <w:szCs w:val="44"/>
          <w:highlight w:val="none"/>
          <w:lang w:val="en-US" w:eastAsia="zh-CN" w:bidi="ar-SA"/>
        </w:rPr>
        <w:t>六、改进措施和建议</w:t>
      </w:r>
      <w:bookmarkEnd w:id="5"/>
    </w:p>
    <w:p>
      <w:pPr>
        <w:pageBreakBefore w:val="0"/>
        <w:widowControl w:val="0"/>
        <w:numPr>
          <w:ilvl w:val="0"/>
          <w:numId w:val="0"/>
        </w:numPr>
        <w:kinsoku/>
        <w:wordWrap/>
        <w:overflowPunct/>
        <w:topLinePunct w:val="0"/>
        <w:autoSpaceDE/>
        <w:autoSpaceDN/>
        <w:bidi w:val="0"/>
        <w:adjustRightInd w:val="0"/>
        <w:snapToGrid w:val="0"/>
        <w:spacing w:line="560" w:lineRule="exact"/>
        <w:ind w:leftChars="0" w:firstLine="560" w:firstLineChars="200"/>
        <w:textAlignment w:val="auto"/>
        <w:rPr>
          <w:rFonts w:hint="eastAsia" w:ascii="仿宋_GB2312" w:hAnsi="仿宋_GB2312" w:eastAsia="仿宋" w:cs="仿宋_GB2312"/>
          <w:bCs w:val="0"/>
          <w:color w:val="auto"/>
          <w:kern w:val="2"/>
          <w:sz w:val="28"/>
          <w:szCs w:val="24"/>
          <w:highlight w:val="none"/>
          <w:lang w:val="en-US" w:eastAsia="zh-CN" w:bidi="ar-SA"/>
        </w:rPr>
      </w:pPr>
      <w:r>
        <w:rPr>
          <w:rFonts w:hint="eastAsia" w:ascii="仿宋_GB2312" w:hAnsi="仿宋_GB2312" w:eastAsia="仿宋" w:cs="仿宋_GB2312"/>
          <w:bCs w:val="0"/>
          <w:color w:val="auto"/>
          <w:kern w:val="2"/>
          <w:sz w:val="28"/>
          <w:szCs w:val="24"/>
          <w:highlight w:val="none"/>
          <w:lang w:val="en-US" w:eastAsia="zh-CN" w:bidi="ar-SA"/>
        </w:rPr>
        <w:t>针对上述存在的问题及整体支出管理工作的需要，实施改进措施如下：</w:t>
      </w:r>
    </w:p>
    <w:p>
      <w:pPr>
        <w:pageBreakBefore w:val="0"/>
        <w:widowControl w:val="0"/>
        <w:numPr>
          <w:ilvl w:val="0"/>
          <w:numId w:val="0"/>
        </w:numPr>
        <w:kinsoku/>
        <w:wordWrap/>
        <w:overflowPunct/>
        <w:topLinePunct w:val="0"/>
        <w:autoSpaceDE/>
        <w:autoSpaceDN/>
        <w:bidi w:val="0"/>
        <w:adjustRightInd w:val="0"/>
        <w:snapToGrid w:val="0"/>
        <w:spacing w:line="560" w:lineRule="exact"/>
        <w:ind w:leftChars="0" w:firstLine="560" w:firstLineChars="200"/>
        <w:textAlignment w:val="auto"/>
        <w:rPr>
          <w:rFonts w:hint="eastAsia" w:ascii="仿宋_GB2312" w:hAnsi="仿宋_GB2312" w:eastAsia="仿宋" w:cs="仿宋_GB2312"/>
          <w:bCs w:val="0"/>
          <w:color w:val="auto"/>
          <w:kern w:val="2"/>
          <w:sz w:val="28"/>
          <w:szCs w:val="24"/>
          <w:highlight w:val="none"/>
          <w:lang w:val="en-US" w:eastAsia="zh-CN" w:bidi="ar-SA"/>
        </w:rPr>
      </w:pPr>
      <w:r>
        <w:rPr>
          <w:rFonts w:hint="eastAsia" w:cs="仿宋_GB2312"/>
          <w:bCs w:val="0"/>
          <w:color w:val="auto"/>
          <w:kern w:val="2"/>
          <w:sz w:val="28"/>
          <w:szCs w:val="24"/>
          <w:highlight w:val="none"/>
          <w:lang w:val="en-US" w:eastAsia="zh-CN" w:bidi="ar-SA"/>
        </w:rPr>
        <w:t>1.</w:t>
      </w:r>
      <w:r>
        <w:rPr>
          <w:rFonts w:hint="eastAsia" w:ascii="仿宋_GB2312" w:hAnsi="仿宋_GB2312" w:eastAsia="仿宋" w:cs="仿宋_GB2312"/>
          <w:bCs w:val="0"/>
          <w:color w:val="auto"/>
          <w:kern w:val="2"/>
          <w:sz w:val="28"/>
          <w:szCs w:val="24"/>
          <w:highlight w:val="none"/>
          <w:lang w:val="en-US" w:eastAsia="zh-CN" w:bidi="ar-SA"/>
        </w:rPr>
        <w:t>强化支出预算约束。进一步提高年初预算编制的科学性和准确性，完善预算执行动态约束机制，加强财政预算资金管理，统筹协调推进项目执行，提高财政资金效益和效果。强化内部控制管理。严格按规定做好绩效目标申报、自评、公开等相关工作，提高财政资金使用绩效；加强实物资产管理，健全资产管理制度，规范资产清查和核算。</w:t>
      </w:r>
    </w:p>
    <w:p>
      <w:pPr>
        <w:pageBreakBefore w:val="0"/>
        <w:widowControl w:val="0"/>
        <w:numPr>
          <w:ilvl w:val="0"/>
          <w:numId w:val="0"/>
        </w:numPr>
        <w:kinsoku/>
        <w:wordWrap/>
        <w:overflowPunct/>
        <w:topLinePunct w:val="0"/>
        <w:autoSpaceDE/>
        <w:autoSpaceDN/>
        <w:bidi w:val="0"/>
        <w:adjustRightInd w:val="0"/>
        <w:snapToGrid w:val="0"/>
        <w:spacing w:line="560" w:lineRule="exact"/>
        <w:ind w:leftChars="0" w:firstLine="560" w:firstLineChars="200"/>
        <w:textAlignment w:val="auto"/>
        <w:rPr>
          <w:rFonts w:hint="eastAsia" w:ascii="仿宋_GB2312" w:hAnsi="仿宋_GB2312" w:eastAsia="仿宋" w:cs="仿宋_GB2312"/>
          <w:bCs w:val="0"/>
          <w:color w:val="auto"/>
          <w:kern w:val="2"/>
          <w:sz w:val="28"/>
          <w:szCs w:val="24"/>
          <w:highlight w:val="none"/>
          <w:lang w:val="en-US" w:eastAsia="zh-CN" w:bidi="ar-SA"/>
        </w:rPr>
      </w:pPr>
      <w:r>
        <w:rPr>
          <w:rFonts w:hint="eastAsia" w:cs="仿宋_GB2312"/>
          <w:bCs w:val="0"/>
          <w:color w:val="auto"/>
          <w:kern w:val="2"/>
          <w:sz w:val="28"/>
          <w:szCs w:val="24"/>
          <w:highlight w:val="none"/>
          <w:lang w:val="en-US" w:eastAsia="zh-CN" w:bidi="ar-SA"/>
        </w:rPr>
        <w:t>2.</w:t>
      </w:r>
      <w:r>
        <w:rPr>
          <w:rFonts w:hint="eastAsia" w:ascii="仿宋_GB2312" w:hAnsi="仿宋_GB2312" w:eastAsia="仿宋" w:cs="仿宋_GB2312"/>
          <w:bCs w:val="0"/>
          <w:color w:val="auto"/>
          <w:kern w:val="2"/>
          <w:sz w:val="28"/>
          <w:szCs w:val="24"/>
          <w:highlight w:val="none"/>
          <w:lang w:val="en-US" w:eastAsia="zh-CN" w:bidi="ar-SA"/>
        </w:rPr>
        <w:t>进一步提高绩效管理水平。由于目前的预算管理在编制和实施中还存在编制不细、预算调整较多、追加预算比重较大等现象</w:t>
      </w:r>
      <w:r>
        <w:rPr>
          <w:rFonts w:hint="eastAsia" w:cs="仿宋_GB2312"/>
          <w:bCs w:val="0"/>
          <w:color w:val="auto"/>
          <w:kern w:val="2"/>
          <w:sz w:val="28"/>
          <w:szCs w:val="24"/>
          <w:highlight w:val="none"/>
          <w:lang w:val="en-US" w:eastAsia="zh-CN" w:bidi="ar-SA"/>
        </w:rPr>
        <w:t>，</w:t>
      </w:r>
      <w:r>
        <w:rPr>
          <w:rFonts w:hint="eastAsia" w:ascii="仿宋_GB2312" w:hAnsi="仿宋_GB2312" w:eastAsia="仿宋" w:cs="仿宋_GB2312"/>
          <w:bCs w:val="0"/>
          <w:color w:val="auto"/>
          <w:kern w:val="2"/>
          <w:sz w:val="28"/>
          <w:szCs w:val="24"/>
          <w:highlight w:val="none"/>
          <w:lang w:val="en-US" w:eastAsia="zh-CN" w:bidi="ar-SA"/>
        </w:rPr>
        <w:t>因此项目预算执行的准确性还有待加强</w:t>
      </w:r>
      <w:r>
        <w:rPr>
          <w:rFonts w:hint="eastAsia" w:cs="仿宋_GB2312"/>
          <w:bCs w:val="0"/>
          <w:color w:val="auto"/>
          <w:kern w:val="2"/>
          <w:sz w:val="28"/>
          <w:szCs w:val="24"/>
          <w:highlight w:val="none"/>
          <w:lang w:val="en-US" w:eastAsia="zh-CN" w:bidi="ar-SA"/>
        </w:rPr>
        <w:t>，</w:t>
      </w:r>
      <w:r>
        <w:rPr>
          <w:rFonts w:hint="eastAsia" w:ascii="仿宋_GB2312" w:hAnsi="仿宋_GB2312" w:eastAsia="仿宋" w:cs="仿宋_GB2312"/>
          <w:bCs w:val="0"/>
          <w:color w:val="auto"/>
          <w:kern w:val="2"/>
          <w:sz w:val="28"/>
          <w:szCs w:val="24"/>
          <w:highlight w:val="none"/>
          <w:lang w:val="en-US" w:eastAsia="zh-CN" w:bidi="ar-SA"/>
        </w:rPr>
        <w:t>同时分析手段和技术水平上还有待完善。在今后的工作中</w:t>
      </w:r>
      <w:r>
        <w:rPr>
          <w:rFonts w:hint="eastAsia" w:cs="仿宋_GB2312"/>
          <w:bCs w:val="0"/>
          <w:color w:val="auto"/>
          <w:kern w:val="2"/>
          <w:sz w:val="28"/>
          <w:szCs w:val="24"/>
          <w:highlight w:val="none"/>
          <w:lang w:val="en-US" w:eastAsia="zh-CN" w:bidi="ar-SA"/>
        </w:rPr>
        <w:t>，</w:t>
      </w:r>
      <w:r>
        <w:rPr>
          <w:rFonts w:hint="eastAsia" w:ascii="仿宋_GB2312" w:hAnsi="仿宋_GB2312" w:eastAsia="仿宋" w:cs="仿宋_GB2312"/>
          <w:bCs w:val="0"/>
          <w:color w:val="auto"/>
          <w:kern w:val="2"/>
          <w:sz w:val="28"/>
          <w:szCs w:val="24"/>
          <w:highlight w:val="none"/>
          <w:lang w:val="en-US" w:eastAsia="zh-CN" w:bidi="ar-SA"/>
        </w:rPr>
        <w:t>我们将加强与财政部门的紧密配合</w:t>
      </w:r>
      <w:r>
        <w:rPr>
          <w:rFonts w:hint="eastAsia" w:cs="仿宋_GB2312"/>
          <w:bCs w:val="0"/>
          <w:color w:val="auto"/>
          <w:kern w:val="2"/>
          <w:sz w:val="28"/>
          <w:szCs w:val="24"/>
          <w:highlight w:val="none"/>
          <w:lang w:val="en-US" w:eastAsia="zh-CN" w:bidi="ar-SA"/>
        </w:rPr>
        <w:t>，</w:t>
      </w:r>
      <w:r>
        <w:rPr>
          <w:rFonts w:hint="eastAsia" w:ascii="仿宋_GB2312" w:hAnsi="仿宋_GB2312" w:eastAsia="仿宋" w:cs="仿宋_GB2312"/>
          <w:bCs w:val="0"/>
          <w:color w:val="auto"/>
          <w:kern w:val="2"/>
          <w:sz w:val="28"/>
          <w:szCs w:val="24"/>
          <w:highlight w:val="none"/>
          <w:lang w:val="en-US" w:eastAsia="zh-CN" w:bidi="ar-SA"/>
        </w:rPr>
        <w:t>开展好整体支出及项目资金绩效管理工作</w:t>
      </w:r>
      <w:r>
        <w:rPr>
          <w:rFonts w:hint="eastAsia" w:cs="仿宋_GB2312"/>
          <w:bCs w:val="0"/>
          <w:color w:val="auto"/>
          <w:kern w:val="2"/>
          <w:sz w:val="28"/>
          <w:szCs w:val="24"/>
          <w:highlight w:val="none"/>
          <w:lang w:val="en-US" w:eastAsia="zh-CN" w:bidi="ar-SA"/>
        </w:rPr>
        <w:t>，</w:t>
      </w:r>
      <w:r>
        <w:rPr>
          <w:rFonts w:hint="eastAsia" w:ascii="仿宋_GB2312" w:hAnsi="仿宋_GB2312" w:eastAsia="仿宋" w:cs="仿宋_GB2312"/>
          <w:bCs w:val="0"/>
          <w:color w:val="auto"/>
          <w:kern w:val="2"/>
          <w:sz w:val="28"/>
          <w:szCs w:val="24"/>
          <w:highlight w:val="none"/>
          <w:lang w:val="en-US" w:eastAsia="zh-CN" w:bidi="ar-SA"/>
        </w:rPr>
        <w:t>运用好绩效评价的结果</w:t>
      </w:r>
      <w:r>
        <w:rPr>
          <w:rFonts w:hint="eastAsia" w:cs="仿宋_GB2312"/>
          <w:bCs w:val="0"/>
          <w:color w:val="auto"/>
          <w:kern w:val="2"/>
          <w:sz w:val="28"/>
          <w:szCs w:val="24"/>
          <w:highlight w:val="none"/>
          <w:lang w:val="en-US" w:eastAsia="zh-CN" w:bidi="ar-SA"/>
        </w:rPr>
        <w:t>，</w:t>
      </w:r>
      <w:r>
        <w:rPr>
          <w:rFonts w:hint="eastAsia" w:ascii="仿宋_GB2312" w:hAnsi="仿宋_GB2312" w:eastAsia="仿宋" w:cs="仿宋_GB2312"/>
          <w:bCs w:val="0"/>
          <w:color w:val="auto"/>
          <w:kern w:val="2"/>
          <w:sz w:val="28"/>
          <w:szCs w:val="24"/>
          <w:highlight w:val="none"/>
          <w:lang w:val="en-US" w:eastAsia="zh-CN" w:bidi="ar-SA"/>
        </w:rPr>
        <w:t>不断提升预算管理水平。</w:t>
      </w:r>
    </w:p>
    <w:p>
      <w:pPr>
        <w:pStyle w:val="2"/>
        <w:pageBreakBefore w:val="0"/>
        <w:widowControl w:val="0"/>
        <w:kinsoku/>
        <w:wordWrap/>
        <w:overflowPunct/>
        <w:topLinePunct w:val="0"/>
        <w:autoSpaceDE/>
        <w:autoSpaceDN/>
        <w:bidi w:val="0"/>
        <w:adjustRightInd w:val="0"/>
        <w:snapToGrid w:val="0"/>
        <w:spacing w:line="560" w:lineRule="exact"/>
        <w:ind w:leftChars="0"/>
        <w:textAlignment w:val="auto"/>
        <w:rPr>
          <w:rFonts w:hint="default"/>
          <w:color w:val="auto"/>
          <w:highlight w:val="none"/>
          <w:lang w:val="en-US" w:eastAsia="zh-CN"/>
        </w:rPr>
      </w:pPr>
      <w:r>
        <w:rPr>
          <w:rFonts w:hint="eastAsia"/>
          <w:color w:val="auto"/>
          <w:highlight w:val="none"/>
          <w:lang w:val="en-US" w:eastAsia="zh-CN"/>
        </w:rPr>
        <w:t>七、附件上传</w:t>
      </w:r>
    </w:p>
    <w:p>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color w:val="auto"/>
          <w:highlight w:val="none"/>
          <w:lang w:val="en-US" w:eastAsia="zh-CN"/>
        </w:rPr>
      </w:pPr>
    </w:p>
    <w:sectPr>
      <w:footerReference r:id="rId5" w:type="default"/>
      <w:pgSz w:w="11906" w:h="16838"/>
      <w:pgMar w:top="1871" w:right="1531" w:bottom="1984" w:left="1531" w:header="1077" w:footer="1644"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方正仿宋_GBK">
    <w:panose1 w:val="02000000000000000000"/>
    <w:charset w:val="86"/>
    <w:family w:val="script"/>
    <w:pitch w:val="default"/>
    <w:sig w:usb0="A00002BF" w:usb1="38CF7CFA" w:usb2="00082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941124"/>
    <w:rsid w:val="01CC583F"/>
    <w:rsid w:val="02337D11"/>
    <w:rsid w:val="02C40969"/>
    <w:rsid w:val="04DB4953"/>
    <w:rsid w:val="04FF0482"/>
    <w:rsid w:val="05062887"/>
    <w:rsid w:val="05464D81"/>
    <w:rsid w:val="05BC3AE4"/>
    <w:rsid w:val="05F70F85"/>
    <w:rsid w:val="0607573C"/>
    <w:rsid w:val="06547701"/>
    <w:rsid w:val="072B19D6"/>
    <w:rsid w:val="084208C4"/>
    <w:rsid w:val="098A3C0A"/>
    <w:rsid w:val="09A24E4E"/>
    <w:rsid w:val="0A9A7091"/>
    <w:rsid w:val="0C6738B8"/>
    <w:rsid w:val="0E7D784C"/>
    <w:rsid w:val="10300946"/>
    <w:rsid w:val="10FE60D7"/>
    <w:rsid w:val="134F7771"/>
    <w:rsid w:val="13E513B9"/>
    <w:rsid w:val="158C5316"/>
    <w:rsid w:val="15B904C0"/>
    <w:rsid w:val="165C118C"/>
    <w:rsid w:val="172D035F"/>
    <w:rsid w:val="175D58E3"/>
    <w:rsid w:val="17D279C3"/>
    <w:rsid w:val="18061B60"/>
    <w:rsid w:val="190C3DF8"/>
    <w:rsid w:val="19AA4D08"/>
    <w:rsid w:val="19F83E30"/>
    <w:rsid w:val="1B403139"/>
    <w:rsid w:val="1C6D319F"/>
    <w:rsid w:val="1D384A93"/>
    <w:rsid w:val="1D4D74D6"/>
    <w:rsid w:val="1DE32CFD"/>
    <w:rsid w:val="1F1A602A"/>
    <w:rsid w:val="1F2854B6"/>
    <w:rsid w:val="217D20CE"/>
    <w:rsid w:val="21C67E02"/>
    <w:rsid w:val="21C768CD"/>
    <w:rsid w:val="22E14253"/>
    <w:rsid w:val="23931BB2"/>
    <w:rsid w:val="23F209A3"/>
    <w:rsid w:val="2403516E"/>
    <w:rsid w:val="256A2A9E"/>
    <w:rsid w:val="26164D86"/>
    <w:rsid w:val="27F7226E"/>
    <w:rsid w:val="2805537E"/>
    <w:rsid w:val="289437EE"/>
    <w:rsid w:val="297873DB"/>
    <w:rsid w:val="29F35E61"/>
    <w:rsid w:val="2A285817"/>
    <w:rsid w:val="2B6F150A"/>
    <w:rsid w:val="2BB557CB"/>
    <w:rsid w:val="2BC51751"/>
    <w:rsid w:val="2D166684"/>
    <w:rsid w:val="2EBF757D"/>
    <w:rsid w:val="2F61672F"/>
    <w:rsid w:val="313A1C72"/>
    <w:rsid w:val="31927D00"/>
    <w:rsid w:val="31AE39CE"/>
    <w:rsid w:val="31B83F5F"/>
    <w:rsid w:val="328E2AB6"/>
    <w:rsid w:val="329B12EA"/>
    <w:rsid w:val="32FB1A54"/>
    <w:rsid w:val="33291F9F"/>
    <w:rsid w:val="33A83F87"/>
    <w:rsid w:val="340D2D0F"/>
    <w:rsid w:val="348F1A9E"/>
    <w:rsid w:val="355C2B3F"/>
    <w:rsid w:val="356B4AF0"/>
    <w:rsid w:val="35F12468"/>
    <w:rsid w:val="36851B5C"/>
    <w:rsid w:val="3712771B"/>
    <w:rsid w:val="37661A13"/>
    <w:rsid w:val="379871D0"/>
    <w:rsid w:val="37BA58BB"/>
    <w:rsid w:val="37D360CA"/>
    <w:rsid w:val="38CB5066"/>
    <w:rsid w:val="38E054C9"/>
    <w:rsid w:val="3A565DE9"/>
    <w:rsid w:val="3AC36A27"/>
    <w:rsid w:val="3F301058"/>
    <w:rsid w:val="417A34F9"/>
    <w:rsid w:val="418810F4"/>
    <w:rsid w:val="41A37673"/>
    <w:rsid w:val="42503F5E"/>
    <w:rsid w:val="42C30950"/>
    <w:rsid w:val="44CD27C7"/>
    <w:rsid w:val="454B3FCA"/>
    <w:rsid w:val="459B4F7E"/>
    <w:rsid w:val="45A65C7F"/>
    <w:rsid w:val="45F13359"/>
    <w:rsid w:val="468C2A4A"/>
    <w:rsid w:val="46AD2493"/>
    <w:rsid w:val="46EC7F14"/>
    <w:rsid w:val="47CA7D9C"/>
    <w:rsid w:val="47DB3D58"/>
    <w:rsid w:val="48194880"/>
    <w:rsid w:val="48AF4C7F"/>
    <w:rsid w:val="49234819"/>
    <w:rsid w:val="4A5B46DD"/>
    <w:rsid w:val="4A6F6A56"/>
    <w:rsid w:val="4A81677A"/>
    <w:rsid w:val="4B3B5348"/>
    <w:rsid w:val="4DA177B2"/>
    <w:rsid w:val="4DA370C6"/>
    <w:rsid w:val="4DF36D4F"/>
    <w:rsid w:val="4E250F3D"/>
    <w:rsid w:val="501B7C76"/>
    <w:rsid w:val="504D5CCF"/>
    <w:rsid w:val="511A2CA6"/>
    <w:rsid w:val="533A7469"/>
    <w:rsid w:val="53526129"/>
    <w:rsid w:val="538B4CD8"/>
    <w:rsid w:val="53A21BCD"/>
    <w:rsid w:val="54394F3D"/>
    <w:rsid w:val="565F61A9"/>
    <w:rsid w:val="56AD4B11"/>
    <w:rsid w:val="57232FC4"/>
    <w:rsid w:val="572D2326"/>
    <w:rsid w:val="57365691"/>
    <w:rsid w:val="59EE1E48"/>
    <w:rsid w:val="5A490F5C"/>
    <w:rsid w:val="5B805E16"/>
    <w:rsid w:val="5BD21464"/>
    <w:rsid w:val="5BDE2B83"/>
    <w:rsid w:val="5C777282"/>
    <w:rsid w:val="61635F72"/>
    <w:rsid w:val="618606C5"/>
    <w:rsid w:val="6224402D"/>
    <w:rsid w:val="6384067A"/>
    <w:rsid w:val="638D125E"/>
    <w:rsid w:val="6396333E"/>
    <w:rsid w:val="63E114D3"/>
    <w:rsid w:val="68E4791A"/>
    <w:rsid w:val="6AD46D46"/>
    <w:rsid w:val="6B07083C"/>
    <w:rsid w:val="6B623CC4"/>
    <w:rsid w:val="6B6C65E0"/>
    <w:rsid w:val="6C103442"/>
    <w:rsid w:val="6C2B67AC"/>
    <w:rsid w:val="6DE07909"/>
    <w:rsid w:val="6E58438A"/>
    <w:rsid w:val="6E7066F8"/>
    <w:rsid w:val="6E9D5508"/>
    <w:rsid w:val="6F871359"/>
    <w:rsid w:val="711B7F18"/>
    <w:rsid w:val="71EB22B3"/>
    <w:rsid w:val="72010FA6"/>
    <w:rsid w:val="733F48EB"/>
    <w:rsid w:val="74212849"/>
    <w:rsid w:val="744C1D4E"/>
    <w:rsid w:val="748A4F72"/>
    <w:rsid w:val="74961819"/>
    <w:rsid w:val="750202C6"/>
    <w:rsid w:val="75664078"/>
    <w:rsid w:val="761E4132"/>
    <w:rsid w:val="78061A79"/>
    <w:rsid w:val="787E5EB6"/>
    <w:rsid w:val="79181486"/>
    <w:rsid w:val="7AFE508C"/>
    <w:rsid w:val="7B2561EC"/>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2">
    <w:name w:val="heading 1"/>
    <w:basedOn w:val="1"/>
    <w:next w:val="1"/>
    <w:qFormat/>
    <w:uiPriority w:val="0"/>
    <w:pPr>
      <w:keepNext/>
      <w:keepLines/>
      <w:jc w:val="left"/>
      <w:outlineLvl w:val="0"/>
    </w:pPr>
    <w:rPr>
      <w:rFonts w:ascii="宋体" w:hAnsi="宋体" w:eastAsia="黑体"/>
      <w:bCs/>
      <w:kern w:val="44"/>
      <w:sz w:val="32"/>
      <w:szCs w:val="44"/>
    </w:rPr>
  </w:style>
  <w:style w:type="paragraph" w:styleId="3">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4">
    <w:name w:val="heading 3"/>
    <w:basedOn w:val="1"/>
    <w:next w:val="1"/>
    <w:unhideWhenUsed/>
    <w:qFormat/>
    <w:uiPriority w:val="9"/>
    <w:pPr>
      <w:keepNext/>
      <w:keepLines/>
      <w:spacing w:before="140" w:line="360" w:lineRule="auto"/>
      <w:outlineLvl w:val="2"/>
    </w:pPr>
    <w:rPr>
      <w:b/>
      <w:bCs/>
      <w:sz w:val="30"/>
      <w:szCs w:val="32"/>
    </w:rPr>
  </w:style>
  <w:style w:type="character" w:default="1" w:styleId="19">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3"/>
    <w:unhideWhenUsed/>
    <w:qFormat/>
    <w:uiPriority w:val="99"/>
    <w:pPr>
      <w:tabs>
        <w:tab w:val="center" w:pos="4153"/>
        <w:tab w:val="right" w:pos="8306"/>
      </w:tabs>
      <w:snapToGrid w:val="0"/>
      <w:jc w:val="left"/>
    </w:pPr>
    <w:rPr>
      <w:sz w:val="18"/>
      <w:szCs w:val="18"/>
    </w:rPr>
  </w:style>
  <w:style w:type="paragraph" w:styleId="10">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paragraph" w:styleId="16">
    <w:name w:val="Title"/>
    <w:basedOn w:val="1"/>
    <w:next w:val="1"/>
    <w:qFormat/>
    <w:uiPriority w:val="0"/>
    <w:pPr>
      <w:spacing w:before="240" w:after="60"/>
      <w:jc w:val="center"/>
      <w:outlineLvl w:val="0"/>
    </w:pPr>
    <w:rPr>
      <w:rFonts w:ascii="Arial" w:hAnsi="Arial"/>
      <w:b/>
      <w:sz w:val="32"/>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bCs/>
    </w:rPr>
  </w:style>
  <w:style w:type="character" w:styleId="21">
    <w:name w:val="Hyperlink"/>
    <w:basedOn w:val="19"/>
    <w:qFormat/>
    <w:uiPriority w:val="0"/>
    <w:rPr>
      <w:color w:val="5B677D"/>
      <w:u w:val="none"/>
    </w:rPr>
  </w:style>
  <w:style w:type="paragraph" w:customStyle="1" w:styleId="22">
    <w:name w:val="List Paragraph"/>
    <w:basedOn w:val="1"/>
    <w:unhideWhenUsed/>
    <w:qFormat/>
    <w:uiPriority w:val="99"/>
    <w:pPr>
      <w:ind w:firstLine="420" w:firstLineChars="200"/>
    </w:pPr>
  </w:style>
  <w:style w:type="character" w:customStyle="1" w:styleId="23">
    <w:name w:val="页脚 字符"/>
    <w:basedOn w:val="19"/>
    <w:link w:val="9"/>
    <w:qFormat/>
    <w:uiPriority w:val="99"/>
    <w:rPr>
      <w:sz w:val="18"/>
      <w:szCs w:val="18"/>
    </w:rPr>
  </w:style>
  <w:style w:type="character" w:customStyle="1" w:styleId="24">
    <w:name w:val="页眉 字符"/>
    <w:basedOn w:val="19"/>
    <w:link w:val="10"/>
    <w:qFormat/>
    <w:uiPriority w:val="99"/>
    <w:rPr>
      <w:sz w:val="18"/>
      <w:szCs w:val="18"/>
    </w:rPr>
  </w:style>
  <w:style w:type="paragraph" w:customStyle="1" w:styleId="25">
    <w:name w:val="WPSOffice手动目录 1"/>
    <w:qFormat/>
    <w:uiPriority w:val="0"/>
    <w:pPr>
      <w:ind w:leftChars="0"/>
    </w:pPr>
    <w:rPr>
      <w:rFonts w:asciiTheme="minorHAnsi" w:hAnsiTheme="minorHAnsi" w:eastAsiaTheme="minorEastAsia" w:cstheme="minorBidi"/>
      <w:sz w:val="20"/>
      <w:szCs w:val="20"/>
    </w:rPr>
  </w:style>
  <w:style w:type="paragraph" w:customStyle="1" w:styleId="26">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11</Pages>
  <Words>10225</Words>
  <Characters>10776</Characters>
  <Lines>7</Lines>
  <Paragraphs>2</Paragraphs>
  <TotalTime>38</TotalTime>
  <ScaleCrop>false</ScaleCrop>
  <LinksUpToDate>false</LinksUpToDate>
  <CharactersWithSpaces>10787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2024-08-11T08:58:22Z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