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1）负责贯彻落实党中央、国务院和自治区党委、政府关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于离休干部工作的方针、政策。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2）了解掌握和静县老干部工作的基本情况，及时向和静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县党委反映重要问题和提出建议。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3）制订或参与制订和静县老干部工作的政策、规定协助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各</w:t>
      </w:r>
      <w:r>
        <w:rPr>
          <w:rFonts w:hint="eastAsia" w:ascii="仿宋" w:hAnsi="仿宋" w:cs="仿宋"/>
          <w:color w:val="auto"/>
          <w:kern w:val="0"/>
          <w:sz w:val="30"/>
          <w:szCs w:val="30"/>
          <w:highlight w:val="none"/>
          <w:lang w:val="en-US" w:eastAsia="zh-CN" w:bidi="ar"/>
        </w:rPr>
        <w:t>级各</w:t>
      </w:r>
      <w:r>
        <w:rPr>
          <w:rFonts w:hint="eastAsia" w:ascii="仿宋" w:hAnsi="仿宋" w:eastAsia="仿宋" w:cs="仿宋"/>
          <w:color w:val="auto"/>
          <w:kern w:val="0"/>
          <w:sz w:val="30"/>
          <w:szCs w:val="30"/>
          <w:highlight w:val="none"/>
          <w:lang w:val="en-US" w:eastAsia="zh-CN" w:bidi="ar"/>
        </w:rPr>
        <w:t xml:space="preserve">部门抓好老干部党组织建设和思想政治工作。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4）组织指导老干部政治学习、阅读文件、听取重要报告、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参加有关会议和重要政治活动。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5）调查研究离退休干部的离退休费、医疗、住房等方面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存在的问题，督促检查老干部生活待遇的落实，总结推广老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干部发挥作用的先进事迹和经验。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6）协助解决老干部发挥作用中出现的问题。负责离退休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干部健康疗养等工作；指导县直部门及乡、镇做好老干部的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服务工作。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7）会同有关部门办理离休干部及副县级以上退休干部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的丧葬和善后事宜。 </w:t>
      </w:r>
    </w:p>
    <w:p>
      <w:pPr>
        <w:keepNext w:val="0"/>
        <w:keepLines w:val="0"/>
        <w:widowControl/>
        <w:suppressLineNumbers w:val="0"/>
        <w:jc w:val="left"/>
        <w:rPr>
          <w:rFonts w:hint="eastAsia" w:ascii="仿宋" w:hAnsi="仿宋" w:eastAsia="仿宋" w:cs="仿宋"/>
          <w:color w:val="auto"/>
          <w:sz w:val="30"/>
          <w:szCs w:val="30"/>
          <w:highlight w:val="none"/>
          <w:lang w:val="en-US" w:eastAsia="zh-CN"/>
        </w:rPr>
      </w:pPr>
      <w:r>
        <w:rPr>
          <w:rFonts w:hint="eastAsia" w:ascii="仿宋" w:hAnsi="仿宋" w:eastAsia="仿宋" w:cs="仿宋"/>
          <w:color w:val="auto"/>
          <w:kern w:val="0"/>
          <w:sz w:val="30"/>
          <w:szCs w:val="30"/>
          <w:highlight w:val="none"/>
          <w:lang w:val="en-US" w:eastAsia="zh-CN" w:bidi="ar"/>
        </w:rPr>
        <w:t xml:space="preserve">8）完成上级交办的其他工作。 </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中共和静县委员会老干部局单位无下属预算单位，下设3个处室，分别是：行政办公室、老干部活动中心、离退休干部待遇办。 </w:t>
      </w:r>
    </w:p>
    <w:p>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中共和静县委员会老干部局单位编制数 </w:t>
      </w:r>
      <w:r>
        <w:rPr>
          <w:rFonts w:hint="eastAsia" w:ascii="仿宋" w:hAnsi="仿宋" w:cs="仿宋"/>
          <w:color w:val="auto"/>
          <w:kern w:val="0"/>
          <w:sz w:val="30"/>
          <w:szCs w:val="30"/>
          <w:highlight w:val="none"/>
          <w:lang w:val="en-US" w:eastAsia="zh-CN" w:bidi="ar"/>
        </w:rPr>
        <w:t>7</w:t>
      </w:r>
      <w:r>
        <w:rPr>
          <w:rFonts w:hint="eastAsia" w:ascii="仿宋" w:hAnsi="仿宋" w:eastAsia="仿宋" w:cs="仿宋"/>
          <w:color w:val="auto"/>
          <w:kern w:val="0"/>
          <w:sz w:val="30"/>
          <w:szCs w:val="30"/>
          <w:highlight w:val="none"/>
          <w:lang w:val="en-US" w:eastAsia="zh-CN" w:bidi="ar"/>
        </w:rPr>
        <w:t xml:space="preserve">，实有人数29 </w:t>
      </w:r>
    </w:p>
    <w:p>
      <w:pPr>
        <w:keepNext w:val="0"/>
        <w:keepLines w:val="0"/>
        <w:widowControl/>
        <w:suppressLineNumbers w:val="0"/>
        <w:ind w:left="0" w:leftChars="0" w:firstLine="0" w:firstLineChars="0"/>
        <w:jc w:val="left"/>
        <w:rPr>
          <w:color w:val="auto"/>
          <w:highlight w:val="none"/>
        </w:rPr>
      </w:pPr>
      <w:r>
        <w:rPr>
          <w:rFonts w:hint="eastAsia" w:ascii="仿宋" w:hAnsi="仿宋" w:eastAsia="仿宋" w:cs="仿宋"/>
          <w:color w:val="auto"/>
          <w:kern w:val="0"/>
          <w:sz w:val="30"/>
          <w:szCs w:val="30"/>
          <w:highlight w:val="none"/>
          <w:lang w:val="en-US" w:eastAsia="zh-CN" w:bidi="ar"/>
        </w:rPr>
        <w:t>人，其中：在职</w:t>
      </w:r>
      <w:r>
        <w:rPr>
          <w:rFonts w:hint="eastAsia" w:ascii="仿宋" w:hAnsi="仿宋" w:cs="仿宋"/>
          <w:color w:val="auto"/>
          <w:kern w:val="0"/>
          <w:sz w:val="30"/>
          <w:szCs w:val="30"/>
          <w:highlight w:val="none"/>
          <w:lang w:val="en-US" w:eastAsia="zh-CN" w:bidi="ar"/>
        </w:rPr>
        <w:t>7</w:t>
      </w:r>
      <w:r>
        <w:rPr>
          <w:rFonts w:hint="eastAsia" w:ascii="仿宋" w:hAnsi="仿宋" w:eastAsia="仿宋" w:cs="仿宋"/>
          <w:color w:val="auto"/>
          <w:kern w:val="0"/>
          <w:sz w:val="30"/>
          <w:szCs w:val="30"/>
          <w:highlight w:val="none"/>
          <w:lang w:val="en-US" w:eastAsia="zh-CN" w:bidi="ar"/>
        </w:rPr>
        <w:t>人，</w:t>
      </w:r>
      <w:r>
        <w:rPr>
          <w:rFonts w:hint="eastAsia" w:ascii="仿宋" w:hAnsi="仿宋" w:cs="仿宋"/>
          <w:color w:val="auto"/>
          <w:kern w:val="0"/>
          <w:sz w:val="30"/>
          <w:szCs w:val="30"/>
          <w:highlight w:val="none"/>
          <w:lang w:val="en-US" w:eastAsia="zh-CN" w:bidi="ar"/>
        </w:rPr>
        <w:t>减少1</w:t>
      </w:r>
      <w:r>
        <w:rPr>
          <w:rFonts w:hint="eastAsia" w:ascii="仿宋" w:hAnsi="仿宋" w:eastAsia="仿宋" w:cs="仿宋"/>
          <w:color w:val="auto"/>
          <w:kern w:val="0"/>
          <w:sz w:val="30"/>
          <w:szCs w:val="30"/>
          <w:highlight w:val="none"/>
          <w:lang w:val="en-US" w:eastAsia="zh-CN" w:bidi="ar"/>
        </w:rPr>
        <w:t>人；退休</w:t>
      </w:r>
      <w:r>
        <w:rPr>
          <w:rFonts w:hint="eastAsia" w:ascii="仿宋" w:hAnsi="仿宋" w:cs="仿宋"/>
          <w:color w:val="auto"/>
          <w:kern w:val="0"/>
          <w:sz w:val="30"/>
          <w:szCs w:val="30"/>
          <w:highlight w:val="none"/>
          <w:lang w:val="en-US" w:eastAsia="zh-CN" w:bidi="ar"/>
        </w:rPr>
        <w:t>17</w:t>
      </w:r>
      <w:r>
        <w:rPr>
          <w:rFonts w:hint="eastAsia" w:ascii="仿宋" w:hAnsi="仿宋" w:eastAsia="仿宋" w:cs="仿宋"/>
          <w:color w:val="auto"/>
          <w:kern w:val="0"/>
          <w:sz w:val="30"/>
          <w:szCs w:val="30"/>
          <w:highlight w:val="none"/>
          <w:lang w:val="en-US" w:eastAsia="zh-CN" w:bidi="ar"/>
        </w:rPr>
        <w:t>人，增加</w:t>
      </w:r>
      <w:r>
        <w:rPr>
          <w:rFonts w:hint="eastAsia" w:ascii="仿宋" w:hAnsi="仿宋" w:cs="仿宋"/>
          <w:color w:val="auto"/>
          <w:kern w:val="0"/>
          <w:sz w:val="30"/>
          <w:szCs w:val="30"/>
          <w:highlight w:val="none"/>
          <w:lang w:val="en-US" w:eastAsia="zh-CN" w:bidi="ar"/>
        </w:rPr>
        <w:t>1</w:t>
      </w:r>
      <w:r>
        <w:rPr>
          <w:rFonts w:hint="eastAsia" w:ascii="仿宋" w:hAnsi="仿宋" w:eastAsia="仿宋" w:cs="仿宋"/>
          <w:color w:val="auto"/>
          <w:kern w:val="0"/>
          <w:sz w:val="30"/>
          <w:szCs w:val="30"/>
          <w:highlight w:val="none"/>
          <w:lang w:val="en-US" w:eastAsia="zh-CN" w:bidi="ar"/>
        </w:rPr>
        <w:t>人；离休5人，减少</w:t>
      </w:r>
      <w:r>
        <w:rPr>
          <w:rFonts w:hint="eastAsia" w:ascii="仿宋" w:hAnsi="仿宋" w:cs="仿宋"/>
          <w:color w:val="auto"/>
          <w:kern w:val="0"/>
          <w:sz w:val="30"/>
          <w:szCs w:val="30"/>
          <w:highlight w:val="none"/>
          <w:lang w:val="en-US" w:eastAsia="zh-CN" w:bidi="ar"/>
        </w:rPr>
        <w:t>0</w:t>
      </w:r>
      <w:r>
        <w:rPr>
          <w:rFonts w:hint="eastAsia" w:ascii="仿宋" w:hAnsi="仿宋" w:eastAsia="仿宋" w:cs="仿宋"/>
          <w:color w:val="auto"/>
          <w:kern w:val="0"/>
          <w:sz w:val="30"/>
          <w:szCs w:val="30"/>
          <w:highlight w:val="none"/>
          <w:lang w:val="en-US" w:eastAsia="zh-CN" w:bidi="ar"/>
        </w:rPr>
        <w:t>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00" w:firstLineChars="20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1、</w:t>
      </w:r>
      <w:r>
        <w:rPr>
          <w:rFonts w:hint="eastAsia" w:ascii="仿宋" w:hAnsi="仿宋" w:eastAsia="仿宋" w:cs="仿宋"/>
          <w:b w:val="0"/>
          <w:bCs w:val="0"/>
          <w:color w:val="auto"/>
          <w:sz w:val="30"/>
          <w:szCs w:val="30"/>
          <w:highlight w:val="none"/>
          <w:lang w:val="en-US" w:eastAsia="zh-CN"/>
        </w:rPr>
        <w:t>强化理论武装，不断加强离退休干部思想政治建设。深刻领悟“两个确立”的决定性意义，增强“四个意识”、坚定“四个自信”、做到“两个维护”，深入学习习近平新时代中国特色社会主义思想，全面贯彻落实党的二十大精神，贯彻落实习近平总书记视察新疆重要讲话重要指示精神，深入落实新时代党的建设总要求，结合主题教育总要求，将学习习近平新时代中国特色社会主义思想贯穿于离退休干部思想政治建设的始终，搭建离退休干部经常性学习教育平台，采取自主学习和集中学习相结合的方法，通过讲授党课、交流研讨、参观红色教育基地等形式，引导离退休干部引导广大老同志自觉用习近平新时代中国特色社会主义思想武装头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00" w:firstLineChars="20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2、</w:t>
      </w:r>
      <w:r>
        <w:rPr>
          <w:rFonts w:hint="eastAsia" w:ascii="仿宋" w:hAnsi="仿宋" w:eastAsia="仿宋" w:cs="仿宋"/>
          <w:b w:val="0"/>
          <w:bCs w:val="0"/>
          <w:color w:val="auto"/>
          <w:sz w:val="30"/>
          <w:szCs w:val="30"/>
          <w:highlight w:val="none"/>
          <w:lang w:val="en-US" w:eastAsia="zh-CN"/>
        </w:rPr>
        <w:t>突出着力重点，全面保障离退休干部组织全覆盖。坚持有利于教育管理、有利于作用发挥、有利于参加活动的原则，注重合理设置，规范组织生活，突出加强老干部党组织建设，做到离退休党员学习有阵地、教育重经常、思想不滑坡、作用发挥好，采取灵活多样形式建立党支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00" w:firstLineChars="20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3、</w:t>
      </w:r>
      <w:r>
        <w:rPr>
          <w:rFonts w:hint="eastAsia" w:ascii="仿宋" w:hAnsi="仿宋" w:eastAsia="仿宋" w:cs="仿宋"/>
          <w:b w:val="0"/>
          <w:bCs w:val="0"/>
          <w:color w:val="auto"/>
          <w:sz w:val="30"/>
          <w:szCs w:val="30"/>
          <w:highlight w:val="none"/>
          <w:lang w:val="en-US" w:eastAsia="zh-CN"/>
        </w:rPr>
        <w:t>抓好待遇落实，用心用情精准服务离退休干部。</w:t>
      </w:r>
      <w:r>
        <w:rPr>
          <w:rFonts w:hint="eastAsia" w:ascii="仿宋" w:hAnsi="仿宋" w:eastAsia="仿宋" w:cs="仿宋"/>
          <w:b w:val="0"/>
          <w:bCs w:val="0"/>
          <w:color w:val="auto"/>
          <w:sz w:val="30"/>
          <w:szCs w:val="30"/>
          <w:highlight w:val="none"/>
          <w:lang w:val="en-US" w:eastAsia="zh-CN"/>
        </w:rPr>
        <w:t>在做好慰问的同时，积极与老干部原单位联系，帮助落实政策，协助处理善后事宜，把党的关怀及时送到家中，确保把好事做实，把实事做好。</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4、</w:t>
      </w:r>
      <w:r>
        <w:rPr>
          <w:rFonts w:hint="eastAsia" w:ascii="仿宋" w:hAnsi="仿宋" w:eastAsia="仿宋" w:cs="仿宋"/>
          <w:b w:val="0"/>
          <w:bCs w:val="0"/>
          <w:color w:val="auto"/>
          <w:sz w:val="30"/>
          <w:szCs w:val="30"/>
          <w:highlight w:val="none"/>
          <w:lang w:val="en-US" w:eastAsia="zh-CN"/>
        </w:rPr>
        <w:t>搭建载体平台，为离退休干部发挥作用创造条件。强化保障措施，按照资源共享的原则，各离退休干部党组织充分发挥统筹协调作用，争取单位领导支持，采取与单位党员干部共同使用阵地或单独建立活动阵地的形式，强化活动阵地建设，功能不断完善，设有文体活动室、乒乓球室、棋牌室、阅览室、党支部学习活动室。</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5、</w:t>
      </w:r>
      <w:r>
        <w:rPr>
          <w:rFonts w:hint="eastAsia" w:ascii="仿宋" w:hAnsi="仿宋" w:eastAsia="仿宋" w:cs="仿宋"/>
          <w:b w:val="0"/>
          <w:bCs w:val="0"/>
          <w:color w:val="auto"/>
          <w:sz w:val="30"/>
          <w:szCs w:val="30"/>
          <w:highlight w:val="none"/>
          <w:lang w:val="en-US" w:eastAsia="zh-CN"/>
        </w:rPr>
        <w:t>加强工作规范，扎实做好关心下一代工作。县关工委各成员单位通过不同方式组织学习《关于加强新时代关心下一代工作委员会工作的意见》精神和总书记在乌鲁木齐听取新疆维吾尔自治区党委和政府、新疆生产建设兵团工作汇报时的指示精神。利用LED电子屏、宣传栏、微信、信息等形式，加大宣传力度，提高关工委的影响力。</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我单位年初预算数为317.36万元，实际预算执行数301.36万元，预算执行率为94.96%。</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全年预算数为301.36万元，全年实际支出资金301.36万元，预算执行率为100%。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317.36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301.36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5.04</w:t>
      </w:r>
      <w:r>
        <w:rPr>
          <w:rFonts w:hint="eastAsia" w:ascii="Times New Roman" w:hAnsi="Times New Roman" w:cs="Times New Roman"/>
          <w:bCs/>
          <w:color w:val="auto"/>
          <w:highlight w:val="none"/>
          <w:lang w:eastAsia="zh-CN"/>
        </w:rPr>
        <w:t>%。（预算调整率=调整数/年初预算数*100%=0.00%。）</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（调整后全年预算数=全年预算数）</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301.36</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基本支出238.53万元，资金的使用方向为我单位机关人员经费支出</w:t>
      </w:r>
      <w:r>
        <w:rPr>
          <w:rFonts w:hint="eastAsia"/>
          <w:color w:val="auto"/>
          <w:highlight w:val="none"/>
          <w:lang w:val="en-US" w:eastAsia="zh-CN"/>
        </w:rPr>
        <w:t>232.97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日常公用经费支出5.</w:t>
      </w:r>
      <w:r>
        <w:rPr>
          <w:rFonts w:hint="eastAsia"/>
          <w:color w:val="auto"/>
          <w:highlight w:val="none"/>
          <w:lang w:val="en-US" w:eastAsia="zh-CN"/>
        </w:rPr>
        <w:t>56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项目支出共计62.83万元，主要用于保障离退休干部活动经费及特需经费项目。</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238.53万元，全年实际支出238.53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w:t>
      </w:r>
      <w:r>
        <w:rPr>
          <w:rFonts w:hint="eastAsia"/>
          <w:color w:val="auto"/>
          <w:highlight w:val="none"/>
          <w:lang w:val="en-US" w:eastAsia="zh-CN"/>
        </w:rPr>
        <w:t>232.97</w:t>
      </w:r>
      <w:r>
        <w:rPr>
          <w:rFonts w:hint="eastAsia"/>
          <w:color w:val="auto"/>
          <w:highlight w:val="none"/>
          <w:lang w:val="en-US" w:eastAsia="zh-CN"/>
        </w:rPr>
        <w:t>万元，主要包括：基本工资、津贴补贴、奖金、机关事业单位基本养老保险缴费、职业年金缴费、职工基本医疗保险缴费、公务员医疗补助缴费、其他社会保障缴费、住房公积金、离休费、生活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w:t>
      </w:r>
      <w:r>
        <w:rPr>
          <w:rFonts w:hint="default"/>
          <w:color w:val="auto"/>
          <w:highlight w:val="none"/>
          <w:lang w:val="en-US" w:eastAsia="zh-CN"/>
        </w:rPr>
        <w:t>5.</w:t>
      </w:r>
      <w:r>
        <w:rPr>
          <w:rFonts w:hint="eastAsia"/>
          <w:color w:val="auto"/>
          <w:highlight w:val="none"/>
          <w:lang w:val="en-US" w:eastAsia="zh-CN"/>
        </w:rPr>
        <w:t>56万元，主要包括：办公费、水费、邮电费、取暖费、差旅费、公务用车运行维护费。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eastAsia" w:ascii="仿宋" w:hAnsi="仿宋" w:cs="Times New Roman"/>
          <w:color w:val="auto"/>
          <w:kern w:val="2"/>
          <w:sz w:val="28"/>
          <w:szCs w:val="28"/>
          <w:highlight w:val="none"/>
          <w:lang w:val="en-US" w:eastAsia="zh-CN" w:bidi="ar-SA"/>
        </w:rPr>
        <w:t>62.83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w:t>
      </w:r>
      <w:r>
        <w:rPr>
          <w:rFonts w:hint="eastAsia" w:ascii="仿宋" w:hAnsi="仿宋" w:cs="Times New Roman"/>
          <w:color w:val="auto"/>
          <w:kern w:val="2"/>
          <w:sz w:val="28"/>
          <w:szCs w:val="28"/>
          <w:highlight w:val="none"/>
          <w:lang w:val="en-US" w:eastAsia="zh-CN" w:bidi="ar-SA"/>
        </w:rPr>
        <w:t>62.83</w:t>
      </w:r>
      <w:r>
        <w:rPr>
          <w:rFonts w:hint="eastAsia"/>
          <w:color w:val="auto"/>
          <w:highlight w:val="none"/>
          <w:lang w:val="en-US" w:eastAsia="zh-CN"/>
        </w:rPr>
        <w:t>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ind w:firstLine="560"/>
        <w:rPr>
          <w:rFonts w:hint="default" w:cs="Times New Roman"/>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w:t>
      </w:r>
      <w:r>
        <w:rPr>
          <w:rFonts w:hint="eastAsia" w:ascii="仿宋" w:hAnsi="仿宋" w:cs="Times New Roman"/>
          <w:color w:val="auto"/>
          <w:kern w:val="2"/>
          <w:sz w:val="28"/>
          <w:szCs w:val="28"/>
          <w:highlight w:val="none"/>
          <w:lang w:val="en-US" w:eastAsia="zh-CN" w:bidi="ar-SA"/>
        </w:rPr>
        <w:t>62.83</w:t>
      </w:r>
      <w:r>
        <w:rPr>
          <w:rFonts w:hint="eastAsia"/>
          <w:color w:val="auto"/>
          <w:highlight w:val="none"/>
          <w:lang w:val="en-US" w:eastAsia="zh-CN"/>
        </w:rPr>
        <w:t>万元，其中外出疗养、考察及慰问支出共49.21万元，文体活动及征订报刊支出共6.21万元，自聘人员工资及办公经费支出共4.07，老年活动中心维护维修支出共3.34万元，全部通过财政国库集中支付方式直接拨给相关人员及单位。</w:t>
      </w:r>
    </w:p>
    <w:p>
      <w:pPr>
        <w:ind w:firstLine="560"/>
        <w:outlineLvl w:val="9"/>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ascii="仿宋" w:hAnsi="仿宋" w:eastAsia="仿宋"/>
          <w:color w:val="auto"/>
          <w:szCs w:val="28"/>
          <w:highlight w:val="none"/>
          <w:lang w:val="en-US" w:eastAsia="zh-CN"/>
        </w:rPr>
        <w:t>2023年本项目完成对24</w:t>
      </w:r>
      <w:r>
        <w:rPr>
          <w:rFonts w:hint="eastAsia" w:ascii="仿宋" w:hAnsi="仿宋"/>
          <w:color w:val="auto"/>
          <w:szCs w:val="28"/>
          <w:highlight w:val="none"/>
          <w:lang w:val="en-US" w:eastAsia="zh-CN"/>
        </w:rPr>
        <w:t>62</w:t>
      </w:r>
      <w:r>
        <w:rPr>
          <w:rFonts w:hint="eastAsia" w:ascii="仿宋" w:hAnsi="仿宋" w:eastAsia="仿宋"/>
          <w:color w:val="auto"/>
          <w:szCs w:val="28"/>
          <w:highlight w:val="none"/>
          <w:lang w:val="en-US" w:eastAsia="zh-CN"/>
        </w:rPr>
        <w:t>名离退休老干部进行春节慰问、探视、解决好离退休干部的丧葬和善后事宜，组织了3次老干部文体活动，开展了2400名老干部</w:t>
      </w:r>
      <w:r>
        <w:rPr>
          <w:rFonts w:hint="eastAsia" w:ascii="仿宋" w:hAnsi="仿宋"/>
          <w:color w:val="auto"/>
          <w:szCs w:val="28"/>
          <w:highlight w:val="none"/>
          <w:lang w:val="en-US" w:eastAsia="zh-CN"/>
        </w:rPr>
        <w:t>报纸杂志的</w:t>
      </w:r>
      <w:r>
        <w:rPr>
          <w:rFonts w:hint="eastAsia" w:ascii="仿宋" w:hAnsi="仿宋" w:eastAsia="仿宋"/>
          <w:color w:val="auto"/>
          <w:szCs w:val="28"/>
          <w:highlight w:val="none"/>
          <w:lang w:val="en-US" w:eastAsia="zh-CN"/>
        </w:rPr>
        <w:t>征订工作，开</w:t>
      </w:r>
      <w:r>
        <w:rPr>
          <w:rFonts w:hint="eastAsia" w:ascii="仿宋" w:hAnsi="仿宋"/>
          <w:color w:val="auto"/>
          <w:szCs w:val="28"/>
          <w:highlight w:val="none"/>
          <w:lang w:val="en-US" w:eastAsia="zh-CN"/>
        </w:rPr>
        <w:t>展</w:t>
      </w:r>
      <w:r>
        <w:rPr>
          <w:rFonts w:hint="eastAsia" w:ascii="仿宋" w:hAnsi="仿宋" w:eastAsia="仿宋"/>
          <w:color w:val="auto"/>
          <w:szCs w:val="28"/>
          <w:highlight w:val="none"/>
          <w:lang w:val="en-US" w:eastAsia="zh-CN"/>
        </w:rPr>
        <w:t>了6次座谈会、表彰会等活动，维修维护了3次活动中心。</w:t>
      </w:r>
      <w:r>
        <w:rPr>
          <w:rFonts w:hint="eastAsia"/>
          <w:b w:val="0"/>
          <w:bCs w:val="0"/>
          <w:color w:val="auto"/>
          <w:kern w:val="2"/>
          <w:szCs w:val="24"/>
          <w:highlight w:val="none"/>
          <w:lang w:val="en-US" w:eastAsia="zh-CN"/>
        </w:rPr>
        <w:t>通过本项目实施能够</w:t>
      </w:r>
      <w:r>
        <w:rPr>
          <w:rFonts w:hint="eastAsia" w:ascii="仿宋" w:hAnsi="仿宋" w:eastAsia="仿宋"/>
          <w:color w:val="auto"/>
          <w:szCs w:val="28"/>
          <w:highlight w:val="none"/>
          <w:lang w:val="en-US" w:eastAsia="zh-CN"/>
        </w:rPr>
        <w:t>进一步体现党中央“更好地从政治上关心老干部”的精神，解决好离休干部的特殊困难，提高离退休干部及遗孀的社会氛围及满意度。</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度安排项目支出资金62.83万元，</w:t>
      </w:r>
      <w:r>
        <w:rPr>
          <w:rFonts w:hint="eastAsia"/>
          <w:color w:val="auto"/>
          <w:highlight w:val="none"/>
          <w:lang w:eastAsia="zh-CN"/>
        </w:rPr>
        <w:t>实际</w:t>
      </w:r>
      <w:r>
        <w:rPr>
          <w:rFonts w:hint="eastAsia"/>
          <w:color w:val="auto"/>
          <w:highlight w:val="none"/>
          <w:lang w:val="en-US" w:eastAsia="zh-CN"/>
        </w:rPr>
        <w:t>支出62.83</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其中：上级专项资金支出0万元，本级财政安排项目资金支出62.83万元，项目预算资金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其他党委办公厅（室）及相关机构事务</w:t>
      </w:r>
      <w:r>
        <w:rPr>
          <w:rFonts w:hint="default"/>
          <w:color w:val="auto"/>
          <w:highlight w:val="none"/>
          <w:lang w:val="en-US" w:eastAsia="zh-CN"/>
        </w:rPr>
        <w:t>支出</w:t>
      </w:r>
      <w:r>
        <w:rPr>
          <w:rFonts w:hint="eastAsia"/>
          <w:color w:val="auto"/>
          <w:highlight w:val="none"/>
          <w:lang w:val="en-US" w:eastAsia="zh-CN"/>
        </w:rPr>
        <w:t>45.58</w:t>
      </w:r>
      <w:r>
        <w:rPr>
          <w:rFonts w:hint="default"/>
          <w:color w:val="auto"/>
          <w:highlight w:val="none"/>
          <w:lang w:val="en-US" w:eastAsia="zh-CN"/>
        </w:rPr>
        <w:t>万元，</w:t>
      </w:r>
      <w:r>
        <w:rPr>
          <w:rFonts w:hint="eastAsia"/>
          <w:color w:val="auto"/>
          <w:highlight w:val="none"/>
          <w:lang w:val="en-US" w:eastAsia="zh-CN"/>
        </w:rPr>
        <w:t>其他组织事务</w:t>
      </w:r>
      <w:r>
        <w:rPr>
          <w:rFonts w:hint="default"/>
          <w:color w:val="auto"/>
          <w:highlight w:val="none"/>
          <w:lang w:val="en-US" w:eastAsia="zh-CN"/>
        </w:rPr>
        <w:t>支出</w:t>
      </w:r>
      <w:r>
        <w:rPr>
          <w:rFonts w:hint="eastAsia"/>
          <w:color w:val="auto"/>
          <w:highlight w:val="none"/>
          <w:lang w:val="en-US" w:eastAsia="zh-CN"/>
        </w:rPr>
        <w:t>17.25</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eastAsia"/>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83.33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default"/>
          <w:color w:val="auto"/>
          <w:highlight w:val="none"/>
          <w:lang w:val="en-US" w:eastAsia="zh-CN"/>
        </w:rPr>
      </w:pPr>
      <w:r>
        <w:rPr>
          <w:rFonts w:hint="eastAsia"/>
          <w:color w:val="auto"/>
          <w:highlight w:val="none"/>
          <w:lang w:val="en-US" w:eastAsia="zh-CN"/>
        </w:rPr>
        <w:t>（一）项目支出预算执行率指标完成情况分析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项目支出预算执行率指标年初设定目标是=90%，年中绩效运行监控时完成值72.21%，年终实际完成值是100%，指标完成率是100%，达到</w:t>
      </w:r>
      <w:r>
        <w:rPr>
          <w:rFonts w:hint="eastAsia"/>
          <w:color w:val="auto"/>
          <w:highlight w:val="none"/>
          <w:lang w:val="en-US" w:eastAsia="zh-CN"/>
        </w:rPr>
        <w:t>按时完成项目支出的预期目标。偏差原因：年初设定目标较高，改进措施：今后将加强对项目实施调研，强化目标编制的准确性。</w:t>
      </w:r>
    </w:p>
    <w:p>
      <w:pPr>
        <w:pStyle w:val="4"/>
        <w:bidi w:val="0"/>
        <w:rPr>
          <w:rFonts w:hint="eastAsia"/>
          <w:color w:val="auto"/>
          <w:highlight w:val="none"/>
          <w:lang w:val="en-US" w:eastAsia="zh-CN"/>
        </w:rPr>
      </w:pPr>
      <w:r>
        <w:rPr>
          <w:rFonts w:hint="eastAsia"/>
          <w:color w:val="auto"/>
          <w:highlight w:val="none"/>
          <w:lang w:val="en-US" w:eastAsia="zh-CN"/>
        </w:rPr>
        <w:t>（二）</w:t>
      </w:r>
      <w:r>
        <w:rPr>
          <w:rFonts w:hint="eastAsia"/>
          <w:color w:val="auto"/>
          <w:highlight w:val="none"/>
          <w:lang w:val="en-US" w:eastAsia="zh-CN"/>
        </w:rPr>
        <w:t>“三公经费”控制率</w:t>
      </w:r>
      <w:r>
        <w:rPr>
          <w:rFonts w:hint="eastAsia"/>
          <w:color w:val="auto"/>
          <w:highlight w:val="none"/>
          <w:lang w:val="en-US" w:eastAsia="zh-CN"/>
        </w:rPr>
        <w:t>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w:t>
      </w:r>
      <w:r>
        <w:rPr>
          <w:rFonts w:hint="eastAsia"/>
          <w:color w:val="auto"/>
          <w:highlight w:val="none"/>
          <w:lang w:val="en-US" w:eastAsia="zh-CN"/>
        </w:rPr>
        <w:t>严格财务管理，厉行节约经费支出</w:t>
      </w:r>
      <w:r>
        <w:rPr>
          <w:rFonts w:hint="eastAsia"/>
          <w:color w:val="auto"/>
          <w:highlight w:val="none"/>
          <w:lang w:val="en-US" w:eastAsia="zh-CN"/>
        </w:rPr>
        <w:t>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（三）人员经费保障人数指标完成情况分析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人员经费保障人数</w:t>
      </w:r>
      <w:r>
        <w:rPr>
          <w:rFonts w:hint="eastAsia"/>
          <w:color w:val="auto"/>
          <w:highlight w:val="none"/>
          <w:lang w:val="en-US" w:eastAsia="zh-CN"/>
        </w:rPr>
        <w:t>指标年初设定目标是&gt;=8人，年中绩效运行监控时完成值8人，年终实际完成值是7人，指标完成率是87.5%，</w:t>
      </w:r>
      <w:r>
        <w:rPr>
          <w:rFonts w:hint="eastAsia"/>
          <w:color w:val="auto"/>
          <w:highlight w:val="none"/>
          <w:lang w:val="en-US" w:eastAsia="zh-CN"/>
        </w:rPr>
        <w:t>达到各岗位人员分工明确、工作目标按时完成的预期目标。偏差原因：年末有一名干部离职。</w:t>
      </w:r>
    </w:p>
    <w:p>
      <w:pPr>
        <w:pStyle w:val="4"/>
        <w:bidi w:val="0"/>
        <w:rPr>
          <w:rFonts w:hint="eastAsia"/>
          <w:color w:val="auto"/>
          <w:highlight w:val="none"/>
          <w:lang w:val="en-US" w:eastAsia="zh-CN"/>
        </w:rPr>
      </w:pPr>
      <w:r>
        <w:rPr>
          <w:rFonts w:hint="eastAsia"/>
          <w:color w:val="auto"/>
          <w:highlight w:val="none"/>
          <w:lang w:val="en-US" w:eastAsia="zh-CN"/>
        </w:rPr>
        <w:t>（四）离退休干部及遗孀慰问人数指标完成情况分析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离退休干部及遗孀慰问人数指标年初设定目标是&gt;=2462人，年中绩效运行监控时完成值2462人，年终实际完成值是2462人，</w:t>
      </w:r>
      <w:r>
        <w:rPr>
          <w:rFonts w:hint="eastAsia"/>
          <w:color w:val="auto"/>
          <w:highlight w:val="none"/>
          <w:lang w:val="en-US" w:eastAsia="zh-CN"/>
        </w:rPr>
        <w:t>指标完成率是100%，达到认真落实离退休干部“两项待遇”的预期目标。</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（五）征订报刊份数指标完成情况分析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征订报刊份数指标年初设定目标是&gt;=2400份，年中绩效运行监控时完成值0份，年终实际完成值是2400份，指标完成率是100%，</w:t>
      </w:r>
      <w:r>
        <w:rPr>
          <w:rFonts w:hint="eastAsia"/>
          <w:color w:val="auto"/>
          <w:highlight w:val="none"/>
          <w:lang w:val="en-US" w:eastAsia="zh-CN"/>
        </w:rPr>
        <w:t>达到满足离退休干部日常学习需求的预期目标。</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（六）</w:t>
      </w:r>
      <w:r>
        <w:rPr>
          <w:rFonts w:hint="eastAsia"/>
          <w:color w:val="auto"/>
          <w:highlight w:val="none"/>
          <w:lang w:val="en-US" w:eastAsia="zh-CN"/>
        </w:rPr>
        <w:t>举办各项活动场次指标完成情况分析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举办各项活动场次指标年初设定目标是6次，年中绩效运行监控时完成值4次，年终实际完成值是6次，指标完成率是100%，</w:t>
      </w:r>
      <w:r>
        <w:rPr>
          <w:rFonts w:hint="eastAsia"/>
          <w:color w:val="auto"/>
          <w:highlight w:val="none"/>
          <w:lang w:val="en-US" w:eastAsia="zh-CN"/>
        </w:rPr>
        <w:t>达到对离退休干部的关怀和照顾、丰富离退休干部业余文化生活的预期目标。</w:t>
      </w:r>
      <w:r>
        <w:rPr>
          <w:rFonts w:hint="eastAsia"/>
          <w:color w:val="auto"/>
          <w:highlight w:val="none"/>
          <w:lang w:val="en-US" w:eastAsia="zh-CN"/>
        </w:rPr>
        <w:t>偏差原因：无偏差。</w:t>
      </w:r>
    </w:p>
    <w:p>
      <w:pPr>
        <w:pStyle w:val="3"/>
        <w:numPr>
          <w:ilvl w:val="0"/>
          <w:numId w:val="1"/>
        </w:numPr>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外出疗养人数指标完成情况分析</w:t>
      </w:r>
    </w:p>
    <w:p>
      <w:pPr>
        <w:rPr>
          <w:rFonts w:hint="eastAsia"/>
          <w:color w:val="auto"/>
          <w:highlight w:val="none"/>
          <w:lang w:val="en-US" w:eastAsia="zh-CN"/>
        </w:rPr>
      </w:pPr>
      <w:r>
        <w:rPr>
          <w:rFonts w:hint="eastAsia"/>
          <w:color w:val="auto"/>
          <w:highlight w:val="none"/>
          <w:lang w:val="en-US" w:eastAsia="zh-CN"/>
        </w:rPr>
        <w:t>外出疗养人数指标年初设定目标是&gt;=120人，年中绩效运行监控时完成值0人，年终实际完成值是0人，指标完成率是0%，</w:t>
      </w:r>
      <w:r>
        <w:rPr>
          <w:rFonts w:hint="eastAsia"/>
          <w:color w:val="auto"/>
          <w:highlight w:val="none"/>
          <w:lang w:val="en-US" w:eastAsia="zh-CN"/>
        </w:rPr>
        <w:t>达到用心用情精准服务离退休干部、加强离退休老干部身体免疫力的预期目标。</w:t>
      </w:r>
      <w:r>
        <w:rPr>
          <w:rFonts w:hint="eastAsia"/>
          <w:color w:val="auto"/>
          <w:highlight w:val="none"/>
          <w:lang w:val="en-US" w:eastAsia="zh-CN"/>
        </w:rPr>
        <w:t>偏差原因：项目资金预留不充分，导致无法顺利开展外出健康疗养。</w:t>
      </w:r>
    </w:p>
    <w:p>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房屋建筑物取暖保障面积指标完成情况分析</w:t>
      </w:r>
    </w:p>
    <w:p>
      <w:pPr>
        <w:rPr>
          <w:rFonts w:hint="eastAsia"/>
          <w:color w:val="auto"/>
          <w:highlight w:val="none"/>
          <w:lang w:val="en-US" w:eastAsia="zh-CN"/>
        </w:rPr>
      </w:pPr>
      <w:r>
        <w:rPr>
          <w:rFonts w:hint="eastAsia"/>
          <w:color w:val="auto"/>
          <w:highlight w:val="none"/>
          <w:lang w:val="en-US" w:eastAsia="zh-CN"/>
        </w:rPr>
        <w:t>房屋建筑物取暖保障面积指标年初设定目标是=1460平方米，年中绩效运行监控时完成值1460平方米，年终实际完成值是=1460平方米，指标完成率是100%，</w:t>
      </w:r>
      <w:r>
        <w:rPr>
          <w:rFonts w:hint="eastAsia"/>
          <w:color w:val="auto"/>
          <w:highlight w:val="none"/>
          <w:lang w:val="en-US" w:eastAsia="zh-CN"/>
        </w:rPr>
        <w:t>达到保证活动中心正常运转的预期目标。</w:t>
      </w:r>
      <w:r>
        <w:rPr>
          <w:rFonts w:hint="eastAsia"/>
          <w:color w:val="auto"/>
          <w:highlight w:val="none"/>
          <w:lang w:val="en-US" w:eastAsia="zh-CN"/>
        </w:rPr>
        <w:t>偏差原因：无偏差。</w:t>
      </w:r>
    </w:p>
    <w:p>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老干部活动参与率指标完成情况分析</w:t>
      </w:r>
    </w:p>
    <w:p>
      <w:pPr>
        <w:rPr>
          <w:rFonts w:hint="eastAsia"/>
          <w:color w:val="auto"/>
          <w:highlight w:val="none"/>
          <w:lang w:val="en-US" w:eastAsia="zh-CN"/>
        </w:rPr>
      </w:pPr>
      <w:r>
        <w:rPr>
          <w:rFonts w:hint="eastAsia"/>
          <w:color w:val="auto"/>
          <w:highlight w:val="none"/>
          <w:lang w:val="en-US" w:eastAsia="zh-CN"/>
        </w:rPr>
        <w:t>老干部活动参与率指标年初设定目标是&gt;=94%，年中绩效运行监控时完成值66.67%，年终实际完成值是94%，指标完成率是100%，</w:t>
      </w:r>
      <w:r>
        <w:rPr>
          <w:rFonts w:hint="eastAsia"/>
          <w:color w:val="auto"/>
          <w:highlight w:val="none"/>
          <w:lang w:val="en-US" w:eastAsia="zh-CN"/>
        </w:rPr>
        <w:t>达到保障离退休干部活动组织基本覆盖的预期目标。</w:t>
      </w:r>
      <w:r>
        <w:rPr>
          <w:rFonts w:hint="eastAsia"/>
          <w:color w:val="auto"/>
          <w:highlight w:val="none"/>
          <w:lang w:val="en-US" w:eastAsia="zh-CN"/>
        </w:rPr>
        <w:t>偏差原因：无偏差。</w:t>
      </w:r>
    </w:p>
    <w:p>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工资及公用经费保障率指标完成情况分析</w:t>
      </w:r>
    </w:p>
    <w:p>
      <w:pPr>
        <w:pStyle w:val="3"/>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工资及公用经费保障率指标年初设定目标是=100%，年中绩效运行监控时完成值50%，年终实际完成值是100%，指标完成率是100%，</w:t>
      </w:r>
      <w:r>
        <w:rPr>
          <w:rFonts w:hint="eastAsia" w:ascii="仿宋_GB2312" w:hAnsi="仿宋_GB2312" w:eastAsia="仿宋" w:cs="仿宋_GB2312"/>
          <w:bCs w:val="0"/>
          <w:color w:val="auto"/>
          <w:kern w:val="2"/>
          <w:sz w:val="28"/>
          <w:szCs w:val="24"/>
          <w:highlight w:val="none"/>
          <w:lang w:val="en-US" w:eastAsia="zh-CN" w:bidi="ar-SA"/>
        </w:rPr>
        <w:t>达到保证单位正常运转的预期目标。偏</w:t>
      </w:r>
      <w:r>
        <w:rPr>
          <w:rFonts w:hint="eastAsia" w:ascii="仿宋_GB2312" w:hAnsi="仿宋_GB2312" w:eastAsia="仿宋" w:cs="仿宋_GB2312"/>
          <w:bCs w:val="0"/>
          <w:color w:val="auto"/>
          <w:kern w:val="2"/>
          <w:sz w:val="28"/>
          <w:szCs w:val="24"/>
          <w:highlight w:val="none"/>
          <w:lang w:val="en-US" w:eastAsia="zh-CN" w:bidi="ar-SA"/>
        </w:rPr>
        <w:t>差原因：无偏差。</w:t>
      </w:r>
    </w:p>
    <w:p>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报刊征订覆盖率指标完成情况分析</w:t>
      </w:r>
    </w:p>
    <w:p>
      <w:pPr>
        <w:rPr>
          <w:rFonts w:hint="eastAsia"/>
          <w:color w:val="auto"/>
          <w:highlight w:val="none"/>
          <w:lang w:val="en-US" w:eastAsia="zh-CN"/>
        </w:rPr>
      </w:pPr>
      <w:r>
        <w:rPr>
          <w:rFonts w:hint="eastAsia" w:ascii="仿宋_GB2312" w:hAnsi="仿宋_GB2312" w:eastAsia="仿宋" w:cs="仿宋_GB2312"/>
          <w:bCs w:val="0"/>
          <w:color w:val="auto"/>
          <w:kern w:val="2"/>
          <w:sz w:val="28"/>
          <w:szCs w:val="24"/>
          <w:highlight w:val="none"/>
          <w:lang w:val="en-US" w:eastAsia="zh-CN" w:bidi="ar-SA"/>
        </w:rPr>
        <w:t>报刊征订覆盖率指标年初设定目标是&gt;=90%，年中绩效运行监控时完成值未达监控时点，年终实际完成值是90%，指标完成率是100%，</w:t>
      </w:r>
      <w:r>
        <w:rPr>
          <w:rFonts w:hint="eastAsia" w:ascii="仿宋_GB2312" w:hAnsi="仿宋_GB2312" w:eastAsia="仿宋" w:cs="仿宋_GB2312"/>
          <w:bCs w:val="0"/>
          <w:color w:val="auto"/>
          <w:kern w:val="2"/>
          <w:sz w:val="28"/>
          <w:szCs w:val="24"/>
          <w:highlight w:val="none"/>
          <w:lang w:val="en-US" w:eastAsia="zh-CN" w:bidi="ar-SA"/>
        </w:rPr>
        <w:t>达到</w:t>
      </w:r>
      <w:r>
        <w:rPr>
          <w:rFonts w:hint="eastAsia" w:cs="仿宋_GB2312"/>
          <w:bCs w:val="0"/>
          <w:color w:val="auto"/>
          <w:kern w:val="2"/>
          <w:sz w:val="28"/>
          <w:szCs w:val="24"/>
          <w:highlight w:val="none"/>
          <w:lang w:val="en-US" w:eastAsia="zh-CN" w:bidi="ar-SA"/>
        </w:rPr>
        <w:t>落实离退休干部政治待遇，保证离退休干部报刊征订基本覆盖</w:t>
      </w:r>
      <w:r>
        <w:rPr>
          <w:rFonts w:hint="eastAsia" w:ascii="仿宋_GB2312" w:hAnsi="仿宋_GB2312" w:eastAsia="仿宋" w:cs="仿宋_GB2312"/>
          <w:bCs w:val="0"/>
          <w:color w:val="auto"/>
          <w:kern w:val="2"/>
          <w:sz w:val="28"/>
          <w:szCs w:val="24"/>
          <w:highlight w:val="none"/>
          <w:lang w:val="en-US" w:eastAsia="zh-CN" w:bidi="ar-SA"/>
        </w:rPr>
        <w:t>的预期目标。</w:t>
      </w:r>
      <w:r>
        <w:rPr>
          <w:rFonts w:hint="eastAsia" w:ascii="仿宋_GB2312" w:hAnsi="仿宋_GB2312" w:eastAsia="仿宋" w:cs="仿宋_GB2312"/>
          <w:bCs w:val="0"/>
          <w:color w:val="auto"/>
          <w:kern w:val="2"/>
          <w:sz w:val="28"/>
          <w:szCs w:val="24"/>
          <w:highlight w:val="none"/>
          <w:lang w:val="en-US" w:eastAsia="zh-CN" w:bidi="ar-SA"/>
        </w:rPr>
        <w:t>偏差原因：无偏差。</w:t>
      </w:r>
    </w:p>
    <w:p>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离退休干部、遗孀慰问覆盖率指标完成情况分析</w:t>
      </w:r>
    </w:p>
    <w:p>
      <w:pPr>
        <w:rPr>
          <w:rFonts w:hint="eastAsia"/>
          <w:color w:val="auto"/>
          <w:highlight w:val="none"/>
          <w:lang w:val="en-US" w:eastAsia="zh-CN"/>
        </w:rPr>
      </w:pPr>
      <w:r>
        <w:rPr>
          <w:rFonts w:hint="eastAsia" w:ascii="仿宋_GB2312" w:hAnsi="仿宋_GB2312" w:eastAsia="仿宋" w:cs="仿宋_GB2312"/>
          <w:bCs w:val="0"/>
          <w:color w:val="auto"/>
          <w:kern w:val="2"/>
          <w:sz w:val="28"/>
          <w:szCs w:val="24"/>
          <w:highlight w:val="none"/>
          <w:lang w:val="en-US" w:eastAsia="zh-CN" w:bidi="ar-SA"/>
        </w:rPr>
        <w:t>离退休干部、遗孀慰问覆盖率指标年初设定目标是</w:t>
      </w:r>
      <w:r>
        <w:rPr>
          <w:rFonts w:hint="eastAsia" w:cs="仿宋_GB2312"/>
          <w:bCs w:val="0"/>
          <w:color w:val="auto"/>
          <w:kern w:val="2"/>
          <w:sz w:val="28"/>
          <w:szCs w:val="24"/>
          <w:highlight w:val="none"/>
          <w:lang w:val="en-US" w:eastAsia="zh-CN" w:bidi="ar-SA"/>
        </w:rPr>
        <w:t>10</w:t>
      </w:r>
      <w:r>
        <w:rPr>
          <w:rFonts w:hint="eastAsia" w:ascii="仿宋_GB2312" w:hAnsi="仿宋_GB2312" w:eastAsia="仿宋" w:cs="仿宋_GB2312"/>
          <w:bCs w:val="0"/>
          <w:color w:val="auto"/>
          <w:kern w:val="2"/>
          <w:sz w:val="28"/>
          <w:szCs w:val="24"/>
          <w:highlight w:val="none"/>
          <w:lang w:val="en-US" w:eastAsia="zh-CN" w:bidi="ar-SA"/>
        </w:rPr>
        <w:t>0%，年中绩效运行监控时完成</w:t>
      </w:r>
      <w:r>
        <w:rPr>
          <w:rFonts w:hint="eastAsia" w:cs="仿宋_GB2312"/>
          <w:bCs w:val="0"/>
          <w:color w:val="auto"/>
          <w:kern w:val="2"/>
          <w:sz w:val="28"/>
          <w:szCs w:val="24"/>
          <w:highlight w:val="none"/>
          <w:lang w:val="en-US" w:eastAsia="zh-CN" w:bidi="ar-SA"/>
        </w:rPr>
        <w:t>10</w:t>
      </w:r>
      <w:r>
        <w:rPr>
          <w:rFonts w:hint="eastAsia" w:ascii="仿宋_GB2312" w:hAnsi="仿宋_GB2312" w:eastAsia="仿宋" w:cs="仿宋_GB2312"/>
          <w:bCs w:val="0"/>
          <w:color w:val="auto"/>
          <w:kern w:val="2"/>
          <w:sz w:val="28"/>
          <w:szCs w:val="24"/>
          <w:highlight w:val="none"/>
          <w:lang w:val="en-US" w:eastAsia="zh-CN" w:bidi="ar-SA"/>
        </w:rPr>
        <w:t>0%，年终实际完成值是</w:t>
      </w:r>
      <w:r>
        <w:rPr>
          <w:rFonts w:hint="eastAsia" w:cs="仿宋_GB2312"/>
          <w:bCs w:val="0"/>
          <w:color w:val="auto"/>
          <w:kern w:val="2"/>
          <w:sz w:val="28"/>
          <w:szCs w:val="24"/>
          <w:highlight w:val="none"/>
          <w:lang w:val="en-US" w:eastAsia="zh-CN" w:bidi="ar-SA"/>
        </w:rPr>
        <w:t>10</w:t>
      </w:r>
      <w:r>
        <w:rPr>
          <w:rFonts w:hint="eastAsia" w:ascii="仿宋_GB2312" w:hAnsi="仿宋_GB2312" w:eastAsia="仿宋" w:cs="仿宋_GB2312"/>
          <w:bCs w:val="0"/>
          <w:color w:val="auto"/>
          <w:kern w:val="2"/>
          <w:sz w:val="28"/>
          <w:szCs w:val="24"/>
          <w:highlight w:val="none"/>
          <w:lang w:val="en-US" w:eastAsia="zh-CN" w:bidi="ar-SA"/>
        </w:rPr>
        <w:t>0%，指标完成率是100%，</w:t>
      </w:r>
      <w:r>
        <w:rPr>
          <w:rFonts w:hint="eastAsia" w:ascii="仿宋_GB2312" w:hAnsi="仿宋_GB2312" w:eastAsia="仿宋" w:cs="仿宋_GB2312"/>
          <w:bCs w:val="0"/>
          <w:color w:val="auto"/>
          <w:kern w:val="2"/>
          <w:sz w:val="28"/>
          <w:szCs w:val="24"/>
          <w:highlight w:val="none"/>
          <w:lang w:val="en-US" w:eastAsia="zh-CN" w:bidi="ar-SA"/>
        </w:rPr>
        <w:t>达到</w:t>
      </w:r>
      <w:r>
        <w:rPr>
          <w:rFonts w:hint="eastAsia" w:cs="仿宋_GB2312"/>
          <w:bCs w:val="0"/>
          <w:color w:val="auto"/>
          <w:kern w:val="2"/>
          <w:sz w:val="28"/>
          <w:szCs w:val="24"/>
          <w:highlight w:val="none"/>
          <w:lang w:val="en-US" w:eastAsia="zh-CN" w:bidi="ar-SA"/>
        </w:rPr>
        <w:t>关心、关怀离退休干部、</w:t>
      </w:r>
      <w:r>
        <w:rPr>
          <w:rFonts w:hint="eastAsia" w:ascii="仿宋_GB2312" w:hAnsi="仿宋_GB2312" w:eastAsia="仿宋_GB2312" w:cs="仿宋_GB2312"/>
          <w:color w:val="auto"/>
          <w:sz w:val="32"/>
          <w:szCs w:val="32"/>
          <w:highlight w:val="none"/>
          <w:lang w:eastAsia="zh-CN"/>
        </w:rPr>
        <w:t>认真落实离退休</w:t>
      </w:r>
      <w:r>
        <w:rPr>
          <w:rFonts w:hint="eastAsia" w:ascii="仿宋_GB2312" w:hAnsi="仿宋_GB2312" w:eastAsia="仿宋_GB2312" w:cs="仿宋_GB2312"/>
          <w:color w:val="auto"/>
          <w:sz w:val="32"/>
          <w:szCs w:val="32"/>
          <w:highlight w:val="none"/>
          <w:lang w:val="en-US" w:eastAsia="zh-CN"/>
        </w:rPr>
        <w:t>干部“两项待遇”</w:t>
      </w:r>
      <w:r>
        <w:rPr>
          <w:rFonts w:hint="eastAsia" w:ascii="仿宋_GB2312" w:hAnsi="仿宋_GB2312" w:eastAsia="仿宋" w:cs="仿宋_GB2312"/>
          <w:bCs w:val="0"/>
          <w:color w:val="auto"/>
          <w:kern w:val="2"/>
          <w:sz w:val="28"/>
          <w:szCs w:val="24"/>
          <w:highlight w:val="none"/>
          <w:lang w:val="en-US" w:eastAsia="zh-CN" w:bidi="ar-SA"/>
        </w:rPr>
        <w:t>的预期目标。</w:t>
      </w:r>
      <w:r>
        <w:rPr>
          <w:rFonts w:hint="eastAsia" w:ascii="仿宋_GB2312" w:hAnsi="仿宋_GB2312" w:eastAsia="仿宋" w:cs="仿宋_GB2312"/>
          <w:bCs w:val="0"/>
          <w:color w:val="auto"/>
          <w:kern w:val="2"/>
          <w:sz w:val="28"/>
          <w:szCs w:val="24"/>
          <w:highlight w:val="none"/>
          <w:lang w:val="en-US" w:eastAsia="zh-CN" w:bidi="ar-SA"/>
        </w:rPr>
        <w:t>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92</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ind w:firstLine="560"/>
        <w:outlineLvl w:val="9"/>
        <w:rPr>
          <w:rFonts w:hint="eastAsia"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2023年完成对2490名离退休老干部进行春节慰问、探视、解决好离退休干部的丧葬和善后事宜，组织了3次老干部文体活动，开展了2400</w:t>
      </w:r>
      <w:r>
        <w:rPr>
          <w:rFonts w:hint="eastAsia" w:ascii="仿宋" w:hAnsi="仿宋"/>
          <w:color w:val="auto"/>
          <w:szCs w:val="28"/>
          <w:highlight w:val="none"/>
          <w:lang w:val="en-US" w:eastAsia="zh-CN"/>
        </w:rPr>
        <w:t>份</w:t>
      </w:r>
      <w:r>
        <w:rPr>
          <w:rFonts w:hint="eastAsia" w:ascii="仿宋" w:hAnsi="仿宋" w:eastAsia="仿宋"/>
          <w:color w:val="auto"/>
          <w:szCs w:val="28"/>
          <w:highlight w:val="none"/>
          <w:lang w:val="en-US" w:eastAsia="zh-CN"/>
        </w:rPr>
        <w:t>老干部</w:t>
      </w:r>
      <w:r>
        <w:rPr>
          <w:rFonts w:hint="eastAsia" w:ascii="仿宋" w:hAnsi="仿宋"/>
          <w:color w:val="auto"/>
          <w:szCs w:val="28"/>
          <w:highlight w:val="none"/>
          <w:lang w:val="en-US" w:eastAsia="zh-CN"/>
        </w:rPr>
        <w:t>报纸杂志的</w:t>
      </w:r>
      <w:r>
        <w:rPr>
          <w:rFonts w:hint="eastAsia" w:ascii="仿宋" w:hAnsi="仿宋" w:eastAsia="仿宋"/>
          <w:color w:val="auto"/>
          <w:szCs w:val="28"/>
          <w:highlight w:val="none"/>
          <w:lang w:val="en-US" w:eastAsia="zh-CN"/>
        </w:rPr>
        <w:t>征订工作，开</w:t>
      </w:r>
      <w:r>
        <w:rPr>
          <w:rFonts w:hint="eastAsia" w:ascii="仿宋" w:hAnsi="仿宋"/>
          <w:color w:val="auto"/>
          <w:szCs w:val="28"/>
          <w:highlight w:val="none"/>
          <w:lang w:val="en-US" w:eastAsia="zh-CN"/>
        </w:rPr>
        <w:t>展</w:t>
      </w:r>
      <w:r>
        <w:rPr>
          <w:rFonts w:hint="eastAsia" w:ascii="仿宋" w:hAnsi="仿宋" w:eastAsia="仿宋"/>
          <w:color w:val="auto"/>
          <w:szCs w:val="28"/>
          <w:highlight w:val="none"/>
          <w:lang w:val="en-US" w:eastAsia="zh-CN"/>
        </w:rPr>
        <w:t>了6</w:t>
      </w:r>
      <w:r>
        <w:rPr>
          <w:rFonts w:hint="eastAsia" w:ascii="仿宋" w:hAnsi="仿宋"/>
          <w:color w:val="auto"/>
          <w:szCs w:val="28"/>
          <w:highlight w:val="none"/>
          <w:lang w:val="en-US" w:eastAsia="zh-CN"/>
        </w:rPr>
        <w:t>场</w:t>
      </w:r>
      <w:r>
        <w:rPr>
          <w:rFonts w:hint="eastAsia" w:ascii="仿宋" w:hAnsi="仿宋" w:eastAsia="仿宋"/>
          <w:color w:val="auto"/>
          <w:szCs w:val="28"/>
          <w:highlight w:val="none"/>
          <w:lang w:val="en-US" w:eastAsia="zh-CN"/>
        </w:rPr>
        <w:t>座谈会、表彰会等活动，维修维护了3次活动中心。</w:t>
      </w:r>
      <w:r>
        <w:rPr>
          <w:rFonts w:hint="eastAsia"/>
          <w:b w:val="0"/>
          <w:bCs w:val="0"/>
          <w:color w:val="auto"/>
          <w:kern w:val="2"/>
          <w:szCs w:val="24"/>
          <w:highlight w:val="none"/>
          <w:lang w:val="en-US" w:eastAsia="zh-CN"/>
        </w:rPr>
        <w:t>通过本项目实施能够</w:t>
      </w:r>
      <w:r>
        <w:rPr>
          <w:rFonts w:hint="eastAsia" w:ascii="仿宋" w:hAnsi="仿宋" w:eastAsia="仿宋"/>
          <w:color w:val="auto"/>
          <w:szCs w:val="28"/>
          <w:highlight w:val="none"/>
          <w:lang w:val="en-US" w:eastAsia="zh-CN"/>
        </w:rPr>
        <w:t>进一步体现党中央“更好地从政治上关心老干部”的精神，解决好离休干部的特殊困难，提高离退休干部及遗孀的社会氛围及满意度。</w:t>
      </w:r>
    </w:p>
    <w:p>
      <w:pPr>
        <w:pStyle w:val="3"/>
        <w:numPr>
          <w:ilvl w:val="0"/>
          <w:numId w:val="2"/>
        </w:numPr>
        <w:bidi w:val="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r>
        <w:rPr>
          <w:rFonts w:hint="default"/>
          <w:color w:val="auto"/>
          <w:highlight w:val="none"/>
          <w:lang w:eastAsia="zh-CN"/>
        </w:rPr>
        <w:t>（一）学习不够深入。理论学习自觉性不高，</w:t>
      </w:r>
      <w:r>
        <w:rPr>
          <w:rFonts w:hint="eastAsia"/>
          <w:color w:val="auto"/>
          <w:highlight w:val="none"/>
          <w:lang w:val="en-US" w:eastAsia="zh-CN"/>
        </w:rPr>
        <w:t>单位</w:t>
      </w:r>
      <w:r>
        <w:rPr>
          <w:rFonts w:hint="default"/>
          <w:color w:val="auto"/>
          <w:highlight w:val="none"/>
          <w:lang w:eastAsia="zh-CN"/>
        </w:rPr>
        <w:t>忙于事务，精力分散，刻苦钻研理论不够，在理论学习方面存在表面应付、完成任务的现象，理解精髓不够。主要领导干部讲党课少，专题讨论少、照本宣科的多，剖析问题少、部署工作多，在主观上对加强理论学习的紧迫感认识不足。</w:t>
      </w:r>
    </w:p>
    <w:p>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（二）</w:t>
      </w:r>
      <w:r>
        <w:rPr>
          <w:rFonts w:hint="eastAsia"/>
          <w:b w:val="0"/>
          <w:bCs w:val="0"/>
          <w:color w:val="auto"/>
          <w:kern w:val="2"/>
          <w:szCs w:val="24"/>
          <w:highlight w:val="none"/>
          <w:lang w:val="zh-CN" w:eastAsia="zh-CN"/>
        </w:rPr>
        <w:t>绩效指标设置不合理，填报内容简单，对绩效目标偏差问题缺乏有效分析，无法监控绩效目标的实现程度，还有待进一步提升预算单位整体绩效管理理念</w:t>
      </w:r>
      <w:r>
        <w:rPr>
          <w:rFonts w:hint="eastAsia"/>
          <w:b w:val="0"/>
          <w:bCs w:val="0"/>
          <w:color w:val="auto"/>
          <w:kern w:val="2"/>
          <w:szCs w:val="24"/>
          <w:highlight w:val="none"/>
          <w:lang w:val="en-US" w:eastAsia="zh-CN"/>
        </w:rPr>
        <w:t>；</w:t>
      </w:r>
      <w:r>
        <w:rPr>
          <w:rFonts w:hint="eastAsia"/>
          <w:b w:val="0"/>
          <w:bCs w:val="0"/>
          <w:color w:val="auto"/>
          <w:kern w:val="2"/>
          <w:szCs w:val="24"/>
          <w:highlight w:val="none"/>
          <w:lang w:val="zh-CN" w:eastAsia="zh-CN"/>
        </w:rPr>
        <w:t>因受不确定因素影响，需要减少人员聚集、人员流动，导致当年的</w:t>
      </w:r>
      <w:r>
        <w:rPr>
          <w:rFonts w:hint="eastAsia"/>
          <w:b w:val="0"/>
          <w:bCs w:val="0"/>
          <w:color w:val="auto"/>
          <w:kern w:val="2"/>
          <w:szCs w:val="24"/>
          <w:highlight w:val="none"/>
          <w:lang w:val="en-US" w:eastAsia="zh-CN"/>
        </w:rPr>
        <w:t>指标预期目标完成</w:t>
      </w:r>
      <w:r>
        <w:rPr>
          <w:rFonts w:hint="eastAsia"/>
          <w:b w:val="0"/>
          <w:bCs w:val="0"/>
          <w:color w:val="auto"/>
          <w:kern w:val="2"/>
          <w:szCs w:val="24"/>
          <w:highlight w:val="none"/>
          <w:lang w:val="zh-CN" w:eastAsia="zh-CN"/>
        </w:rPr>
        <w:t>率受到影响。</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p>
    <w:p>
      <w:pPr>
        <w:ind w:firstLine="560"/>
        <w:rPr>
          <w:rFonts w:hint="eastAsia"/>
          <w:b w:val="0"/>
          <w:bCs w:val="0"/>
          <w:color w:val="auto"/>
          <w:kern w:val="2"/>
          <w:szCs w:val="24"/>
          <w:highlight w:val="none"/>
          <w:lang w:val="zh-CN" w:eastAsia="zh-CN"/>
        </w:rPr>
      </w:pPr>
      <w:r>
        <w:rPr>
          <w:rFonts w:hint="default"/>
          <w:color w:val="auto"/>
          <w:highlight w:val="none"/>
          <w:lang w:eastAsia="zh-CN"/>
        </w:rPr>
        <w:t>（一）</w:t>
      </w:r>
      <w:r>
        <w:rPr>
          <w:rFonts w:hint="eastAsia"/>
          <w:b w:val="0"/>
          <w:bCs w:val="0"/>
          <w:color w:val="auto"/>
          <w:kern w:val="2"/>
          <w:szCs w:val="24"/>
          <w:highlight w:val="none"/>
          <w:lang w:val="en-US" w:eastAsia="zh-CN"/>
        </w:rPr>
        <w:t>加强自身建设，提高干部队伍素质。要及时调整充实各级各部门老干部工作组织机构，狠抓机关干部职工的政治理论学习和业务知识学习，认真学习贯彻习近平新时代中国特色社会主义思想、十九届历次全会、党的二十大及总书记在乌鲁木齐听取新疆维吾尔自治区党委和政府、新疆生产建设兵团工作汇报时的指示精神，在理解上下功夫，在落实上出实招，切实提升服务老干部和关心下一代工作水平。</w:t>
      </w:r>
    </w:p>
    <w:p>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二）不断加强预算编制管理，保障预算编制的合理性、科学性，并不断完善预算编制体系，保障预算数据全面性、完整性；不断强化预算资金约束力，优化收支结构，提高预算资金使用效益，及时向部门通报预算执行进度，促使业务部门合理安排工作</w:t>
      </w:r>
      <w:r>
        <w:rPr>
          <w:rFonts w:hint="eastAsia"/>
          <w:b w:val="0"/>
          <w:bCs w:val="0"/>
          <w:color w:val="auto"/>
          <w:kern w:val="2"/>
          <w:szCs w:val="24"/>
          <w:highlight w:val="none"/>
          <w:lang w:val="zh-CN" w:eastAsia="zh-CN"/>
        </w:rPr>
        <w:t>。</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5" w:name="_GoBack"/>
      <w:bookmarkEnd w:id="5"/>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C09CCB"/>
    <w:multiLevelType w:val="singleLevel"/>
    <w:tmpl w:val="C5C09CCB"/>
    <w:lvl w:ilvl="0" w:tentative="0">
      <w:start w:val="5"/>
      <w:numFmt w:val="chineseCounting"/>
      <w:suff w:val="nothing"/>
      <w:lvlText w:val="%1、"/>
      <w:lvlJc w:val="left"/>
      <w:rPr>
        <w:rFonts w:hint="eastAsia"/>
      </w:rPr>
    </w:lvl>
  </w:abstractNum>
  <w:abstractNum w:abstractNumId="1">
    <w:nsid w:val="2CA82992"/>
    <w:multiLevelType w:val="singleLevel"/>
    <w:tmpl w:val="2CA82992"/>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3514042"/>
    <w:rsid w:val="04DB4953"/>
    <w:rsid w:val="04FF0482"/>
    <w:rsid w:val="05062887"/>
    <w:rsid w:val="05464D81"/>
    <w:rsid w:val="05F70F85"/>
    <w:rsid w:val="0607573C"/>
    <w:rsid w:val="06547701"/>
    <w:rsid w:val="07286C48"/>
    <w:rsid w:val="072B19D6"/>
    <w:rsid w:val="084208C4"/>
    <w:rsid w:val="098A3C0A"/>
    <w:rsid w:val="09A24E4E"/>
    <w:rsid w:val="0A9A7091"/>
    <w:rsid w:val="0AB57ED7"/>
    <w:rsid w:val="0C6738B8"/>
    <w:rsid w:val="0D9C3886"/>
    <w:rsid w:val="0DA4381C"/>
    <w:rsid w:val="0E7D784C"/>
    <w:rsid w:val="10300946"/>
    <w:rsid w:val="108D1080"/>
    <w:rsid w:val="10FE60D7"/>
    <w:rsid w:val="134F7771"/>
    <w:rsid w:val="13E513B9"/>
    <w:rsid w:val="14AE20CD"/>
    <w:rsid w:val="158C5316"/>
    <w:rsid w:val="15B904C0"/>
    <w:rsid w:val="15C37D02"/>
    <w:rsid w:val="165C118C"/>
    <w:rsid w:val="172D035F"/>
    <w:rsid w:val="175D58E3"/>
    <w:rsid w:val="18061B60"/>
    <w:rsid w:val="190C3DF8"/>
    <w:rsid w:val="19AA4D08"/>
    <w:rsid w:val="19F83E30"/>
    <w:rsid w:val="1B403139"/>
    <w:rsid w:val="1B495C4F"/>
    <w:rsid w:val="1B622438"/>
    <w:rsid w:val="1C176233"/>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EC31AA"/>
    <w:rsid w:val="27F7226E"/>
    <w:rsid w:val="2805537E"/>
    <w:rsid w:val="289437EE"/>
    <w:rsid w:val="28A85C9D"/>
    <w:rsid w:val="297873DB"/>
    <w:rsid w:val="29F35E61"/>
    <w:rsid w:val="2A285817"/>
    <w:rsid w:val="2B6F150A"/>
    <w:rsid w:val="2BB557CB"/>
    <w:rsid w:val="2BC51751"/>
    <w:rsid w:val="2C182190"/>
    <w:rsid w:val="2D166684"/>
    <w:rsid w:val="2EBF757D"/>
    <w:rsid w:val="300204F2"/>
    <w:rsid w:val="30122FCE"/>
    <w:rsid w:val="30A662B9"/>
    <w:rsid w:val="313A1C72"/>
    <w:rsid w:val="31927D00"/>
    <w:rsid w:val="31AE39CE"/>
    <w:rsid w:val="31B83F5F"/>
    <w:rsid w:val="328E2AB6"/>
    <w:rsid w:val="329B12EA"/>
    <w:rsid w:val="32FB1A54"/>
    <w:rsid w:val="331A3077"/>
    <w:rsid w:val="331F2F71"/>
    <w:rsid w:val="33291F9F"/>
    <w:rsid w:val="33A83F87"/>
    <w:rsid w:val="340D2D0F"/>
    <w:rsid w:val="348F1A9E"/>
    <w:rsid w:val="355C2B3F"/>
    <w:rsid w:val="35694C05"/>
    <w:rsid w:val="356B4AF0"/>
    <w:rsid w:val="35F12468"/>
    <w:rsid w:val="3629290C"/>
    <w:rsid w:val="36851B5C"/>
    <w:rsid w:val="37661A13"/>
    <w:rsid w:val="379871D0"/>
    <w:rsid w:val="37BA58BB"/>
    <w:rsid w:val="37D360CA"/>
    <w:rsid w:val="38360697"/>
    <w:rsid w:val="38CB5066"/>
    <w:rsid w:val="38E054C9"/>
    <w:rsid w:val="397A0DED"/>
    <w:rsid w:val="3A565DE9"/>
    <w:rsid w:val="3AC36A27"/>
    <w:rsid w:val="3B4A3407"/>
    <w:rsid w:val="3C5D21BE"/>
    <w:rsid w:val="3E44501F"/>
    <w:rsid w:val="3F301058"/>
    <w:rsid w:val="40E4025E"/>
    <w:rsid w:val="41564FA5"/>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98F312D"/>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7765EE4"/>
    <w:rsid w:val="58CE7324"/>
    <w:rsid w:val="59EE1E48"/>
    <w:rsid w:val="5A490F5C"/>
    <w:rsid w:val="5A8B0A96"/>
    <w:rsid w:val="5B805E16"/>
    <w:rsid w:val="5BD21464"/>
    <w:rsid w:val="5BDE2B83"/>
    <w:rsid w:val="5C777282"/>
    <w:rsid w:val="5EFA4A19"/>
    <w:rsid w:val="608A736E"/>
    <w:rsid w:val="61635F72"/>
    <w:rsid w:val="618606C5"/>
    <w:rsid w:val="6224402D"/>
    <w:rsid w:val="6384067A"/>
    <w:rsid w:val="638D125E"/>
    <w:rsid w:val="6396333E"/>
    <w:rsid w:val="63E114D3"/>
    <w:rsid w:val="651F7E55"/>
    <w:rsid w:val="67393CBA"/>
    <w:rsid w:val="685B3B42"/>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8071452"/>
    <w:rsid w:val="79181486"/>
    <w:rsid w:val="7AFE508C"/>
    <w:rsid w:val="7B2561EC"/>
    <w:rsid w:val="7B3608A3"/>
    <w:rsid w:val="7BC003CA"/>
    <w:rsid w:val="7BCB1C94"/>
    <w:rsid w:val="7CBF4BB4"/>
    <w:rsid w:val="7D6C7FE7"/>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2</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2024-08-11T08:31:25Z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