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widowControl/>
        <w:spacing w:line="560" w:lineRule="exact"/>
        <w:ind w:firstLine="560" w:firstLineChars="200"/>
        <w:rPr>
          <w:rFonts w:hint="default"/>
          <w:color w:val="auto"/>
          <w:highlight w:val="none"/>
          <w:lang w:val="en-US" w:eastAsia="zh-CN"/>
        </w:rPr>
      </w:pPr>
      <w:r>
        <w:rPr>
          <w:rFonts w:hint="eastAsia"/>
          <w:color w:val="auto"/>
          <w:highlight w:val="none"/>
          <w:lang w:val="en-US" w:eastAsia="zh-CN"/>
        </w:rPr>
        <w:t>中共和静县委员会办公室是县委工作部门，为正科级。单位主要负责收集并反映全县重要信息和动态，围绕县委的中心工作开展调查研究，为县委决策提供参考依据；向全县各级党委传达中央和省委、市委的决策、指示和工作部署，并督促检查其贯彻落实；负责县委日常文、电的处理，受理向县委的请示、报告；承担部分县委文件、文稿的起草工作；负责县委、文件、电报、函件的审批把关；负责制发、编发内部刊物；组织安排县委的各种会议和县委领导的各项公务活动；负责对担任过县级领导职务的老同志的管理、服务工作；负责县委机关组织的各项政治活动及义务劳动的分配、检查和验收；承担全县群众工作全盘工作；加强与群众工作委员会成员单位的沟通联系，每月向县群众工作委员会报告工作；负责做好统筹协调工作；制定群众工作具体责任分解措施，细化到人到事，明确完成时限；围绕群众工作分析形势、解决问题、部署工作；完成县群众工作委员会交办的其他任务。</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widowControl/>
        <w:spacing w:line="560" w:lineRule="exact"/>
        <w:ind w:firstLine="560" w:firstLineChars="200"/>
        <w:rPr>
          <w:rFonts w:hint="eastAsia"/>
          <w:color w:val="auto"/>
          <w:highlight w:val="none"/>
          <w:lang w:val="en-US" w:eastAsia="zh-CN"/>
        </w:rPr>
      </w:pPr>
      <w:r>
        <w:rPr>
          <w:rFonts w:hint="eastAsia"/>
          <w:color w:val="auto"/>
          <w:highlight w:val="none"/>
          <w:lang w:val="en-US" w:eastAsia="zh-CN"/>
        </w:rPr>
        <w:t>中共和静县委员会办公室机构设置：无下属预算单位，内设5个科室，分别是：秘书室、党委信息综合室、党委督查室、综合室、档案监督指导室。中共和静县委员会办公室人员总数65名，其中：在职41名，退休24名，离休0名。实有人员65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pStyle w:val="2"/>
        <w:keepNext/>
        <w:keepLines/>
        <w:pageBreakBefore w:val="0"/>
        <w:widowControl w:val="0"/>
        <w:kinsoku/>
        <w:wordWrap/>
        <w:overflowPunct w:val="0"/>
        <w:topLinePunct w:val="0"/>
        <w:autoSpaceDE/>
        <w:autoSpaceDN/>
        <w:bidi w:val="0"/>
        <w:adjustRightInd/>
        <w:snapToGrid/>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今年以来，在县委的坚强领导下，县委办公室严格落实自治区、自治州和县委各项部署要求，立足“四最一中枢”职能定位，扎实践行五个坚持，服务决策、服务落实、服务发展，为县委科学决策作出积极贡献。</w:t>
      </w:r>
    </w:p>
    <w:p>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一、提高政治站位，着力增强政治自觉、思想自觉、行动自觉</w:t>
      </w:r>
      <w:r>
        <w:rPr>
          <w:rFonts w:hint="eastAsia" w:cs="仿宋_GB2312"/>
          <w:b w:val="0"/>
          <w:bCs w:val="0"/>
          <w:color w:val="auto"/>
          <w:kern w:val="2"/>
          <w:sz w:val="28"/>
          <w:szCs w:val="24"/>
          <w:highlight w:val="none"/>
          <w:lang w:val="en-US" w:eastAsia="zh-CN" w:bidi="ar-SA"/>
        </w:rPr>
        <w:t>。</w:t>
      </w:r>
    </w:p>
    <w:p>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二、强化大局意识，持续提升服务发展、服务决策、服务落实能力水平</w:t>
      </w:r>
      <w:r>
        <w:rPr>
          <w:rFonts w:hint="eastAsia" w:cs="仿宋_GB2312"/>
          <w:b w:val="0"/>
          <w:bCs w:val="0"/>
          <w:color w:val="auto"/>
          <w:kern w:val="2"/>
          <w:sz w:val="28"/>
          <w:szCs w:val="24"/>
          <w:highlight w:val="none"/>
          <w:lang w:val="en-US" w:eastAsia="zh-CN" w:bidi="ar-SA"/>
        </w:rPr>
        <w:t>。</w:t>
      </w:r>
    </w:p>
    <w:p>
      <w:pPr>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严格标准，办文办会水平高质高效</w:t>
      </w:r>
      <w:r>
        <w:rPr>
          <w:rFonts w:hint="default" w:ascii="仿宋_GB2312" w:hAnsi="仿宋_GB2312" w:eastAsia="仿宋" w:cs="仿宋_GB2312"/>
          <w:b w:val="0"/>
          <w:bCs w:val="0"/>
          <w:color w:val="auto"/>
          <w:kern w:val="2"/>
          <w:sz w:val="28"/>
          <w:szCs w:val="24"/>
          <w:highlight w:val="none"/>
          <w:lang w:val="en" w:eastAsia="zh-CN" w:bidi="ar-SA"/>
        </w:rPr>
        <w:t>。完善机制</w:t>
      </w:r>
      <w:r>
        <w:rPr>
          <w:rFonts w:hint="eastAsia" w:cs="仿宋_GB2312"/>
          <w:b w:val="0"/>
          <w:bCs w:val="0"/>
          <w:color w:val="auto"/>
          <w:kern w:val="2"/>
          <w:sz w:val="28"/>
          <w:szCs w:val="24"/>
          <w:highlight w:val="none"/>
          <w:lang w:val="en"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基层减负成效持续巩固。强化举措，信息报送工作不断加强。注重实效，改革工作不断突破。转变职能，档案管理不断优化。加强保障，会议实效持续增强。落实责任，后勤保障更加严谨细致。强基固本</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多措并举抓好安全维稳工作。</w:t>
      </w:r>
    </w:p>
    <w:p>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三、紧密结合县情实际，围绕中心当参谋、紧扣大局抓协调、突出重点促落实、立足精细搞服务、全力抓好政务、会务、事务“三服务”和队伍建设等重点工作，全力确保县委各项任务要求落地见效；确保</w:t>
      </w:r>
      <w:r>
        <w:rPr>
          <w:rFonts w:hint="eastAsia" w:cs="仿宋_GB2312"/>
          <w:b w:val="0"/>
          <w:bCs w:val="0"/>
          <w:color w:val="auto"/>
          <w:kern w:val="2"/>
          <w:sz w:val="28"/>
          <w:szCs w:val="24"/>
          <w:highlight w:val="none"/>
          <w:lang w:val="en-US" w:eastAsia="zh-CN" w:bidi="ar-SA"/>
        </w:rPr>
        <w:t>了</w:t>
      </w:r>
      <w:r>
        <w:rPr>
          <w:rFonts w:hint="eastAsia" w:ascii="仿宋_GB2312" w:hAnsi="仿宋_GB2312" w:eastAsia="仿宋" w:cs="仿宋_GB2312"/>
          <w:b w:val="0"/>
          <w:bCs w:val="0"/>
          <w:color w:val="auto"/>
          <w:kern w:val="2"/>
          <w:sz w:val="28"/>
          <w:szCs w:val="24"/>
          <w:highlight w:val="none"/>
          <w:lang w:val="en-US" w:eastAsia="zh-CN" w:bidi="ar-SA"/>
        </w:rPr>
        <w:t>通讯渠道畅通，为县委接收上级精神、部署安排工作提供有力保障；推动了县委各项决策部署落实落细、见行见效的效果。</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我单位年初预算数为773.21万元，实际预算执行数751.31万元，预算执行率为97.17%。</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全年预算数为820.68万元，全年实际支出资金820.68万元，预算执行率为100%。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773.21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47.47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820.68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0.06</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820.68</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759.38</w:t>
      </w:r>
      <w:r>
        <w:rPr>
          <w:rFonts w:hint="default"/>
          <w:color w:val="auto"/>
          <w:highlight w:val="none"/>
          <w:lang w:val="en-US" w:eastAsia="zh-CN"/>
        </w:rPr>
        <w:t>万元，资金的使用方向为我单位机关人员经费支出</w:t>
      </w:r>
      <w:r>
        <w:rPr>
          <w:rFonts w:hint="eastAsia"/>
          <w:color w:val="auto"/>
          <w:highlight w:val="none"/>
          <w:lang w:val="en-US" w:eastAsia="zh-CN"/>
        </w:rPr>
        <w:t>681.64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77.74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，主要用于保障人员工资及人员医保、社保、住房公积金等缴费、退休费等，单位办公用品购买及车辆燃油费及维修等方面支出。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61.30</w:t>
      </w:r>
      <w:r>
        <w:rPr>
          <w:rFonts w:hint="default"/>
          <w:color w:val="auto"/>
          <w:highlight w:val="none"/>
          <w:lang w:val="en-US" w:eastAsia="zh-CN"/>
        </w:rPr>
        <w:t>万元，主要用于保障党政专用电视会议高清备份系统运行维护、档案馆藏档案数字化及机构运行项目支出。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759.38万元，全年实际支出759.38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681.64万元，主要包括：基本工资、津贴补贴、奖金、绩效工资、机关事业单位基本养老保险缴费、职业年金缴费、职工基本医疗保险缴费、公务员医疗补助缴费、其他社会保障缴费、住房公积金、退休费、生活补助、奖励金等。</w:t>
      </w:r>
    </w:p>
    <w:p>
      <w:pPr>
        <w:bidi w:val="0"/>
        <w:rPr>
          <w:rFonts w:hint="eastAsia"/>
          <w:color w:val="auto"/>
          <w:highlight w:val="none"/>
          <w:lang w:val="en-US" w:eastAsia="zh-CN"/>
        </w:rPr>
      </w:pPr>
      <w:r>
        <w:rPr>
          <w:rFonts w:hint="eastAsia"/>
          <w:color w:val="auto"/>
          <w:highlight w:val="none"/>
          <w:lang w:val="en-US" w:eastAsia="zh-CN"/>
        </w:rPr>
        <w:t>公用经费支出77.74万元，主要包括：办公费、印刷费、手续费、邮电费、取暖费、差旅费、维修（护）费、培训费、工会经费、福利费、公务用车运行维护费、办公设备购置、专用设备购置等。</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项目支出预算61.30</w:t>
      </w:r>
      <w:r>
        <w:rPr>
          <w:rFonts w:hint="eastAsia"/>
          <w:color w:val="auto"/>
          <w:highlight w:val="none"/>
          <w:lang w:eastAsia="zh-CN"/>
        </w:rPr>
        <w:t>万元，</w:t>
      </w:r>
      <w:r>
        <w:rPr>
          <w:rFonts w:hint="eastAsia"/>
          <w:color w:val="auto"/>
          <w:highlight w:val="none"/>
          <w:lang w:val="en-US" w:eastAsia="zh-CN"/>
        </w:rPr>
        <w:t>其中：上级专项资金0万元，本级财政资金61.30万元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ind w:firstLine="560"/>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color w:val="auto"/>
          <w:highlight w:val="none"/>
          <w:lang w:val="en-US" w:eastAsia="zh-CN"/>
        </w:rPr>
        <w:t>2023年本级财政下达我单位专项资金61.30万元，其中党政专用电视会议高清备份系统运行经费60.80万元，该款项均通过财政直接支付方式拨给项目实施单位，主要用于支付系统运维费用35.80万元、档案数字化费用20万元、机构运行费用5万元。高层次人才柔性引进项目经费共5000元，通过财政直接支付方式发放至个人银行卡。</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color w:val="auto"/>
          <w:highlight w:val="none"/>
        </w:rPr>
        <w:t>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明显提升政府公信力。</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度安排项目支出资金61.30万元，实际支出61.30万元，其中：上级专项资金支出0万元，本级财政安排项目资金支出61.30万元，项目预算资金执行率100%，结转0万元，结余0万元。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一般公共服务支出</w:t>
      </w:r>
      <w:r>
        <w:rPr>
          <w:rFonts w:hint="eastAsia"/>
          <w:color w:val="auto"/>
          <w:highlight w:val="none"/>
          <w:lang w:val="en-US" w:eastAsia="zh-CN"/>
        </w:rPr>
        <w:t>61.30万元。</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w:t>
      </w:r>
      <w:r>
        <w:rPr>
          <w:rFonts w:hint="eastAsia"/>
          <w:color w:val="auto"/>
          <w:highlight w:val="none"/>
        </w:rPr>
        <w:t>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lang w:val="en-US" w:eastAsia="zh-CN"/>
        </w:rPr>
        <w:t>预算支出执行率指标</w:t>
      </w:r>
      <w:r>
        <w:rPr>
          <w:rFonts w:hint="eastAsia"/>
          <w:color w:val="auto"/>
          <w:highlight w:val="none"/>
        </w:rPr>
        <w:t>完成情况分析</w:t>
      </w:r>
    </w:p>
    <w:p>
      <w:pPr>
        <w:bidi w:val="0"/>
        <w:rPr>
          <w:rFonts w:hint="eastAsia"/>
          <w:color w:val="auto"/>
          <w:highlight w:val="none"/>
          <w:lang w:val="en-US" w:eastAsia="zh-CN"/>
        </w:rPr>
      </w:pPr>
      <w:r>
        <w:rPr>
          <w:rFonts w:hint="eastAsia"/>
          <w:color w:val="auto"/>
          <w:highlight w:val="none"/>
          <w:lang w:val="en-US" w:eastAsia="zh-CN"/>
        </w:rPr>
        <w:t>预算支出执行率指标年初设定目标是=100%，年中绩效运行监控时完成值48.68%，年终实际完成值是100%，指标完成率是100%，保障41名在职工作人员、24名退休人员工资、社保医保等按时发放，稳定干部队伍。偏差原因：无偏差。</w:t>
      </w:r>
    </w:p>
    <w:p>
      <w:pPr>
        <w:pStyle w:val="4"/>
        <w:bidi w:val="0"/>
        <w:rPr>
          <w:rFonts w:hint="eastAsia"/>
          <w:color w:val="auto"/>
          <w:highlight w:val="none"/>
          <w:lang w:val="en-US" w:eastAsia="zh-CN"/>
        </w:rPr>
      </w:pPr>
      <w:r>
        <w:rPr>
          <w:rFonts w:hint="eastAsia"/>
          <w:color w:val="auto"/>
          <w:highlight w:val="none"/>
          <w:lang w:eastAsia="zh-CN"/>
        </w:rPr>
        <w:t>（二</w:t>
      </w:r>
      <w:r>
        <w:rPr>
          <w:rFonts w:hint="eastAsia"/>
          <w:color w:val="auto"/>
          <w:highlight w:val="none"/>
          <w:lang w:val="en-US" w:eastAsia="zh-CN"/>
        </w:rPr>
        <w:t>）</w:t>
      </w:r>
      <w:r>
        <w:rPr>
          <w:rFonts w:hint="eastAsia"/>
          <w:color w:val="auto"/>
          <w:highlight w:val="none"/>
          <w:lang w:val="en-US" w:eastAsia="zh-CN"/>
        </w:rPr>
        <w:t>“三公经费”控制率</w:t>
      </w:r>
      <w:r>
        <w:rPr>
          <w:rFonts w:hint="eastAsia"/>
          <w:color w:val="auto"/>
          <w:highlight w:val="none"/>
          <w:lang w:val="en-US" w:eastAsia="zh-CN"/>
        </w:rPr>
        <w:t>指标</w:t>
      </w:r>
      <w:r>
        <w:rPr>
          <w:rFonts w:hint="eastAsia"/>
          <w:color w:val="auto"/>
          <w:highlight w:val="none"/>
        </w:rPr>
        <w:t>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“三公经费”控制率指标年初设定目标是=100%，年中绩效运行监控时完成值100%，年终实际完成值是100%，指标完成率是100%，严格按照“三公经费”预算执行，确保了预算的合理性和可行性。偏差原因：无偏差。</w:t>
      </w:r>
    </w:p>
    <w:p>
      <w:pPr>
        <w:pStyle w:val="4"/>
        <w:bidi w:val="0"/>
        <w:rPr>
          <w:rFonts w:hint="eastAsia"/>
          <w:color w:val="auto"/>
          <w:highlight w:val="none"/>
          <w:lang w:val="en-US" w:eastAsia="zh-CN"/>
        </w:rPr>
      </w:pPr>
      <w:r>
        <w:rPr>
          <w:rFonts w:hint="eastAsia"/>
          <w:color w:val="auto"/>
          <w:highlight w:val="none"/>
          <w:lang w:eastAsia="zh-CN"/>
        </w:rPr>
        <w:t>（三</w:t>
      </w:r>
      <w:r>
        <w:rPr>
          <w:rFonts w:hint="eastAsia"/>
          <w:color w:val="auto"/>
          <w:highlight w:val="none"/>
          <w:lang w:val="en-US" w:eastAsia="zh-CN"/>
        </w:rPr>
        <w:t>）</w:t>
      </w:r>
      <w:r>
        <w:rPr>
          <w:rFonts w:hint="eastAsia"/>
          <w:color w:val="auto"/>
          <w:highlight w:val="none"/>
          <w:lang w:val="en-US" w:eastAsia="zh-CN"/>
        </w:rPr>
        <w:t>“三服务”质量达标率</w:t>
      </w:r>
      <w:r>
        <w:rPr>
          <w:rFonts w:hint="eastAsia"/>
          <w:color w:val="auto"/>
          <w:highlight w:val="none"/>
          <w:lang w:val="en-US" w:eastAsia="zh-CN"/>
        </w:rPr>
        <w:t>指标</w:t>
      </w:r>
      <w:r>
        <w:rPr>
          <w:rFonts w:hint="eastAsia"/>
          <w:color w:val="auto"/>
          <w:highlight w:val="none"/>
        </w:rPr>
        <w:t>完成情况分析</w:t>
      </w:r>
    </w:p>
    <w:p>
      <w:pPr>
        <w:bidi w:val="0"/>
        <w:rPr>
          <w:rFonts w:hint="eastAsia"/>
          <w:color w:val="auto"/>
          <w:highlight w:val="none"/>
          <w:lang w:val="en-US" w:eastAsia="zh-CN"/>
        </w:rPr>
      </w:pPr>
      <w:r>
        <w:rPr>
          <w:rFonts w:hint="eastAsia"/>
          <w:color w:val="auto"/>
          <w:highlight w:val="none"/>
          <w:lang w:val="en-US" w:eastAsia="zh-CN"/>
        </w:rPr>
        <w:t>“三服务”质量达标率指标年初设定目标是≥98%，年中绩效运行监控时完成值100%，年终实际完成值是98%，指标完成率是100%，聚焦聚力总目标，用总目标统领参谋、协调、协查、信息、调研、综合等各项工作，不断提高三服务水平。</w:t>
      </w:r>
      <w:r>
        <w:rPr>
          <w:rFonts w:hint="eastAsia"/>
          <w:color w:val="auto"/>
          <w:highlight w:val="none"/>
          <w:lang w:val="en-US" w:eastAsia="zh-CN"/>
        </w:rPr>
        <w:t>偏差原因：年初工作计划设立目标不够精确。</w:t>
      </w:r>
      <w:r>
        <w:rPr>
          <w:rFonts w:hint="eastAsia"/>
          <w:color w:val="auto"/>
          <w:highlight w:val="none"/>
          <w:lang w:val="en-US" w:eastAsia="zh-CN"/>
        </w:rPr>
        <w:t>偏差原因：无偏差</w:t>
      </w:r>
      <w:r>
        <w:rPr>
          <w:rFonts w:hint="eastAsia"/>
          <w:color w:val="auto"/>
          <w:highlight w:val="none"/>
          <w:lang w:val="en-US" w:eastAsia="zh-CN"/>
        </w:rPr>
        <w:t>。</w:t>
      </w:r>
    </w:p>
    <w:p>
      <w:pPr>
        <w:pStyle w:val="4"/>
        <w:bidi w:val="0"/>
        <w:rPr>
          <w:rFonts w:hint="eastAsia"/>
          <w:color w:val="auto"/>
          <w:highlight w:val="none"/>
          <w:lang w:val="en-US" w:eastAsia="zh-CN"/>
        </w:rPr>
      </w:pPr>
      <w:r>
        <w:rPr>
          <w:rFonts w:hint="eastAsia"/>
          <w:color w:val="auto"/>
          <w:highlight w:val="none"/>
          <w:lang w:eastAsia="zh-CN"/>
        </w:rPr>
        <w:t>（四</w:t>
      </w:r>
      <w:r>
        <w:rPr>
          <w:rFonts w:hint="eastAsia"/>
          <w:color w:val="auto"/>
          <w:highlight w:val="none"/>
          <w:lang w:val="en-US" w:eastAsia="zh-CN"/>
        </w:rPr>
        <w:t>）</w:t>
      </w:r>
      <w:r>
        <w:rPr>
          <w:rFonts w:hint="eastAsia"/>
          <w:color w:val="auto"/>
          <w:highlight w:val="none"/>
          <w:lang w:val="en-US" w:eastAsia="zh-CN"/>
        </w:rPr>
        <w:t>系统维护单位数量</w:t>
      </w:r>
      <w:r>
        <w:rPr>
          <w:rFonts w:hint="eastAsia"/>
          <w:color w:val="auto"/>
          <w:highlight w:val="none"/>
          <w:lang w:val="en-US" w:eastAsia="zh-CN"/>
        </w:rPr>
        <w:t>指标</w:t>
      </w:r>
      <w:r>
        <w:rPr>
          <w:rFonts w:hint="eastAsia"/>
          <w:color w:val="auto"/>
          <w:highlight w:val="none"/>
        </w:rPr>
        <w:t>完成情况分析</w:t>
      </w:r>
    </w:p>
    <w:p>
      <w:pPr>
        <w:bidi w:val="0"/>
        <w:rPr>
          <w:rFonts w:hint="eastAsia"/>
          <w:color w:val="auto"/>
          <w:highlight w:val="none"/>
          <w:lang w:val="en-US" w:eastAsia="zh-CN"/>
        </w:rPr>
      </w:pPr>
      <w:r>
        <w:rPr>
          <w:rFonts w:hint="eastAsia"/>
          <w:color w:val="auto"/>
          <w:highlight w:val="none"/>
          <w:lang w:val="en-US" w:eastAsia="zh-CN"/>
        </w:rPr>
        <w:t>系统维护单位数量指标年初设定目标是=140个，年中绩效运行监控时完成值140个，年终实际完成值是140个，指标完成率是100%，</w:t>
      </w:r>
      <w:r>
        <w:rPr>
          <w:rFonts w:hint="eastAsia"/>
          <w:color w:val="auto"/>
          <w:highlight w:val="none"/>
        </w:rPr>
        <w:t>“维护全县各乡镇、村社区、县直部门等140个单位系统，确保网络运行畅通、机房各设施运行正常，保障各级会议正常开展</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eastAsia="zh-CN"/>
        </w:rPr>
        <w:t>（五</w:t>
      </w:r>
      <w:r>
        <w:rPr>
          <w:rFonts w:hint="eastAsia"/>
          <w:color w:val="auto"/>
          <w:highlight w:val="none"/>
          <w:lang w:val="en-US" w:eastAsia="zh-CN"/>
        </w:rPr>
        <w:t>）</w:t>
      </w:r>
      <w:r>
        <w:rPr>
          <w:rFonts w:hint="eastAsia"/>
          <w:color w:val="auto"/>
          <w:highlight w:val="none"/>
          <w:lang w:val="en-US" w:eastAsia="zh-CN"/>
        </w:rPr>
        <w:t>建成脱贫攻坚专题数据库</w:t>
      </w:r>
      <w:r>
        <w:rPr>
          <w:rFonts w:hint="eastAsia"/>
          <w:color w:val="auto"/>
          <w:highlight w:val="none"/>
          <w:lang w:val="en-US" w:eastAsia="zh-CN"/>
        </w:rPr>
        <w:t>指标</w:t>
      </w:r>
      <w:r>
        <w:rPr>
          <w:rFonts w:hint="eastAsia"/>
          <w:color w:val="auto"/>
          <w:highlight w:val="none"/>
        </w:rPr>
        <w:t>完成情况分析</w:t>
      </w:r>
    </w:p>
    <w:p>
      <w:pPr>
        <w:bidi w:val="0"/>
        <w:rPr>
          <w:rFonts w:hint="eastAsia"/>
          <w:color w:val="auto"/>
          <w:highlight w:val="none"/>
          <w:lang w:val="en-US" w:eastAsia="zh-CN"/>
        </w:rPr>
      </w:pPr>
      <w:r>
        <w:rPr>
          <w:rFonts w:hint="eastAsia"/>
          <w:color w:val="auto"/>
          <w:highlight w:val="none"/>
          <w:lang w:val="en-US" w:eastAsia="zh-CN"/>
        </w:rPr>
        <w:t>建成脱贫攻坚专题数据库指标年初设定目标是=1个，年中绩效运行监控时完成值1个，年终实际完成值是1个，指标完成率是100%，根据</w:t>
      </w:r>
      <w:r>
        <w:rPr>
          <w:rFonts w:hint="eastAsia"/>
          <w:color w:val="auto"/>
          <w:highlight w:val="none"/>
        </w:rPr>
        <w:t>《新疆维吾尔自治区脱贫攻坚档案专题目录数据库标准》</w:t>
      </w:r>
      <w:r>
        <w:rPr>
          <w:rFonts w:hint="eastAsia"/>
          <w:color w:val="auto"/>
          <w:highlight w:val="none"/>
          <w:lang w:eastAsia="zh-CN"/>
        </w:rPr>
        <w:t>文件要求，建成</w:t>
      </w:r>
      <w:r>
        <w:rPr>
          <w:rFonts w:hint="eastAsia"/>
          <w:color w:val="auto"/>
          <w:highlight w:val="none"/>
          <w:lang w:val="en-US" w:eastAsia="zh-CN"/>
        </w:rPr>
        <w:t>脱贫攻坚专题数据库1个，</w:t>
      </w:r>
      <w:r>
        <w:rPr>
          <w:rFonts w:hint="eastAsia"/>
          <w:color w:val="auto"/>
          <w:highlight w:val="none"/>
          <w:lang w:eastAsia="zh-CN"/>
        </w:rPr>
        <w:t>便于乡村振兴铺垫工作，便于查阅、利用档案</w:t>
      </w:r>
      <w:r>
        <w:rPr>
          <w:rFonts w:hint="eastAsia"/>
          <w:color w:val="auto"/>
          <w:highlight w:val="none"/>
          <w:lang w:val="en-US" w:eastAsia="zh-CN"/>
        </w:rPr>
        <w:t>。偏差原因：无偏差。</w:t>
      </w:r>
    </w:p>
    <w:p>
      <w:pPr>
        <w:pStyle w:val="4"/>
        <w:bidi w:val="0"/>
        <w:rPr>
          <w:rFonts w:hint="eastAsia"/>
          <w:color w:val="auto"/>
          <w:highlight w:val="none"/>
          <w:lang w:val="en-US" w:eastAsia="zh-CN"/>
        </w:rPr>
      </w:pPr>
      <w:r>
        <w:rPr>
          <w:rFonts w:hint="eastAsia"/>
          <w:color w:val="auto"/>
          <w:highlight w:val="none"/>
          <w:lang w:val="en-US" w:eastAsia="zh-CN"/>
        </w:rPr>
        <w:t>（六）</w:t>
      </w:r>
      <w:r>
        <w:rPr>
          <w:rFonts w:hint="eastAsia"/>
          <w:color w:val="auto"/>
          <w:highlight w:val="none"/>
          <w:lang w:val="en-US" w:eastAsia="zh-CN"/>
        </w:rPr>
        <w:t>县直部门到期档案接收进馆指标</w:t>
      </w:r>
      <w:r>
        <w:rPr>
          <w:rFonts w:hint="eastAsia"/>
          <w:color w:val="auto"/>
          <w:highlight w:val="none"/>
        </w:rPr>
        <w:t>完成情况分析</w:t>
      </w:r>
    </w:p>
    <w:p>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县直部门到期档案接收进馆指标年初设定目标是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个，年中绩效运行监控时完成值</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个，年终实际完成值是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个，指标完成率是100%，根据单位年度计划要求，县直部门到期档案接收进馆</w:t>
      </w:r>
      <w:r>
        <w:rPr>
          <w:rFonts w:hint="eastAsia" w:cs="仿宋_GB2312"/>
          <w:b w:val="0"/>
          <w:bCs w:val="0"/>
          <w:color w:val="auto"/>
          <w:kern w:val="2"/>
          <w:sz w:val="28"/>
          <w:szCs w:val="24"/>
          <w:highlight w:val="none"/>
          <w:lang w:val="en-US" w:eastAsia="zh-CN" w:bidi="ar-SA"/>
        </w:rPr>
        <w:t>10家</w:t>
      </w:r>
      <w:r>
        <w:rPr>
          <w:rFonts w:hint="eastAsia" w:ascii="仿宋_GB2312" w:hAnsi="仿宋_GB2312" w:eastAsia="仿宋" w:cs="仿宋_GB2312"/>
          <w:b w:val="0"/>
          <w:bCs w:val="0"/>
          <w:color w:val="auto"/>
          <w:kern w:val="2"/>
          <w:sz w:val="28"/>
          <w:szCs w:val="24"/>
          <w:highlight w:val="none"/>
          <w:lang w:val="en-US" w:eastAsia="zh-CN" w:bidi="ar-SA"/>
        </w:rPr>
        <w:t>，便于全县政治经济文化、人事档案，便于查阅、利用档案。偏差原因：无偏差。</w:t>
      </w:r>
    </w:p>
    <w:p>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（七）群众办事便利率指标完成情况分析</w:t>
      </w:r>
    </w:p>
    <w:p>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群众办事便利率指标年初设定目标是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60%</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，指标完成率是100%，根据单位年度计划要求，县直部门到期档案接收进馆</w:t>
      </w:r>
      <w:r>
        <w:rPr>
          <w:rFonts w:hint="eastAsia" w:cs="仿宋_GB2312"/>
          <w:b w:val="0"/>
          <w:bCs w:val="0"/>
          <w:color w:val="auto"/>
          <w:kern w:val="2"/>
          <w:sz w:val="28"/>
          <w:szCs w:val="24"/>
          <w:highlight w:val="none"/>
          <w:lang w:val="en-US" w:eastAsia="zh-CN" w:bidi="ar-SA"/>
        </w:rPr>
        <w:t>10家</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实现档案数字化管理</w:t>
      </w:r>
      <w:r>
        <w:rPr>
          <w:rFonts w:hint="eastAsia" w:ascii="仿宋_GB2312" w:hAnsi="仿宋_GB2312" w:eastAsia="仿宋" w:cs="仿宋_GB2312"/>
          <w:b w:val="0"/>
          <w:bCs w:val="0"/>
          <w:color w:val="auto"/>
          <w:kern w:val="2"/>
          <w:sz w:val="28"/>
          <w:szCs w:val="24"/>
          <w:highlight w:val="none"/>
          <w:lang w:val="en-US" w:eastAsia="zh-CN" w:bidi="ar-SA"/>
        </w:rPr>
        <w:t>，加强干部人事档案信息化管理，确保信息库档案和纸质档案一致，保障</w:t>
      </w:r>
      <w:r>
        <w:rPr>
          <w:rFonts w:hint="eastAsia" w:cs="仿宋_GB2312"/>
          <w:b w:val="0"/>
          <w:bCs w:val="0"/>
          <w:color w:val="auto"/>
          <w:kern w:val="2"/>
          <w:sz w:val="28"/>
          <w:szCs w:val="24"/>
          <w:highlight w:val="none"/>
          <w:lang w:val="en-US" w:eastAsia="zh-CN" w:bidi="ar-SA"/>
        </w:rPr>
        <w:t>全县政治经济文化、人事档案</w:t>
      </w:r>
      <w:r>
        <w:rPr>
          <w:rFonts w:hint="eastAsia" w:ascii="仿宋_GB2312" w:hAnsi="仿宋_GB2312" w:eastAsia="仿宋" w:cs="仿宋_GB2312"/>
          <w:b w:val="0"/>
          <w:bCs w:val="0"/>
          <w:color w:val="auto"/>
          <w:kern w:val="2"/>
          <w:sz w:val="28"/>
          <w:szCs w:val="24"/>
          <w:highlight w:val="none"/>
          <w:lang w:val="en-US" w:eastAsia="zh-CN" w:bidi="ar-SA"/>
        </w:rPr>
        <w:t>，干部人事档案的完整性；有效提高群众办事便利度。偏差原因：无偏差。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pPr>
        <w:pStyle w:val="3"/>
        <w:bidi w:val="0"/>
        <w:rPr>
          <w:rFonts w:hint="eastAsia" w:ascii="仿宋_GB2312" w:hAnsi="仿宋_GB2312" w:eastAsia="仿宋" w:cs="仿宋_GB2312"/>
          <w:b w:val="0"/>
          <w:bCs w:val="0"/>
          <w:color w:val="auto"/>
          <w:kern w:val="2"/>
          <w:sz w:val="28"/>
          <w:szCs w:val="24"/>
          <w:highlight w:val="none"/>
          <w:lang w:val="en-US" w:eastAsia="zh-CN" w:bidi="ar-SA"/>
        </w:rPr>
      </w:pPr>
      <w:bookmarkStart w:id="4" w:name="_Toc22800_WPSOffice_Level1"/>
      <w:r>
        <w:rPr>
          <w:rFonts w:hint="eastAsia" w:ascii="仿宋_GB2312" w:hAnsi="仿宋_GB2312" w:eastAsia="仿宋" w:cs="仿宋_GB2312"/>
          <w:b w:val="0"/>
          <w:bCs w:val="0"/>
          <w:color w:val="auto"/>
          <w:kern w:val="2"/>
          <w:sz w:val="28"/>
          <w:szCs w:val="24"/>
          <w:highlight w:val="none"/>
          <w:lang w:val="en-US" w:eastAsia="zh-CN" w:bidi="ar-SA"/>
        </w:rPr>
        <w:t>在县委的坚强领导下，县委办公室坚持以习近平新时代中国特色社会主义思想为指导，深入贯彻落实党的二十大精神，贯彻落实习近平总书记听取自治区和兵团工作汇报时的重要讲话精神，学习贯彻习近平总书记对新时代办公厅工作的重要指示精神，完整准确贯彻新时代党的治疆方略，牢牢扭住社会稳定和长治久安总目标，严格落实自治区、自治州和县委各项部署要求，立足“四最一中枢”职能定位，扎实践行五个坚持，服务决策、服务落实、服务发展，为县委科学决策作出积极贡献。</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ind w:firstLine="560"/>
        <w:rPr>
          <w:rFonts w:hint="eastAsia" w:ascii="仿宋" w:hAnsi="仿宋" w:eastAsia="仿宋" w:cs="Times New Roman"/>
          <w:b w:val="0"/>
          <w:bCs w:val="0"/>
          <w:color w:val="auto"/>
          <w:kern w:val="2"/>
          <w:sz w:val="28"/>
          <w:szCs w:val="24"/>
          <w:highlight w:val="none"/>
          <w:lang w:val="en-US" w:eastAsia="zh-CN" w:bidi="ar-SA"/>
        </w:rPr>
      </w:pPr>
      <w:bookmarkStart w:id="5" w:name="_Toc29546_WPSOffice_Level1"/>
      <w:r>
        <w:rPr>
          <w:rFonts w:hint="eastAsia" w:cs="Times New Roman"/>
          <w:b w:val="0"/>
          <w:bCs w:val="0"/>
          <w:color w:val="auto"/>
          <w:kern w:val="2"/>
          <w:sz w:val="28"/>
          <w:szCs w:val="24"/>
          <w:highlight w:val="none"/>
          <w:lang w:val="en-US" w:eastAsia="zh-CN" w:bidi="ar-SA"/>
        </w:rPr>
        <w:t>1、</w:t>
      </w:r>
      <w:r>
        <w:rPr>
          <w:rFonts w:hint="eastAsia" w:ascii="仿宋" w:hAnsi="仿宋" w:eastAsia="仿宋" w:cs="Times New Roman"/>
          <w:b w:val="0"/>
          <w:bCs w:val="0"/>
          <w:color w:val="auto"/>
          <w:kern w:val="2"/>
          <w:sz w:val="28"/>
          <w:szCs w:val="24"/>
          <w:highlight w:val="none"/>
          <w:lang w:val="en-US" w:eastAsia="zh-CN" w:bidi="ar-SA"/>
        </w:rPr>
        <w:t>本年度整体支出绩效管理工作还有待进一步提高，科学的、有计划</w:t>
      </w:r>
      <w:r>
        <w:rPr>
          <w:rFonts w:hint="eastAsia" w:ascii="仿宋" w:hAnsi="仿宋" w:cs="Times New Roman"/>
          <w:b w:val="0"/>
          <w:bCs w:val="0"/>
          <w:color w:val="auto"/>
          <w:kern w:val="2"/>
          <w:sz w:val="28"/>
          <w:szCs w:val="24"/>
          <w:highlight w:val="none"/>
          <w:lang w:val="en-US" w:eastAsia="zh-CN" w:bidi="ar-SA"/>
        </w:rPr>
        <w:t>地</w:t>
      </w:r>
      <w:r>
        <w:rPr>
          <w:rFonts w:hint="eastAsia" w:ascii="仿宋" w:hAnsi="仿宋" w:eastAsia="仿宋" w:cs="Times New Roman"/>
          <w:b w:val="0"/>
          <w:bCs w:val="0"/>
          <w:color w:val="auto"/>
          <w:kern w:val="2"/>
          <w:sz w:val="28"/>
          <w:szCs w:val="24"/>
          <w:highlight w:val="none"/>
          <w:lang w:val="en-US" w:eastAsia="zh-CN" w:bidi="ar-SA"/>
        </w:rPr>
        <w:t>实施绩效。</w:t>
      </w:r>
    </w:p>
    <w:p>
      <w:pPr>
        <w:ind w:firstLine="560"/>
        <w:rPr>
          <w:rFonts w:hint="eastAsia"/>
          <w:color w:val="auto"/>
          <w:highlight w:val="none"/>
          <w:lang w:val="en-US" w:eastAsia="zh-CN"/>
        </w:rPr>
      </w:pPr>
      <w:r>
        <w:rPr>
          <w:rFonts w:hint="eastAsia"/>
          <w:color w:val="auto"/>
          <w:highlight w:val="none"/>
          <w:lang w:val="en-US" w:eastAsia="zh-CN"/>
        </w:rPr>
        <w:t>2、预算绩效管理水平仍有欠缺</w:t>
      </w:r>
      <w:r>
        <w:rPr>
          <w:rFonts w:hint="eastAsia" w:ascii="仿宋" w:hAnsi="仿宋" w:eastAsia="仿宋" w:cs="Times New Roman"/>
          <w:b w:val="0"/>
          <w:bCs w:val="0"/>
          <w:color w:val="auto"/>
          <w:kern w:val="2"/>
          <w:sz w:val="28"/>
          <w:szCs w:val="24"/>
          <w:highlight w:val="none"/>
          <w:lang w:val="en-US" w:eastAsia="zh-CN" w:bidi="ar-SA"/>
        </w:rPr>
        <w:t>。在202</w:t>
      </w:r>
      <w:r>
        <w:rPr>
          <w:rFonts w:hint="eastAsia" w:ascii="仿宋" w:hAnsi="仿宋" w:cs="Times New Roman"/>
          <w:b w:val="0"/>
          <w:bCs w:val="0"/>
          <w:color w:val="auto"/>
          <w:kern w:val="2"/>
          <w:sz w:val="28"/>
          <w:szCs w:val="24"/>
          <w:highlight w:val="none"/>
          <w:lang w:val="en-US" w:eastAsia="zh-CN" w:bidi="ar-SA"/>
        </w:rPr>
        <w:t>3</w:t>
      </w:r>
      <w:r>
        <w:rPr>
          <w:rFonts w:hint="eastAsia" w:ascii="仿宋" w:hAnsi="仿宋" w:eastAsia="仿宋" w:cs="Times New Roman"/>
          <w:b w:val="0"/>
          <w:bCs w:val="0"/>
          <w:color w:val="auto"/>
          <w:kern w:val="2"/>
          <w:sz w:val="28"/>
          <w:szCs w:val="24"/>
          <w:highlight w:val="none"/>
          <w:lang w:val="en-US" w:eastAsia="zh-CN" w:bidi="ar-SA"/>
        </w:rPr>
        <w:t>年预算绩效管理工作中，对全面实施预算绩效管理的要求认识还不到位</w:t>
      </w:r>
      <w:r>
        <w:rPr>
          <w:rFonts w:hint="eastAsia" w:cs="Times New Roman"/>
          <w:b w:val="0"/>
          <w:bCs w:val="0"/>
          <w:color w:val="auto"/>
          <w:kern w:val="2"/>
          <w:sz w:val="28"/>
          <w:szCs w:val="24"/>
          <w:highlight w:val="none"/>
          <w:lang w:val="en-US" w:eastAsia="zh-CN" w:bidi="ar-SA"/>
        </w:rPr>
        <w:t>，</w:t>
      </w:r>
      <w:r>
        <w:rPr>
          <w:rFonts w:hint="eastAsia" w:ascii="仿宋" w:hAnsi="仿宋" w:eastAsia="仿宋" w:cs="Times New Roman"/>
          <w:b w:val="0"/>
          <w:bCs w:val="0"/>
          <w:color w:val="auto"/>
          <w:kern w:val="2"/>
          <w:sz w:val="28"/>
          <w:szCs w:val="24"/>
          <w:highlight w:val="none"/>
          <w:lang w:val="en-US" w:eastAsia="zh-CN" w:bidi="ar-SA"/>
        </w:rPr>
        <w:t>同时预算绩效管</w:t>
      </w:r>
      <w:r>
        <w:rPr>
          <w:rFonts w:hint="eastAsia"/>
          <w:color w:val="auto"/>
          <w:highlight w:val="none"/>
          <w:lang w:val="en-US" w:eastAsia="zh-CN"/>
        </w:rPr>
        <w:t>理也是一项新工作，面对专业人手不足、绩效管理水平欠缺的情况下，坚持“滚石上山”，提升的空间还是很大。</w:t>
      </w:r>
    </w:p>
    <w:p>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pStyle w:val="3"/>
        <w:ind w:firstLine="562"/>
        <w:rPr>
          <w:rFonts w:hint="eastAsia"/>
          <w:color w:val="auto"/>
          <w:highlight w:val="none"/>
          <w:lang w:val="en-US" w:eastAsia="zh-CN"/>
        </w:rPr>
      </w:pPr>
      <w:r>
        <w:rPr>
          <w:rFonts w:hint="eastAsia" w:ascii="仿宋" w:hAnsi="仿宋" w:eastAsia="仿宋" w:cs="Times New Roman"/>
          <w:b w:val="0"/>
          <w:bCs w:val="0"/>
          <w:color w:val="auto"/>
          <w:kern w:val="2"/>
          <w:sz w:val="28"/>
          <w:szCs w:val="24"/>
          <w:highlight w:val="none"/>
          <w:lang w:val="en-US" w:eastAsia="zh-CN" w:bidi="ar-SA"/>
        </w:rPr>
        <w:t>1、在整体绩效制定和实施过程中，吸取往年整体绩效在实施过程中好的经验及做法，改进摒弃不足之处，使其发挥的作用更全面、更规范、更科学。</w:t>
      </w:r>
    </w:p>
    <w:p>
      <w:pPr>
        <w:ind w:firstLine="560"/>
        <w:rPr>
          <w:rFonts w:hint="default"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2、</w:t>
      </w:r>
      <w:r>
        <w:rPr>
          <w:rFonts w:hint="default" w:ascii="仿宋" w:hAnsi="仿宋" w:eastAsia="仿宋" w:cs="Times New Roman"/>
          <w:b w:val="0"/>
          <w:bCs w:val="0"/>
          <w:color w:val="auto"/>
          <w:kern w:val="2"/>
          <w:sz w:val="28"/>
          <w:szCs w:val="24"/>
          <w:highlight w:val="none"/>
          <w:lang w:val="en-US" w:eastAsia="zh-CN" w:bidi="ar-SA"/>
        </w:rPr>
        <w:t>加强财政资金使用效益跟踪“回头看”，反馈针对资金绩效运行状况，及时预控、查找资金使用和管理过程中的薄弱环节，提出纠偏措施；</w:t>
      </w:r>
      <w:r>
        <w:rPr>
          <w:rFonts w:hint="eastAsia" w:ascii="仿宋" w:hAnsi="仿宋" w:cs="Times New Roman"/>
          <w:b w:val="0"/>
          <w:bCs w:val="0"/>
          <w:color w:val="auto"/>
          <w:kern w:val="2"/>
          <w:sz w:val="28"/>
          <w:szCs w:val="24"/>
          <w:highlight w:val="none"/>
          <w:lang w:val="en-US" w:eastAsia="zh-CN" w:bidi="ar-SA"/>
        </w:rPr>
        <w:t>为</w:t>
      </w:r>
      <w:bookmarkStart w:id="6" w:name="_GoBack"/>
      <w:bookmarkEnd w:id="6"/>
      <w:r>
        <w:rPr>
          <w:rFonts w:hint="default" w:ascii="仿宋" w:hAnsi="仿宋" w:eastAsia="仿宋" w:cs="Times New Roman"/>
          <w:b w:val="0"/>
          <w:bCs w:val="0"/>
          <w:color w:val="auto"/>
          <w:kern w:val="2"/>
          <w:sz w:val="28"/>
          <w:szCs w:val="24"/>
          <w:highlight w:val="none"/>
          <w:lang w:val="en-US" w:eastAsia="zh-CN" w:bidi="ar-SA"/>
        </w:rPr>
        <w:t>绩效目标的有效实现提供有力支撑。</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25861"/>
    <w:rsid w:val="00141421"/>
    <w:rsid w:val="00191BA3"/>
    <w:rsid w:val="001C1E1D"/>
    <w:rsid w:val="001E750D"/>
    <w:rsid w:val="0022744B"/>
    <w:rsid w:val="00234372"/>
    <w:rsid w:val="00244C7D"/>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402CA"/>
    <w:rsid w:val="007E7E99"/>
    <w:rsid w:val="00825D99"/>
    <w:rsid w:val="0089387B"/>
    <w:rsid w:val="008E7E52"/>
    <w:rsid w:val="009304D8"/>
    <w:rsid w:val="0093778D"/>
    <w:rsid w:val="0097614B"/>
    <w:rsid w:val="0099431C"/>
    <w:rsid w:val="009F5A38"/>
    <w:rsid w:val="00AA5126"/>
    <w:rsid w:val="00AD16CD"/>
    <w:rsid w:val="00AE01CA"/>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590AF2"/>
    <w:rsid w:val="015E45A8"/>
    <w:rsid w:val="017F1C27"/>
    <w:rsid w:val="01941124"/>
    <w:rsid w:val="01AD5116"/>
    <w:rsid w:val="01CC583F"/>
    <w:rsid w:val="02102C7C"/>
    <w:rsid w:val="02337D11"/>
    <w:rsid w:val="02914FC9"/>
    <w:rsid w:val="02BF3353"/>
    <w:rsid w:val="02C40969"/>
    <w:rsid w:val="02E50747"/>
    <w:rsid w:val="03367AB9"/>
    <w:rsid w:val="0374413D"/>
    <w:rsid w:val="037808B5"/>
    <w:rsid w:val="038C76D9"/>
    <w:rsid w:val="03D7716B"/>
    <w:rsid w:val="03EF7C67"/>
    <w:rsid w:val="04050E4D"/>
    <w:rsid w:val="041476CE"/>
    <w:rsid w:val="045301F6"/>
    <w:rsid w:val="046046C1"/>
    <w:rsid w:val="04763D06"/>
    <w:rsid w:val="04DB4953"/>
    <w:rsid w:val="04FF0482"/>
    <w:rsid w:val="05062887"/>
    <w:rsid w:val="05464D81"/>
    <w:rsid w:val="05A20EFB"/>
    <w:rsid w:val="05F70F85"/>
    <w:rsid w:val="0607573C"/>
    <w:rsid w:val="06153228"/>
    <w:rsid w:val="06547701"/>
    <w:rsid w:val="066F5090"/>
    <w:rsid w:val="069152E2"/>
    <w:rsid w:val="069B7C33"/>
    <w:rsid w:val="07027CB2"/>
    <w:rsid w:val="072B19D6"/>
    <w:rsid w:val="07A84ABE"/>
    <w:rsid w:val="07B01959"/>
    <w:rsid w:val="08114650"/>
    <w:rsid w:val="081F22F1"/>
    <w:rsid w:val="08301138"/>
    <w:rsid w:val="084208C4"/>
    <w:rsid w:val="085409E1"/>
    <w:rsid w:val="08646E76"/>
    <w:rsid w:val="08B33959"/>
    <w:rsid w:val="08B9128C"/>
    <w:rsid w:val="08BE30AD"/>
    <w:rsid w:val="08FC0E5C"/>
    <w:rsid w:val="0933317B"/>
    <w:rsid w:val="098A3C0A"/>
    <w:rsid w:val="098C5F88"/>
    <w:rsid w:val="09A17C56"/>
    <w:rsid w:val="09A24E4E"/>
    <w:rsid w:val="09A700C0"/>
    <w:rsid w:val="09D27E0F"/>
    <w:rsid w:val="09DA3F01"/>
    <w:rsid w:val="0A1D3EBD"/>
    <w:rsid w:val="0A5B321B"/>
    <w:rsid w:val="0A862E62"/>
    <w:rsid w:val="0A890F6E"/>
    <w:rsid w:val="0A9821F1"/>
    <w:rsid w:val="0A9A7091"/>
    <w:rsid w:val="0B136931"/>
    <w:rsid w:val="0B5F27C4"/>
    <w:rsid w:val="0B787F44"/>
    <w:rsid w:val="0BC33EB3"/>
    <w:rsid w:val="0C01399D"/>
    <w:rsid w:val="0C547C9E"/>
    <w:rsid w:val="0C6738B8"/>
    <w:rsid w:val="0D0F51A8"/>
    <w:rsid w:val="0D116EA1"/>
    <w:rsid w:val="0D1B4092"/>
    <w:rsid w:val="0D3061F0"/>
    <w:rsid w:val="0E4B7535"/>
    <w:rsid w:val="0E7D784C"/>
    <w:rsid w:val="0E975183"/>
    <w:rsid w:val="0EE87189"/>
    <w:rsid w:val="0EF6634E"/>
    <w:rsid w:val="0F1B7B63"/>
    <w:rsid w:val="0F34026C"/>
    <w:rsid w:val="0F44759F"/>
    <w:rsid w:val="0FC85F3C"/>
    <w:rsid w:val="0FDC4FD0"/>
    <w:rsid w:val="0FF860F6"/>
    <w:rsid w:val="10300946"/>
    <w:rsid w:val="104B4477"/>
    <w:rsid w:val="10572E1C"/>
    <w:rsid w:val="10A86A0C"/>
    <w:rsid w:val="10C73AAD"/>
    <w:rsid w:val="10CC55B8"/>
    <w:rsid w:val="10FE60D7"/>
    <w:rsid w:val="110411F6"/>
    <w:rsid w:val="11194576"/>
    <w:rsid w:val="11A71B81"/>
    <w:rsid w:val="12477606"/>
    <w:rsid w:val="126C750C"/>
    <w:rsid w:val="127A7A5A"/>
    <w:rsid w:val="13045F56"/>
    <w:rsid w:val="13412CE0"/>
    <w:rsid w:val="134F7771"/>
    <w:rsid w:val="13E513B9"/>
    <w:rsid w:val="14091746"/>
    <w:rsid w:val="141B23B3"/>
    <w:rsid w:val="15187A01"/>
    <w:rsid w:val="152B345D"/>
    <w:rsid w:val="1545273C"/>
    <w:rsid w:val="158C5316"/>
    <w:rsid w:val="15B904C0"/>
    <w:rsid w:val="15BB5F7E"/>
    <w:rsid w:val="15DD0268"/>
    <w:rsid w:val="16094BB9"/>
    <w:rsid w:val="161377E5"/>
    <w:rsid w:val="16523D0D"/>
    <w:rsid w:val="165C118C"/>
    <w:rsid w:val="167E1752"/>
    <w:rsid w:val="16924BAE"/>
    <w:rsid w:val="16BA1330"/>
    <w:rsid w:val="16DF591A"/>
    <w:rsid w:val="17257327"/>
    <w:rsid w:val="172D035F"/>
    <w:rsid w:val="175D58E3"/>
    <w:rsid w:val="177E3384"/>
    <w:rsid w:val="178247B6"/>
    <w:rsid w:val="17854004"/>
    <w:rsid w:val="17B86896"/>
    <w:rsid w:val="17D10981"/>
    <w:rsid w:val="18061B60"/>
    <w:rsid w:val="18980476"/>
    <w:rsid w:val="189D328B"/>
    <w:rsid w:val="19037FE5"/>
    <w:rsid w:val="190C3DF8"/>
    <w:rsid w:val="192561AE"/>
    <w:rsid w:val="19412142"/>
    <w:rsid w:val="19427702"/>
    <w:rsid w:val="1977008B"/>
    <w:rsid w:val="197D7531"/>
    <w:rsid w:val="1986223D"/>
    <w:rsid w:val="1988096E"/>
    <w:rsid w:val="19AA4D08"/>
    <w:rsid w:val="19F83E30"/>
    <w:rsid w:val="1A366198"/>
    <w:rsid w:val="1A5833BE"/>
    <w:rsid w:val="1A6E148E"/>
    <w:rsid w:val="1B403139"/>
    <w:rsid w:val="1BA23E01"/>
    <w:rsid w:val="1BCD48E4"/>
    <w:rsid w:val="1C232B75"/>
    <w:rsid w:val="1C365FDC"/>
    <w:rsid w:val="1C535B48"/>
    <w:rsid w:val="1C6D319F"/>
    <w:rsid w:val="1C8B27CB"/>
    <w:rsid w:val="1D384A93"/>
    <w:rsid w:val="1D4D74D6"/>
    <w:rsid w:val="1D7E6540"/>
    <w:rsid w:val="1DE32CFD"/>
    <w:rsid w:val="1E29080C"/>
    <w:rsid w:val="1E6721C6"/>
    <w:rsid w:val="1EE0174A"/>
    <w:rsid w:val="1EF56B52"/>
    <w:rsid w:val="1F1A602A"/>
    <w:rsid w:val="1F2854B6"/>
    <w:rsid w:val="20686980"/>
    <w:rsid w:val="20784F22"/>
    <w:rsid w:val="209F35AB"/>
    <w:rsid w:val="20AD0837"/>
    <w:rsid w:val="20CE05CF"/>
    <w:rsid w:val="20EE7027"/>
    <w:rsid w:val="21073FA5"/>
    <w:rsid w:val="21430C90"/>
    <w:rsid w:val="217D20CE"/>
    <w:rsid w:val="21C67E02"/>
    <w:rsid w:val="21C768CD"/>
    <w:rsid w:val="22284619"/>
    <w:rsid w:val="228C5B24"/>
    <w:rsid w:val="22B843D4"/>
    <w:rsid w:val="22E14253"/>
    <w:rsid w:val="22F94A3F"/>
    <w:rsid w:val="23132166"/>
    <w:rsid w:val="23214240"/>
    <w:rsid w:val="233F1C1A"/>
    <w:rsid w:val="23761281"/>
    <w:rsid w:val="23931BB2"/>
    <w:rsid w:val="23B25178"/>
    <w:rsid w:val="23F209A3"/>
    <w:rsid w:val="2403516E"/>
    <w:rsid w:val="243044F3"/>
    <w:rsid w:val="24B30B11"/>
    <w:rsid w:val="24E71FCC"/>
    <w:rsid w:val="24EB56AF"/>
    <w:rsid w:val="25002580"/>
    <w:rsid w:val="254E25E8"/>
    <w:rsid w:val="255A7AC4"/>
    <w:rsid w:val="256A2A9E"/>
    <w:rsid w:val="260625A9"/>
    <w:rsid w:val="26102FB1"/>
    <w:rsid w:val="26190FBF"/>
    <w:rsid w:val="261B34CE"/>
    <w:rsid w:val="26A90762"/>
    <w:rsid w:val="26EB1C9C"/>
    <w:rsid w:val="26F251F5"/>
    <w:rsid w:val="27A04C51"/>
    <w:rsid w:val="27F7226E"/>
    <w:rsid w:val="27FD097D"/>
    <w:rsid w:val="2805537E"/>
    <w:rsid w:val="282805F7"/>
    <w:rsid w:val="28700AC7"/>
    <w:rsid w:val="287014C6"/>
    <w:rsid w:val="289437EE"/>
    <w:rsid w:val="28E77C60"/>
    <w:rsid w:val="29015BC3"/>
    <w:rsid w:val="292B2C3A"/>
    <w:rsid w:val="297873DB"/>
    <w:rsid w:val="298E56A9"/>
    <w:rsid w:val="29F35E61"/>
    <w:rsid w:val="2A285817"/>
    <w:rsid w:val="2AA8279A"/>
    <w:rsid w:val="2AAD6003"/>
    <w:rsid w:val="2B6F150A"/>
    <w:rsid w:val="2BB557CB"/>
    <w:rsid w:val="2BC51751"/>
    <w:rsid w:val="2BF7434C"/>
    <w:rsid w:val="2CC118F2"/>
    <w:rsid w:val="2D166684"/>
    <w:rsid w:val="2D1E1E01"/>
    <w:rsid w:val="2D375822"/>
    <w:rsid w:val="2DBF26B9"/>
    <w:rsid w:val="2E0910DA"/>
    <w:rsid w:val="2E2A6BB2"/>
    <w:rsid w:val="2EBF757D"/>
    <w:rsid w:val="2F004ABE"/>
    <w:rsid w:val="2F6B1FE9"/>
    <w:rsid w:val="2F7964B4"/>
    <w:rsid w:val="2FD55286"/>
    <w:rsid w:val="2FF44663"/>
    <w:rsid w:val="30192984"/>
    <w:rsid w:val="303A60A4"/>
    <w:rsid w:val="3055711E"/>
    <w:rsid w:val="30A532D8"/>
    <w:rsid w:val="30F5600E"/>
    <w:rsid w:val="313A1C72"/>
    <w:rsid w:val="314379E0"/>
    <w:rsid w:val="316F5DC0"/>
    <w:rsid w:val="31927D00"/>
    <w:rsid w:val="319677F1"/>
    <w:rsid w:val="31AE39CE"/>
    <w:rsid w:val="31B83F5F"/>
    <w:rsid w:val="31E57E30"/>
    <w:rsid w:val="32064F16"/>
    <w:rsid w:val="325425D6"/>
    <w:rsid w:val="32764F2C"/>
    <w:rsid w:val="328E2AB6"/>
    <w:rsid w:val="329B12EA"/>
    <w:rsid w:val="32CE2FBA"/>
    <w:rsid w:val="32CE6B16"/>
    <w:rsid w:val="32FB1A54"/>
    <w:rsid w:val="331A3077"/>
    <w:rsid w:val="33291F9F"/>
    <w:rsid w:val="334D1769"/>
    <w:rsid w:val="33A83F87"/>
    <w:rsid w:val="33AE1E94"/>
    <w:rsid w:val="33F425AD"/>
    <w:rsid w:val="340D2D0F"/>
    <w:rsid w:val="341D140E"/>
    <w:rsid w:val="34853B4C"/>
    <w:rsid w:val="348F1A9E"/>
    <w:rsid w:val="34CD4D0B"/>
    <w:rsid w:val="34D42D10"/>
    <w:rsid w:val="351647A5"/>
    <w:rsid w:val="352275ED"/>
    <w:rsid w:val="354D6418"/>
    <w:rsid w:val="355C2B3F"/>
    <w:rsid w:val="356B4AF0"/>
    <w:rsid w:val="35BC534C"/>
    <w:rsid w:val="35F12468"/>
    <w:rsid w:val="35F649DE"/>
    <w:rsid w:val="36120E1D"/>
    <w:rsid w:val="362F5B1E"/>
    <w:rsid w:val="364F61C0"/>
    <w:rsid w:val="36851B5C"/>
    <w:rsid w:val="36AF080A"/>
    <w:rsid w:val="36DB7A54"/>
    <w:rsid w:val="36EE5B7E"/>
    <w:rsid w:val="36FD79CA"/>
    <w:rsid w:val="37463BF0"/>
    <w:rsid w:val="37661A13"/>
    <w:rsid w:val="379871D0"/>
    <w:rsid w:val="37BA58BB"/>
    <w:rsid w:val="37D360CA"/>
    <w:rsid w:val="384A4E91"/>
    <w:rsid w:val="38795776"/>
    <w:rsid w:val="38CB5066"/>
    <w:rsid w:val="38DC1F0B"/>
    <w:rsid w:val="38E054C9"/>
    <w:rsid w:val="38E12156"/>
    <w:rsid w:val="390D427E"/>
    <w:rsid w:val="39283404"/>
    <w:rsid w:val="398477C1"/>
    <w:rsid w:val="39A6259B"/>
    <w:rsid w:val="3A0B4AF4"/>
    <w:rsid w:val="3A565DE9"/>
    <w:rsid w:val="3A8B353F"/>
    <w:rsid w:val="3AC36A27"/>
    <w:rsid w:val="3B27753F"/>
    <w:rsid w:val="3B4A3407"/>
    <w:rsid w:val="3BF82E56"/>
    <w:rsid w:val="3C430575"/>
    <w:rsid w:val="3C991F43"/>
    <w:rsid w:val="3D4225DB"/>
    <w:rsid w:val="3D9D79CF"/>
    <w:rsid w:val="3E3E629E"/>
    <w:rsid w:val="3F067638"/>
    <w:rsid w:val="3F1B1E7A"/>
    <w:rsid w:val="3F301058"/>
    <w:rsid w:val="3FEB7242"/>
    <w:rsid w:val="4009068C"/>
    <w:rsid w:val="408F211F"/>
    <w:rsid w:val="413466DE"/>
    <w:rsid w:val="414D1B28"/>
    <w:rsid w:val="41540B2E"/>
    <w:rsid w:val="417A34F9"/>
    <w:rsid w:val="418810F4"/>
    <w:rsid w:val="41A37673"/>
    <w:rsid w:val="41B74C19"/>
    <w:rsid w:val="41BD643C"/>
    <w:rsid w:val="41CC2DBB"/>
    <w:rsid w:val="41EA3241"/>
    <w:rsid w:val="41F16716"/>
    <w:rsid w:val="42044303"/>
    <w:rsid w:val="42091919"/>
    <w:rsid w:val="423F358D"/>
    <w:rsid w:val="424010B3"/>
    <w:rsid w:val="42503F5E"/>
    <w:rsid w:val="427924F9"/>
    <w:rsid w:val="428D1C20"/>
    <w:rsid w:val="42C30950"/>
    <w:rsid w:val="42EF3FEB"/>
    <w:rsid w:val="43713C1A"/>
    <w:rsid w:val="43762FDE"/>
    <w:rsid w:val="43BD1F91"/>
    <w:rsid w:val="43CD4BC8"/>
    <w:rsid w:val="44101E06"/>
    <w:rsid w:val="441048F1"/>
    <w:rsid w:val="44321F58"/>
    <w:rsid w:val="445A46AE"/>
    <w:rsid w:val="45033278"/>
    <w:rsid w:val="452F5B3A"/>
    <w:rsid w:val="459B4F7E"/>
    <w:rsid w:val="45A65C7F"/>
    <w:rsid w:val="45D14967"/>
    <w:rsid w:val="45DE30BD"/>
    <w:rsid w:val="45F13359"/>
    <w:rsid w:val="46146ADE"/>
    <w:rsid w:val="4629384D"/>
    <w:rsid w:val="468C2A4A"/>
    <w:rsid w:val="46A95479"/>
    <w:rsid w:val="46AD2493"/>
    <w:rsid w:val="46B77DBE"/>
    <w:rsid w:val="46B95148"/>
    <w:rsid w:val="46E91976"/>
    <w:rsid w:val="46EC7F14"/>
    <w:rsid w:val="470D5262"/>
    <w:rsid w:val="47341E29"/>
    <w:rsid w:val="476F0470"/>
    <w:rsid w:val="478C2D35"/>
    <w:rsid w:val="47CA7D9C"/>
    <w:rsid w:val="47DB3D58"/>
    <w:rsid w:val="480D0379"/>
    <w:rsid w:val="48194880"/>
    <w:rsid w:val="484F3DFE"/>
    <w:rsid w:val="48941AB5"/>
    <w:rsid w:val="48AF4C7F"/>
    <w:rsid w:val="49060C00"/>
    <w:rsid w:val="49276134"/>
    <w:rsid w:val="49ED1B20"/>
    <w:rsid w:val="4A5415F3"/>
    <w:rsid w:val="4A5B46DD"/>
    <w:rsid w:val="4A6F6A56"/>
    <w:rsid w:val="4A721C9F"/>
    <w:rsid w:val="4A81677A"/>
    <w:rsid w:val="4A835FE1"/>
    <w:rsid w:val="4A9326C8"/>
    <w:rsid w:val="4AC55563"/>
    <w:rsid w:val="4AF07B1A"/>
    <w:rsid w:val="4B3B5348"/>
    <w:rsid w:val="4B597281"/>
    <w:rsid w:val="4C1E18DC"/>
    <w:rsid w:val="4C3103EA"/>
    <w:rsid w:val="4C8227F9"/>
    <w:rsid w:val="4CB2564B"/>
    <w:rsid w:val="4D1D44CA"/>
    <w:rsid w:val="4D697874"/>
    <w:rsid w:val="4DA16EA9"/>
    <w:rsid w:val="4DA177B2"/>
    <w:rsid w:val="4DA370C6"/>
    <w:rsid w:val="4DF36D4F"/>
    <w:rsid w:val="4E281379"/>
    <w:rsid w:val="4EDF237F"/>
    <w:rsid w:val="4F0730C5"/>
    <w:rsid w:val="4F094079"/>
    <w:rsid w:val="4F0D44DF"/>
    <w:rsid w:val="4F9421A3"/>
    <w:rsid w:val="4FD572DE"/>
    <w:rsid w:val="500F0A42"/>
    <w:rsid w:val="501B7C76"/>
    <w:rsid w:val="504D5CCF"/>
    <w:rsid w:val="50C17863"/>
    <w:rsid w:val="511A2CA6"/>
    <w:rsid w:val="51316796"/>
    <w:rsid w:val="51342DA5"/>
    <w:rsid w:val="517F7502"/>
    <w:rsid w:val="5187170F"/>
    <w:rsid w:val="51F86F0A"/>
    <w:rsid w:val="52005135"/>
    <w:rsid w:val="52095E1B"/>
    <w:rsid w:val="521D4F6D"/>
    <w:rsid w:val="524B7D87"/>
    <w:rsid w:val="52D967E7"/>
    <w:rsid w:val="530B3F54"/>
    <w:rsid w:val="53304336"/>
    <w:rsid w:val="533A7469"/>
    <w:rsid w:val="533B38FC"/>
    <w:rsid w:val="53526129"/>
    <w:rsid w:val="53620E89"/>
    <w:rsid w:val="538B4CD8"/>
    <w:rsid w:val="53A21BCD"/>
    <w:rsid w:val="53A72D40"/>
    <w:rsid w:val="53AA2830"/>
    <w:rsid w:val="540675F1"/>
    <w:rsid w:val="54394F3D"/>
    <w:rsid w:val="54DC2EBD"/>
    <w:rsid w:val="54ED6E78"/>
    <w:rsid w:val="550F7E00"/>
    <w:rsid w:val="555E71F7"/>
    <w:rsid w:val="55640667"/>
    <w:rsid w:val="55DF0183"/>
    <w:rsid w:val="561B56DD"/>
    <w:rsid w:val="56277DEE"/>
    <w:rsid w:val="565A7A7B"/>
    <w:rsid w:val="565F61A9"/>
    <w:rsid w:val="56686304"/>
    <w:rsid w:val="56847368"/>
    <w:rsid w:val="56AD4B11"/>
    <w:rsid w:val="56DE4CCA"/>
    <w:rsid w:val="56FE35BF"/>
    <w:rsid w:val="57201787"/>
    <w:rsid w:val="57232FC4"/>
    <w:rsid w:val="572D2326"/>
    <w:rsid w:val="57365691"/>
    <w:rsid w:val="574C09E9"/>
    <w:rsid w:val="57E36310"/>
    <w:rsid w:val="57FE582C"/>
    <w:rsid w:val="582263FE"/>
    <w:rsid w:val="588B47A2"/>
    <w:rsid w:val="58C72BED"/>
    <w:rsid w:val="58C93758"/>
    <w:rsid w:val="58CE5BFA"/>
    <w:rsid w:val="58EB36CF"/>
    <w:rsid w:val="592F7A5F"/>
    <w:rsid w:val="59754B3B"/>
    <w:rsid w:val="59EE1E48"/>
    <w:rsid w:val="5A490F5C"/>
    <w:rsid w:val="5A4A2677"/>
    <w:rsid w:val="5AE76118"/>
    <w:rsid w:val="5B0D3DD0"/>
    <w:rsid w:val="5B543C96"/>
    <w:rsid w:val="5B5E00EC"/>
    <w:rsid w:val="5B647768"/>
    <w:rsid w:val="5B7E465B"/>
    <w:rsid w:val="5B805E16"/>
    <w:rsid w:val="5B882FB0"/>
    <w:rsid w:val="5BD21464"/>
    <w:rsid w:val="5BDE2B83"/>
    <w:rsid w:val="5C225472"/>
    <w:rsid w:val="5C25568D"/>
    <w:rsid w:val="5C777282"/>
    <w:rsid w:val="5E105868"/>
    <w:rsid w:val="5E164340"/>
    <w:rsid w:val="5E663254"/>
    <w:rsid w:val="5E7D126D"/>
    <w:rsid w:val="5F1D035A"/>
    <w:rsid w:val="5F3062DF"/>
    <w:rsid w:val="5F3D3578"/>
    <w:rsid w:val="5FA12D3D"/>
    <w:rsid w:val="5FE175D9"/>
    <w:rsid w:val="60634492"/>
    <w:rsid w:val="606A5248"/>
    <w:rsid w:val="61635F72"/>
    <w:rsid w:val="616A4B4A"/>
    <w:rsid w:val="618606C5"/>
    <w:rsid w:val="61C96577"/>
    <w:rsid w:val="6224402D"/>
    <w:rsid w:val="624F5FAB"/>
    <w:rsid w:val="625B3673"/>
    <w:rsid w:val="62B869C7"/>
    <w:rsid w:val="62E418BB"/>
    <w:rsid w:val="6329551F"/>
    <w:rsid w:val="637C7D45"/>
    <w:rsid w:val="6384067A"/>
    <w:rsid w:val="638D125E"/>
    <w:rsid w:val="6396333E"/>
    <w:rsid w:val="63C4349A"/>
    <w:rsid w:val="63E114D3"/>
    <w:rsid w:val="63E236C6"/>
    <w:rsid w:val="63FB20F6"/>
    <w:rsid w:val="642D5821"/>
    <w:rsid w:val="64316C7E"/>
    <w:rsid w:val="64A91160"/>
    <w:rsid w:val="65071890"/>
    <w:rsid w:val="65155B8D"/>
    <w:rsid w:val="65250B74"/>
    <w:rsid w:val="65401246"/>
    <w:rsid w:val="65585D63"/>
    <w:rsid w:val="65660CAD"/>
    <w:rsid w:val="65751752"/>
    <w:rsid w:val="65AD68DC"/>
    <w:rsid w:val="66250748"/>
    <w:rsid w:val="66513650"/>
    <w:rsid w:val="669016DA"/>
    <w:rsid w:val="66CB4B3F"/>
    <w:rsid w:val="672B5FA5"/>
    <w:rsid w:val="674F159F"/>
    <w:rsid w:val="679670BA"/>
    <w:rsid w:val="67CB662E"/>
    <w:rsid w:val="67D3237F"/>
    <w:rsid w:val="67DB7004"/>
    <w:rsid w:val="689B6EBF"/>
    <w:rsid w:val="68C1173B"/>
    <w:rsid w:val="68D310D4"/>
    <w:rsid w:val="691B590A"/>
    <w:rsid w:val="692073C4"/>
    <w:rsid w:val="69780E86"/>
    <w:rsid w:val="69EA352F"/>
    <w:rsid w:val="6A0A597F"/>
    <w:rsid w:val="6A2A6EE1"/>
    <w:rsid w:val="6AB853DB"/>
    <w:rsid w:val="6ABC09BB"/>
    <w:rsid w:val="6AD46D46"/>
    <w:rsid w:val="6B00125C"/>
    <w:rsid w:val="6B07083C"/>
    <w:rsid w:val="6B0C10C4"/>
    <w:rsid w:val="6B623CC4"/>
    <w:rsid w:val="6B6C65E0"/>
    <w:rsid w:val="6BFA596E"/>
    <w:rsid w:val="6C2B67AC"/>
    <w:rsid w:val="6C502652"/>
    <w:rsid w:val="6C9D412E"/>
    <w:rsid w:val="6CB31465"/>
    <w:rsid w:val="6D517444"/>
    <w:rsid w:val="6DD30EA9"/>
    <w:rsid w:val="6DE07909"/>
    <w:rsid w:val="6DE466A7"/>
    <w:rsid w:val="6DEB6012"/>
    <w:rsid w:val="6E58438A"/>
    <w:rsid w:val="6E7066F8"/>
    <w:rsid w:val="6E9817AB"/>
    <w:rsid w:val="6E9D5508"/>
    <w:rsid w:val="6EB5235D"/>
    <w:rsid w:val="6F0D3F47"/>
    <w:rsid w:val="6F134376"/>
    <w:rsid w:val="6F2474E3"/>
    <w:rsid w:val="6F871359"/>
    <w:rsid w:val="6FD809F9"/>
    <w:rsid w:val="6FDD4010"/>
    <w:rsid w:val="6FE56C72"/>
    <w:rsid w:val="6FFB4D81"/>
    <w:rsid w:val="700E441B"/>
    <w:rsid w:val="70497201"/>
    <w:rsid w:val="70585696"/>
    <w:rsid w:val="70AE52B6"/>
    <w:rsid w:val="711B7F18"/>
    <w:rsid w:val="71630796"/>
    <w:rsid w:val="71EB22B3"/>
    <w:rsid w:val="72010FA6"/>
    <w:rsid w:val="726B5B54"/>
    <w:rsid w:val="72772115"/>
    <w:rsid w:val="728A3B01"/>
    <w:rsid w:val="728C7879"/>
    <w:rsid w:val="728F69B9"/>
    <w:rsid w:val="729576EF"/>
    <w:rsid w:val="72B03567"/>
    <w:rsid w:val="72B8066E"/>
    <w:rsid w:val="72E8415D"/>
    <w:rsid w:val="7327134F"/>
    <w:rsid w:val="733F48EB"/>
    <w:rsid w:val="739B4217"/>
    <w:rsid w:val="73AF2EF3"/>
    <w:rsid w:val="73B91A37"/>
    <w:rsid w:val="73F80FB0"/>
    <w:rsid w:val="74212849"/>
    <w:rsid w:val="743764F7"/>
    <w:rsid w:val="744C1D4E"/>
    <w:rsid w:val="7468526F"/>
    <w:rsid w:val="747754B9"/>
    <w:rsid w:val="748A4F72"/>
    <w:rsid w:val="74961819"/>
    <w:rsid w:val="74B635A1"/>
    <w:rsid w:val="74E6611C"/>
    <w:rsid w:val="750202C6"/>
    <w:rsid w:val="75664078"/>
    <w:rsid w:val="75715381"/>
    <w:rsid w:val="75DB1FE5"/>
    <w:rsid w:val="75E654F2"/>
    <w:rsid w:val="75F23E97"/>
    <w:rsid w:val="761B33ED"/>
    <w:rsid w:val="761E4132"/>
    <w:rsid w:val="763149BF"/>
    <w:rsid w:val="770739BC"/>
    <w:rsid w:val="772447D4"/>
    <w:rsid w:val="77437DEC"/>
    <w:rsid w:val="777D0EFD"/>
    <w:rsid w:val="77BC51B5"/>
    <w:rsid w:val="77C6382D"/>
    <w:rsid w:val="77F52767"/>
    <w:rsid w:val="78061A79"/>
    <w:rsid w:val="78395DAD"/>
    <w:rsid w:val="790463BB"/>
    <w:rsid w:val="790E51D9"/>
    <w:rsid w:val="79181486"/>
    <w:rsid w:val="794C66A2"/>
    <w:rsid w:val="79D37ABE"/>
    <w:rsid w:val="79ED6E4F"/>
    <w:rsid w:val="79F93A46"/>
    <w:rsid w:val="7A140880"/>
    <w:rsid w:val="7A6115EB"/>
    <w:rsid w:val="7AA1441C"/>
    <w:rsid w:val="7AA279EE"/>
    <w:rsid w:val="7AB22124"/>
    <w:rsid w:val="7AFE508C"/>
    <w:rsid w:val="7B2561EC"/>
    <w:rsid w:val="7B492BC8"/>
    <w:rsid w:val="7B4C4049"/>
    <w:rsid w:val="7B5D0004"/>
    <w:rsid w:val="7B963516"/>
    <w:rsid w:val="7BA31073"/>
    <w:rsid w:val="7BC003CA"/>
    <w:rsid w:val="7BE247A3"/>
    <w:rsid w:val="7C141EF5"/>
    <w:rsid w:val="7C61594E"/>
    <w:rsid w:val="7C664C73"/>
    <w:rsid w:val="7C6929D9"/>
    <w:rsid w:val="7CBF4BB4"/>
    <w:rsid w:val="7CCD2F68"/>
    <w:rsid w:val="7CCF0A8E"/>
    <w:rsid w:val="7D8A2C07"/>
    <w:rsid w:val="7DB008BF"/>
    <w:rsid w:val="7DE4759B"/>
    <w:rsid w:val="7E0E55E6"/>
    <w:rsid w:val="7E3C2F5F"/>
    <w:rsid w:val="7E53749D"/>
    <w:rsid w:val="7E5D346D"/>
    <w:rsid w:val="7E726E75"/>
    <w:rsid w:val="7E7C2B06"/>
    <w:rsid w:val="7E803527"/>
    <w:rsid w:val="7F673200"/>
    <w:rsid w:val="7F8738A2"/>
    <w:rsid w:val="7FA94DF9"/>
    <w:rsid w:val="7FAC780C"/>
    <w:rsid w:val="7FD14409"/>
    <w:rsid w:val="7FDB1E88"/>
    <w:rsid w:val="7FDF40F9"/>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First Indent"/>
    <w:basedOn w:val="8"/>
    <w:qFormat/>
    <w:uiPriority w:val="0"/>
    <w:pPr>
      <w:ind w:firstLine="100" w:firstLineChars="100"/>
    </w:p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index 1"/>
    <w:basedOn w:val="1"/>
    <w:next w:val="1"/>
    <w:unhideWhenUsed/>
    <w:qFormat/>
    <w:uiPriority w:val="0"/>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2</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