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DFD6A7">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sz w:val="44"/>
          <w:szCs w:val="44"/>
          <w:lang w:val="en-US" w:eastAsia="zh-CN"/>
        </w:rPr>
      </w:pPr>
      <w:bookmarkStart w:id="0" w:name="_Toc23945_WPSOffice_Level1"/>
      <w:r>
        <w:rPr>
          <w:rFonts w:hint="eastAsia" w:ascii="黑体" w:hAnsi="黑体" w:eastAsia="黑体" w:cs="黑体"/>
          <w:sz w:val="44"/>
          <w:szCs w:val="44"/>
          <w:lang w:val="en-US" w:eastAsia="zh-CN"/>
        </w:rPr>
        <w:t>部门单位整体支出绩效自评报告</w:t>
      </w:r>
    </w:p>
    <w:p w14:paraId="0D823C45">
      <w:pPr>
        <w:pStyle w:val="3"/>
        <w:bidi w:val="0"/>
        <w:rPr>
          <w:rFonts w:hint="eastAsia"/>
        </w:rPr>
      </w:pPr>
      <w:r>
        <w:rPr>
          <w:rFonts w:hint="eastAsia"/>
          <w:lang w:val="en-US" w:eastAsia="zh-CN"/>
        </w:rPr>
        <w:t>一、</w:t>
      </w:r>
      <w:r>
        <w:rPr>
          <w:rFonts w:hint="eastAsia"/>
        </w:rPr>
        <w:t>基本概况</w:t>
      </w:r>
      <w:bookmarkEnd w:id="0"/>
    </w:p>
    <w:p w14:paraId="1C54A987">
      <w:pPr>
        <w:pStyle w:val="4"/>
        <w:bidi w:val="0"/>
        <w:rPr>
          <w:rFonts w:hint="eastAsia"/>
          <w:lang w:val="en-US" w:eastAsia="zh-CN"/>
        </w:rPr>
      </w:pPr>
      <w:r>
        <w:rPr>
          <w:rFonts w:hint="eastAsia"/>
        </w:rPr>
        <w:t>（一）</w:t>
      </w:r>
      <w:r>
        <w:rPr>
          <w:rFonts w:hint="eastAsia"/>
          <w:lang w:val="en-US" w:eastAsia="zh-CN"/>
        </w:rPr>
        <w:t>部门</w:t>
      </w:r>
      <w:r>
        <w:rPr>
          <w:rFonts w:hint="eastAsia"/>
        </w:rPr>
        <w:t>单位基本情况</w:t>
      </w:r>
    </w:p>
    <w:p w14:paraId="39BB1EC2">
      <w:pPr>
        <w:pStyle w:val="2"/>
        <w:bidi w:val="0"/>
        <w:rPr>
          <w:rFonts w:hint="eastAsia"/>
          <w:lang w:val="en-US" w:eastAsia="zh-CN"/>
        </w:rPr>
      </w:pPr>
      <w:r>
        <w:rPr>
          <w:rFonts w:hint="eastAsia"/>
          <w:lang w:val="en-US" w:eastAsia="zh-CN"/>
        </w:rPr>
        <w:t>1.部门主要职能</w:t>
      </w:r>
    </w:p>
    <w:p w14:paraId="7B8DD7D3">
      <w:pPr>
        <w:ind w:firstLine="560"/>
        <w:rPr>
          <w:rFonts w:hint="eastAsia"/>
          <w:color w:val="auto"/>
          <w:szCs w:val="28"/>
        </w:rPr>
      </w:pPr>
      <w:r>
        <w:rPr>
          <w:rFonts w:hint="eastAsia"/>
          <w:color w:val="auto"/>
          <w:szCs w:val="28"/>
          <w:lang w:val="en-US" w:eastAsia="zh-CN"/>
        </w:rPr>
        <w:t>和静县本级和静县粮食供应站</w:t>
      </w:r>
      <w:r>
        <w:rPr>
          <w:rFonts w:hint="eastAsia"/>
          <w:color w:val="auto"/>
          <w:szCs w:val="28"/>
        </w:rPr>
        <w:t>为</w:t>
      </w:r>
      <w:r>
        <w:rPr>
          <w:rFonts w:hint="eastAsia"/>
          <w:color w:val="auto"/>
          <w:szCs w:val="28"/>
          <w:lang w:val="en-US" w:eastAsia="zh-CN"/>
        </w:rPr>
        <w:t>全额事业单位</w:t>
      </w:r>
      <w:r>
        <w:rPr>
          <w:rFonts w:hint="eastAsia"/>
          <w:color w:val="auto"/>
          <w:szCs w:val="28"/>
        </w:rPr>
        <w:t>的</w:t>
      </w:r>
      <w:r>
        <w:rPr>
          <w:rFonts w:hint="eastAsia"/>
          <w:color w:val="auto"/>
          <w:szCs w:val="28"/>
          <w:lang w:val="en-US" w:eastAsia="zh-CN"/>
        </w:rPr>
        <w:t>股</w:t>
      </w:r>
      <w:r>
        <w:rPr>
          <w:rFonts w:hint="eastAsia"/>
          <w:color w:val="auto"/>
          <w:szCs w:val="28"/>
        </w:rPr>
        <w:t>科级单位，主要职责是：</w:t>
      </w:r>
    </w:p>
    <w:p w14:paraId="2400E2A0">
      <w:pPr>
        <w:pStyle w:val="2"/>
        <w:numPr>
          <w:ilvl w:val="0"/>
          <w:numId w:val="1"/>
        </w:numPr>
        <w:ind w:firstLine="562"/>
        <w:rPr>
          <w:rFonts w:hint="eastAsia" w:ascii="仿宋" w:hAnsi="仿宋" w:eastAsia="仿宋" w:cs="Times New Roman"/>
          <w:b w:val="0"/>
          <w:bCs w:val="0"/>
          <w:color w:val="auto"/>
          <w:kern w:val="2"/>
          <w:sz w:val="28"/>
          <w:szCs w:val="28"/>
          <w:lang w:val="en-US" w:eastAsia="zh-CN" w:bidi="ar-SA"/>
        </w:rPr>
      </w:pPr>
      <w:r>
        <w:rPr>
          <w:rFonts w:hint="eastAsia" w:ascii="仿宋" w:hAnsi="仿宋" w:eastAsia="仿宋" w:cs="Times New Roman"/>
          <w:b w:val="0"/>
          <w:bCs w:val="0"/>
          <w:color w:val="auto"/>
          <w:kern w:val="2"/>
          <w:sz w:val="28"/>
          <w:szCs w:val="28"/>
          <w:lang w:val="en-US" w:eastAsia="zh-CN" w:bidi="ar-SA"/>
        </w:rPr>
        <w:t xml:space="preserve">贯彻执行国家、自治区粮食供应政策，落实具体 措施。 </w:t>
      </w:r>
    </w:p>
    <w:p w14:paraId="1FCFB36B">
      <w:pPr>
        <w:pStyle w:val="2"/>
        <w:numPr>
          <w:ilvl w:val="0"/>
          <w:numId w:val="1"/>
        </w:numPr>
        <w:ind w:firstLine="562"/>
        <w:rPr>
          <w:rFonts w:hint="eastAsia" w:ascii="仿宋" w:hAnsi="仿宋" w:eastAsia="仿宋" w:cs="Times New Roman"/>
          <w:b w:val="0"/>
          <w:bCs w:val="0"/>
          <w:color w:val="auto"/>
          <w:kern w:val="2"/>
          <w:sz w:val="28"/>
          <w:szCs w:val="28"/>
          <w:lang w:val="en-US" w:eastAsia="zh-CN" w:bidi="ar-SA"/>
        </w:rPr>
      </w:pPr>
      <w:r>
        <w:rPr>
          <w:rFonts w:hint="eastAsia" w:ascii="仿宋" w:hAnsi="仿宋" w:eastAsia="仿宋" w:cs="Times New Roman"/>
          <w:b w:val="0"/>
          <w:bCs w:val="0"/>
          <w:color w:val="auto"/>
          <w:kern w:val="2"/>
          <w:sz w:val="28"/>
          <w:szCs w:val="28"/>
          <w:lang w:val="en-US" w:eastAsia="zh-CN" w:bidi="ar-SA"/>
        </w:rPr>
        <w:t>恪尽职守，爱岗敬业、遵守社会公德和职业道德， 塑造优良秩序，优质服务的整体形象。</w:t>
      </w:r>
    </w:p>
    <w:p w14:paraId="1611A98F">
      <w:pPr>
        <w:pStyle w:val="2"/>
        <w:numPr>
          <w:ilvl w:val="0"/>
          <w:numId w:val="1"/>
        </w:numPr>
        <w:ind w:firstLine="562"/>
        <w:rPr>
          <w:rFonts w:hint="eastAsia" w:ascii="仿宋" w:hAnsi="仿宋" w:eastAsia="仿宋" w:cs="Times New Roman"/>
          <w:b w:val="0"/>
          <w:bCs w:val="0"/>
          <w:color w:val="auto"/>
          <w:kern w:val="2"/>
          <w:sz w:val="28"/>
          <w:szCs w:val="28"/>
          <w:lang w:val="en-US" w:eastAsia="zh-CN" w:bidi="ar-SA"/>
        </w:rPr>
      </w:pPr>
      <w:r>
        <w:rPr>
          <w:rFonts w:hint="eastAsia" w:ascii="仿宋" w:hAnsi="仿宋" w:eastAsia="仿宋" w:cs="Times New Roman"/>
          <w:b w:val="0"/>
          <w:bCs w:val="0"/>
          <w:color w:val="auto"/>
          <w:kern w:val="2"/>
          <w:sz w:val="28"/>
          <w:szCs w:val="28"/>
          <w:lang w:val="en-US" w:eastAsia="zh-CN" w:bidi="ar-SA"/>
        </w:rPr>
        <w:t>加强政治思想和业务学习，加强职工业务培训， 不断提高职工整体业务水平，保证工作质量，提</w:t>
      </w:r>
      <w:r>
        <w:rPr>
          <w:rFonts w:hint="eastAsia" w:ascii="仿宋" w:hAnsi="仿宋" w:cs="Times New Roman"/>
          <w:b w:val="0"/>
          <w:bCs w:val="0"/>
          <w:color w:val="auto"/>
          <w:kern w:val="2"/>
          <w:sz w:val="28"/>
          <w:szCs w:val="28"/>
          <w:lang w:val="en-US" w:eastAsia="zh-CN" w:bidi="ar-SA"/>
        </w:rPr>
        <w:t>高</w:t>
      </w:r>
      <w:r>
        <w:rPr>
          <w:rFonts w:hint="eastAsia" w:ascii="仿宋" w:hAnsi="仿宋" w:eastAsia="仿宋" w:cs="Times New Roman"/>
          <w:b w:val="0"/>
          <w:bCs w:val="0"/>
          <w:color w:val="auto"/>
          <w:kern w:val="2"/>
          <w:sz w:val="28"/>
          <w:szCs w:val="28"/>
          <w:lang w:val="en-US" w:eastAsia="zh-CN" w:bidi="ar-SA"/>
        </w:rPr>
        <w:t xml:space="preserve">工作效率。 </w:t>
      </w:r>
    </w:p>
    <w:p w14:paraId="16FE2BEB">
      <w:pPr>
        <w:pStyle w:val="2"/>
        <w:numPr>
          <w:ilvl w:val="0"/>
          <w:numId w:val="1"/>
        </w:numPr>
        <w:ind w:firstLine="562"/>
        <w:rPr>
          <w:rFonts w:hint="default"/>
          <w:lang w:val="en-US" w:eastAsia="zh-CN"/>
        </w:rPr>
      </w:pPr>
      <w:r>
        <w:rPr>
          <w:rFonts w:hint="eastAsia" w:ascii="仿宋" w:hAnsi="仿宋" w:eastAsia="仿宋" w:cs="Times New Roman"/>
          <w:b w:val="0"/>
          <w:bCs w:val="0"/>
          <w:color w:val="auto"/>
          <w:kern w:val="2"/>
          <w:sz w:val="28"/>
          <w:szCs w:val="28"/>
          <w:lang w:val="en-US" w:eastAsia="zh-CN" w:bidi="ar-SA"/>
        </w:rPr>
        <w:t>承办上级领导交办的其他工作。</w:t>
      </w:r>
    </w:p>
    <w:p w14:paraId="0C0F2578">
      <w:pPr>
        <w:pStyle w:val="2"/>
        <w:bidi w:val="0"/>
        <w:rPr>
          <w:rFonts w:hint="eastAsia"/>
          <w:lang w:val="en-US" w:eastAsia="zh-CN"/>
        </w:rPr>
      </w:pPr>
      <w:r>
        <w:rPr>
          <w:rFonts w:hint="eastAsia"/>
          <w:lang w:val="en-US" w:eastAsia="zh-CN"/>
        </w:rPr>
        <w:t>2.部门机构设置及人员构成</w:t>
      </w:r>
    </w:p>
    <w:p w14:paraId="7DFB30F7">
      <w:pPr>
        <w:ind w:firstLine="560"/>
        <w:rPr>
          <w:rFonts w:hint="eastAsia"/>
        </w:rPr>
      </w:pPr>
      <w:r>
        <w:rPr>
          <w:rFonts w:hint="eastAsia"/>
          <w:color w:val="auto"/>
          <w:szCs w:val="28"/>
          <w:lang w:val="en-US" w:eastAsia="zh-CN"/>
        </w:rPr>
        <w:t>和静县粮食供应站</w:t>
      </w:r>
      <w:r>
        <w:rPr>
          <w:rFonts w:hint="eastAsia"/>
          <w:color w:val="auto"/>
          <w:szCs w:val="28"/>
        </w:rPr>
        <w:t>设有</w:t>
      </w:r>
      <w:r>
        <w:rPr>
          <w:rFonts w:hint="eastAsia"/>
          <w:color w:val="auto"/>
          <w:szCs w:val="28"/>
          <w:lang w:val="en-US" w:eastAsia="zh-CN"/>
        </w:rPr>
        <w:t>3</w:t>
      </w:r>
      <w:r>
        <w:rPr>
          <w:rFonts w:hint="eastAsia"/>
          <w:color w:val="auto"/>
          <w:szCs w:val="28"/>
        </w:rPr>
        <w:t>个内设机构：</w:t>
      </w:r>
      <w:r>
        <w:rPr>
          <w:rFonts w:hint="eastAsia"/>
          <w:color w:val="auto"/>
        </w:rPr>
        <w:t>办公室、</w:t>
      </w:r>
      <w:r>
        <w:rPr>
          <w:rFonts w:hint="eastAsia"/>
          <w:color w:val="auto"/>
          <w:lang w:val="en-US" w:eastAsia="zh-CN"/>
        </w:rPr>
        <w:t>财务室</w:t>
      </w:r>
      <w:r>
        <w:rPr>
          <w:rFonts w:hint="eastAsia"/>
          <w:color w:val="auto"/>
        </w:rPr>
        <w:t>、</w:t>
      </w:r>
      <w:r>
        <w:rPr>
          <w:rFonts w:hint="eastAsia"/>
          <w:color w:val="auto"/>
          <w:lang w:val="en-US" w:eastAsia="zh-CN"/>
        </w:rPr>
        <w:t>档案室</w:t>
      </w:r>
      <w:r>
        <w:rPr>
          <w:rFonts w:hint="eastAsia"/>
        </w:rPr>
        <w:t>。</w:t>
      </w:r>
      <w:r>
        <w:rPr>
          <w:rFonts w:hint="eastAsia"/>
          <w:color w:val="auto"/>
          <w:szCs w:val="28"/>
          <w:lang w:val="en-US" w:eastAsia="zh-CN"/>
        </w:rPr>
        <w:t>和静县粮食供应站</w:t>
      </w:r>
      <w:r>
        <w:rPr>
          <w:rFonts w:hint="eastAsia"/>
          <w:color w:val="auto"/>
          <w:szCs w:val="28"/>
        </w:rPr>
        <w:t>人员编制数共</w:t>
      </w:r>
      <w:r>
        <w:rPr>
          <w:rFonts w:hint="eastAsia"/>
          <w:color w:val="auto"/>
          <w:szCs w:val="28"/>
          <w:lang w:val="en-US" w:eastAsia="zh-CN"/>
        </w:rPr>
        <w:t>3</w:t>
      </w:r>
      <w:r>
        <w:rPr>
          <w:rFonts w:hint="eastAsia"/>
          <w:color w:val="auto"/>
          <w:szCs w:val="28"/>
        </w:rPr>
        <w:t>人，其中：行政编制</w:t>
      </w:r>
      <w:r>
        <w:rPr>
          <w:rFonts w:hint="eastAsia"/>
          <w:color w:val="auto"/>
          <w:szCs w:val="28"/>
          <w:lang w:val="en-US" w:eastAsia="zh-CN"/>
        </w:rPr>
        <w:t>0</w:t>
      </w:r>
      <w:r>
        <w:rPr>
          <w:rFonts w:hint="eastAsia"/>
          <w:color w:val="auto"/>
          <w:szCs w:val="28"/>
        </w:rPr>
        <w:t>人，事业编制</w:t>
      </w:r>
      <w:r>
        <w:rPr>
          <w:rFonts w:hint="eastAsia"/>
          <w:color w:val="auto"/>
          <w:szCs w:val="28"/>
          <w:lang w:val="en-US" w:eastAsia="zh-CN"/>
        </w:rPr>
        <w:t>4</w:t>
      </w:r>
      <w:r>
        <w:rPr>
          <w:rFonts w:hint="eastAsia"/>
          <w:color w:val="auto"/>
          <w:szCs w:val="28"/>
        </w:rPr>
        <w:t>人，工勤</w:t>
      </w:r>
      <w:r>
        <w:rPr>
          <w:rFonts w:hint="eastAsia"/>
          <w:color w:val="auto"/>
          <w:szCs w:val="28"/>
          <w:lang w:val="en-US" w:eastAsia="zh-CN"/>
        </w:rPr>
        <w:t>0</w:t>
      </w:r>
      <w:r>
        <w:rPr>
          <w:rFonts w:hint="eastAsia"/>
          <w:color w:val="auto"/>
          <w:szCs w:val="28"/>
        </w:rPr>
        <w:t>人。年初预算实有在职人员</w:t>
      </w:r>
      <w:r>
        <w:rPr>
          <w:rFonts w:hint="eastAsia"/>
          <w:color w:val="auto"/>
          <w:szCs w:val="28"/>
          <w:lang w:val="en-US" w:eastAsia="zh-CN"/>
        </w:rPr>
        <w:t>4</w:t>
      </w:r>
      <w:r>
        <w:rPr>
          <w:rFonts w:hint="eastAsia"/>
          <w:color w:val="auto"/>
          <w:szCs w:val="28"/>
        </w:rPr>
        <w:t>人，退休人员</w:t>
      </w:r>
      <w:r>
        <w:rPr>
          <w:rFonts w:hint="eastAsia"/>
          <w:color w:val="auto"/>
          <w:szCs w:val="28"/>
          <w:lang w:val="en-US" w:eastAsia="zh-CN"/>
        </w:rPr>
        <w:t>2</w:t>
      </w:r>
      <w:r>
        <w:rPr>
          <w:rFonts w:hint="eastAsia"/>
          <w:color w:val="auto"/>
          <w:szCs w:val="28"/>
        </w:rPr>
        <w:t>人。年末实有在职人数</w:t>
      </w:r>
      <w:r>
        <w:rPr>
          <w:rFonts w:hint="eastAsia"/>
          <w:color w:val="auto"/>
          <w:szCs w:val="28"/>
          <w:lang w:val="en-US" w:eastAsia="zh-CN"/>
        </w:rPr>
        <w:t>4</w:t>
      </w:r>
      <w:r>
        <w:rPr>
          <w:rFonts w:hint="eastAsia"/>
          <w:color w:val="auto"/>
          <w:szCs w:val="28"/>
        </w:rPr>
        <w:t>人，临时工</w:t>
      </w:r>
      <w:r>
        <w:rPr>
          <w:rFonts w:hint="eastAsia"/>
          <w:color w:val="auto"/>
          <w:szCs w:val="28"/>
          <w:lang w:val="en-US" w:eastAsia="zh-CN"/>
        </w:rPr>
        <w:t>0</w:t>
      </w:r>
      <w:r>
        <w:rPr>
          <w:rFonts w:hint="eastAsia"/>
          <w:color w:val="auto"/>
          <w:szCs w:val="28"/>
        </w:rPr>
        <w:t>人，退休人员</w:t>
      </w:r>
      <w:r>
        <w:rPr>
          <w:rFonts w:hint="eastAsia"/>
          <w:color w:val="auto"/>
          <w:szCs w:val="28"/>
          <w:lang w:val="en-US" w:eastAsia="zh-CN"/>
        </w:rPr>
        <w:t>2</w:t>
      </w:r>
      <w:r>
        <w:rPr>
          <w:rFonts w:hint="eastAsia"/>
          <w:color w:val="auto"/>
          <w:szCs w:val="28"/>
        </w:rPr>
        <w:t>人。</w:t>
      </w:r>
    </w:p>
    <w:p w14:paraId="093CFFAC">
      <w:pPr>
        <w:pStyle w:val="4"/>
        <w:bidi w:val="0"/>
        <w:outlineLvl w:val="1"/>
        <w:rPr>
          <w:rFonts w:hint="eastAsia"/>
          <w:lang w:val="en-US" w:eastAsia="zh-CN"/>
        </w:rPr>
      </w:pPr>
      <w:r>
        <w:rPr>
          <w:rFonts w:hint="eastAsia"/>
          <w:lang w:val="en-US" w:eastAsia="zh-CN"/>
        </w:rPr>
        <w:t>（二）部门单位年度重点工作</w:t>
      </w:r>
    </w:p>
    <w:p w14:paraId="03BDD134">
      <w:pPr>
        <w:ind w:firstLine="560"/>
        <w:rPr>
          <w:rFonts w:hint="eastAsia"/>
          <w:color w:val="auto"/>
        </w:rPr>
      </w:pPr>
      <w:r>
        <w:rPr>
          <w:rFonts w:hint="eastAsia"/>
        </w:rPr>
        <w:t>（1）</w:t>
      </w:r>
      <w:r>
        <w:rPr>
          <w:rFonts w:hint="eastAsia"/>
          <w:lang w:eastAsia="zh-CN"/>
        </w:rPr>
        <w:t>增强</w:t>
      </w:r>
      <w:r>
        <w:rPr>
          <w:rFonts w:hint="eastAsia"/>
          <w:color w:val="auto"/>
        </w:rPr>
        <w:t>责任意识，全力保障</w:t>
      </w:r>
      <w:r>
        <w:rPr>
          <w:rFonts w:hint="eastAsia"/>
          <w:color w:val="auto"/>
          <w:lang w:eastAsia="zh-CN"/>
        </w:rPr>
        <w:t>粮食</w:t>
      </w:r>
      <w:r>
        <w:rPr>
          <w:rFonts w:hint="eastAsia"/>
          <w:color w:val="auto"/>
        </w:rPr>
        <w:t>供应。</w:t>
      </w:r>
    </w:p>
    <w:p w14:paraId="1A3A62C1">
      <w:pPr>
        <w:ind w:firstLine="560"/>
        <w:rPr>
          <w:rFonts w:hint="eastAsia"/>
          <w:color w:val="auto"/>
        </w:rPr>
      </w:pPr>
      <w:r>
        <w:rPr>
          <w:rFonts w:hint="eastAsia"/>
          <w:color w:val="auto"/>
          <w:lang w:eastAsia="zh-CN"/>
        </w:rPr>
        <w:t>粮食</w:t>
      </w:r>
      <w:r>
        <w:rPr>
          <w:rFonts w:hint="eastAsia"/>
          <w:color w:val="auto"/>
        </w:rPr>
        <w:t>供应</w:t>
      </w:r>
      <w:r>
        <w:rPr>
          <w:rFonts w:hint="eastAsia"/>
          <w:color w:val="auto"/>
          <w:lang w:eastAsia="zh-CN"/>
        </w:rPr>
        <w:t>即是</w:t>
      </w:r>
      <w:r>
        <w:rPr>
          <w:rFonts w:hint="eastAsia"/>
          <w:color w:val="auto"/>
        </w:rPr>
        <w:t>一项重要的经济工作，更是一项严肃的政治任务，作为军供站，保障</w:t>
      </w:r>
      <w:r>
        <w:rPr>
          <w:rFonts w:hint="eastAsia"/>
          <w:color w:val="auto"/>
          <w:lang w:eastAsia="zh-CN"/>
        </w:rPr>
        <w:t>粮食</w:t>
      </w:r>
      <w:r>
        <w:rPr>
          <w:rFonts w:hint="eastAsia"/>
          <w:color w:val="auto"/>
        </w:rPr>
        <w:t>供应是我们义不容辞的职责，我们不断</w:t>
      </w:r>
      <w:r>
        <w:rPr>
          <w:rFonts w:hint="eastAsia"/>
          <w:color w:val="auto"/>
          <w:lang w:eastAsia="zh-CN"/>
        </w:rPr>
        <w:t>地</w:t>
      </w:r>
      <w:r>
        <w:rPr>
          <w:rFonts w:hint="eastAsia"/>
          <w:color w:val="auto"/>
        </w:rPr>
        <w:t>加强职工的政治思想教育，增强责任意识， 牢固树立大局意识，国防意识和军供无小事意识，建章立制，建立完善了各项规章制度。</w:t>
      </w:r>
    </w:p>
    <w:p w14:paraId="2943E87C">
      <w:pPr>
        <w:ind w:firstLine="560"/>
        <w:rPr>
          <w:rFonts w:hint="eastAsia"/>
          <w:color w:val="auto"/>
        </w:rPr>
      </w:pPr>
      <w:r>
        <w:rPr>
          <w:rFonts w:hint="eastAsia"/>
          <w:color w:val="auto"/>
          <w:lang w:eastAsia="zh-CN"/>
        </w:rPr>
        <w:t>（</w:t>
      </w:r>
      <w:r>
        <w:rPr>
          <w:rFonts w:hint="eastAsia"/>
          <w:color w:val="auto"/>
          <w:lang w:val="en-US" w:eastAsia="zh-CN"/>
        </w:rPr>
        <w:t>2</w:t>
      </w:r>
      <w:r>
        <w:rPr>
          <w:rFonts w:hint="eastAsia"/>
          <w:color w:val="auto"/>
          <w:lang w:eastAsia="zh-CN"/>
        </w:rPr>
        <w:t>）</w:t>
      </w:r>
      <w:r>
        <w:rPr>
          <w:rFonts w:hint="eastAsia"/>
          <w:color w:val="auto"/>
        </w:rPr>
        <w:t>加强财务管理，确保</w:t>
      </w:r>
      <w:r>
        <w:rPr>
          <w:rFonts w:hint="eastAsia"/>
          <w:color w:val="auto"/>
          <w:lang w:eastAsia="zh-CN"/>
        </w:rPr>
        <w:t>粮食</w:t>
      </w:r>
      <w:r>
        <w:rPr>
          <w:rFonts w:hint="eastAsia"/>
          <w:color w:val="auto"/>
        </w:rPr>
        <w:t>专项资金使用规范。</w:t>
      </w:r>
    </w:p>
    <w:p w14:paraId="67B89944">
      <w:pPr>
        <w:ind w:firstLine="560"/>
        <w:rPr>
          <w:rFonts w:hint="eastAsia" w:eastAsia="仿宋"/>
          <w:color w:val="auto"/>
          <w:lang w:eastAsia="zh-CN"/>
        </w:rPr>
      </w:pPr>
      <w:r>
        <w:rPr>
          <w:rFonts w:hint="eastAsia"/>
          <w:color w:val="auto"/>
        </w:rPr>
        <w:t>严格按照国家财经和相关财务会计制度进行</w:t>
      </w:r>
      <w:r>
        <w:rPr>
          <w:rFonts w:hint="eastAsia"/>
          <w:color w:val="auto"/>
          <w:lang w:eastAsia="zh-CN"/>
        </w:rPr>
        <w:t>粮食</w:t>
      </w:r>
      <w:r>
        <w:rPr>
          <w:rFonts w:hint="eastAsia"/>
          <w:color w:val="auto"/>
        </w:rPr>
        <w:t>财务管理、会计核算，专人管理、专款专用、独立核算，资金使用、财务核算真实准确，每月进行库存盘点，做到账物相实没有出现挤占、截留、挪用、</w:t>
      </w:r>
      <w:r>
        <w:rPr>
          <w:rFonts w:hint="eastAsia"/>
          <w:color w:val="auto"/>
          <w:lang w:eastAsia="zh-CN"/>
        </w:rPr>
        <w:t>为其他</w:t>
      </w:r>
      <w:r>
        <w:rPr>
          <w:rFonts w:hint="eastAsia"/>
          <w:color w:val="auto"/>
        </w:rPr>
        <w:t>单位和个人担保的违纪违法现象发生</w:t>
      </w:r>
      <w:r>
        <w:rPr>
          <w:rFonts w:hint="eastAsia"/>
          <w:color w:val="auto"/>
          <w:lang w:eastAsia="zh-CN"/>
        </w:rPr>
        <w:t>。</w:t>
      </w:r>
    </w:p>
    <w:p w14:paraId="21607BA2">
      <w:pPr>
        <w:ind w:firstLine="560"/>
        <w:rPr>
          <w:rFonts w:hint="eastAsia"/>
          <w:color w:val="auto"/>
        </w:rPr>
      </w:pPr>
      <w:r>
        <w:rPr>
          <w:rFonts w:hint="eastAsia"/>
          <w:color w:val="auto"/>
          <w:lang w:eastAsia="zh-CN"/>
        </w:rPr>
        <w:t>（</w:t>
      </w:r>
      <w:r>
        <w:rPr>
          <w:rFonts w:hint="eastAsia"/>
          <w:color w:val="auto"/>
          <w:lang w:val="en-US" w:eastAsia="zh-CN"/>
        </w:rPr>
        <w:t>3</w:t>
      </w:r>
      <w:r>
        <w:rPr>
          <w:rFonts w:hint="eastAsia"/>
          <w:color w:val="auto"/>
          <w:lang w:eastAsia="zh-CN"/>
        </w:rPr>
        <w:t>）</w:t>
      </w:r>
      <w:r>
        <w:rPr>
          <w:rFonts w:hint="eastAsia"/>
          <w:color w:val="auto"/>
        </w:rPr>
        <w:t>紧紧围绕“总目标”，严格落实维稳、防疫措施。</w:t>
      </w:r>
    </w:p>
    <w:p w14:paraId="233DA1F2">
      <w:pPr>
        <w:ind w:firstLine="560"/>
        <w:rPr>
          <w:rFonts w:hint="eastAsia"/>
          <w:color w:val="auto"/>
        </w:rPr>
      </w:pPr>
      <w:r>
        <w:rPr>
          <w:rFonts w:hint="eastAsia"/>
          <w:color w:val="auto"/>
        </w:rPr>
        <w:t>紧紧围绕实现社会稳定和长治久安总目标，促落实，建立起人防、物防和技防相互结合的防范机制，同时按照疫情要求在工作中做好疫情防控措施，将疫情防控8个预警机制落到实处，严格执行维稳值班制度，严格做到出入登记、检查、测温、消毒，执行维稳值班制度及交接班记录，强化工作人员使命感、责任感，确保维稳、防疫工作有效进行。</w:t>
      </w:r>
    </w:p>
    <w:p w14:paraId="6854D638">
      <w:pPr>
        <w:rPr>
          <w:rFonts w:hint="eastAsia"/>
          <w:color w:val="auto"/>
        </w:rPr>
      </w:pPr>
      <w:r>
        <w:rPr>
          <w:rFonts w:hint="eastAsia"/>
          <w:color w:val="auto"/>
          <w:lang w:eastAsia="zh-CN"/>
        </w:rPr>
        <w:t>（</w:t>
      </w:r>
      <w:r>
        <w:rPr>
          <w:rFonts w:hint="eastAsia"/>
          <w:color w:val="auto"/>
          <w:lang w:val="en-US" w:eastAsia="zh-CN"/>
        </w:rPr>
        <w:t>4</w:t>
      </w:r>
      <w:r>
        <w:rPr>
          <w:rFonts w:hint="eastAsia"/>
          <w:color w:val="auto"/>
          <w:lang w:eastAsia="zh-CN"/>
        </w:rPr>
        <w:t>）</w:t>
      </w:r>
      <w:r>
        <w:rPr>
          <w:rFonts w:hint="eastAsia"/>
          <w:color w:val="auto"/>
        </w:rPr>
        <w:t>恪尽职守，爱岗敬业、遵守</w:t>
      </w:r>
      <w:r>
        <w:rPr>
          <w:rFonts w:hint="eastAsia"/>
          <w:color w:val="auto"/>
          <w:lang w:eastAsia="zh-CN"/>
        </w:rPr>
        <w:t>社会公德</w:t>
      </w:r>
      <w:r>
        <w:rPr>
          <w:rFonts w:hint="eastAsia"/>
          <w:color w:val="auto"/>
        </w:rPr>
        <w:t>和职业道德，塑造优良秩序，优质 服务的整体形象。</w:t>
      </w:r>
    </w:p>
    <w:p w14:paraId="442E1AD5">
      <w:pPr>
        <w:ind w:firstLine="560"/>
        <w:rPr>
          <w:rFonts w:hint="eastAsia"/>
          <w:color w:val="auto"/>
        </w:rPr>
      </w:pPr>
      <w:r>
        <w:rPr>
          <w:rFonts w:hint="eastAsia"/>
          <w:color w:val="auto"/>
          <w:lang w:eastAsia="zh-CN"/>
        </w:rPr>
        <w:t>（</w:t>
      </w:r>
      <w:r>
        <w:rPr>
          <w:rFonts w:hint="eastAsia"/>
          <w:color w:val="auto"/>
          <w:lang w:val="en-US" w:eastAsia="zh-CN"/>
        </w:rPr>
        <w:t>5</w:t>
      </w:r>
      <w:r>
        <w:rPr>
          <w:rFonts w:hint="eastAsia"/>
          <w:color w:val="auto"/>
          <w:lang w:eastAsia="zh-CN"/>
        </w:rPr>
        <w:t>）</w:t>
      </w:r>
      <w:r>
        <w:rPr>
          <w:rFonts w:hint="eastAsia"/>
          <w:color w:val="auto"/>
        </w:rPr>
        <w:t>加强政治思想和业务学习，加强职工业务培训，不断提高职工整体业务水平，保证工作质量，提</w:t>
      </w:r>
      <w:r>
        <w:rPr>
          <w:rFonts w:hint="eastAsia"/>
          <w:color w:val="auto"/>
          <w:lang w:eastAsia="zh-CN"/>
        </w:rPr>
        <w:t>高</w:t>
      </w:r>
      <w:r>
        <w:rPr>
          <w:rFonts w:hint="eastAsia"/>
          <w:color w:val="auto"/>
        </w:rPr>
        <w:t>工作效率。</w:t>
      </w:r>
    </w:p>
    <w:p w14:paraId="71FFE5CB">
      <w:pPr>
        <w:ind w:firstLine="560"/>
        <w:rPr>
          <w:rFonts w:hint="eastAsia" w:eastAsia="仿宋"/>
          <w:color w:val="auto"/>
          <w:lang w:val="en-US" w:eastAsia="zh-CN"/>
        </w:rPr>
      </w:pPr>
      <w:r>
        <w:rPr>
          <w:rFonts w:hint="eastAsia"/>
          <w:color w:val="auto"/>
          <w:lang w:eastAsia="zh-CN"/>
        </w:rPr>
        <w:t>（</w:t>
      </w:r>
      <w:r>
        <w:rPr>
          <w:rFonts w:hint="eastAsia"/>
          <w:color w:val="auto"/>
          <w:lang w:val="en-US" w:eastAsia="zh-CN"/>
        </w:rPr>
        <w:t>6</w:t>
      </w:r>
      <w:r>
        <w:rPr>
          <w:rFonts w:hint="eastAsia"/>
          <w:color w:val="auto"/>
          <w:lang w:eastAsia="zh-CN"/>
        </w:rPr>
        <w:t>）</w:t>
      </w:r>
      <w:r>
        <w:rPr>
          <w:rFonts w:hint="eastAsia"/>
          <w:color w:val="auto"/>
        </w:rPr>
        <w:t>承办上级领导交办的其他工作。</w:t>
      </w:r>
    </w:p>
    <w:p w14:paraId="77F32DA9">
      <w:pPr>
        <w:pStyle w:val="4"/>
        <w:bidi w:val="0"/>
        <w:rPr>
          <w:rFonts w:hint="default"/>
          <w:lang w:val="en-US" w:eastAsia="zh-CN"/>
        </w:rPr>
      </w:pPr>
      <w:r>
        <w:rPr>
          <w:rFonts w:hint="eastAsia"/>
          <w:lang w:val="en-US" w:eastAsia="zh-CN"/>
        </w:rPr>
        <w:t>（三）部门单位整体预算规模及安排情况</w:t>
      </w:r>
    </w:p>
    <w:p w14:paraId="02B70E82">
      <w:pPr>
        <w:bidi w:val="0"/>
        <w:rPr>
          <w:rFonts w:hint="eastAsia" w:ascii="仿宋_GB2312" w:hAnsi="仿宋_GB2312" w:eastAsia="仿宋" w:cs="仿宋_GB2312"/>
          <w:b/>
          <w:bCs/>
          <w:kern w:val="2"/>
          <w:sz w:val="30"/>
          <w:szCs w:val="32"/>
          <w:lang w:val="en-US" w:eastAsia="zh-CN" w:bidi="ar-SA"/>
        </w:rPr>
      </w:pPr>
      <w:r>
        <w:rPr>
          <w:rFonts w:hint="eastAsia" w:ascii="仿宋_GB2312" w:hAnsi="仿宋_GB2312" w:eastAsia="仿宋" w:cs="仿宋_GB2312"/>
          <w:b/>
          <w:bCs/>
          <w:kern w:val="2"/>
          <w:sz w:val="30"/>
          <w:szCs w:val="32"/>
          <w:lang w:val="en-US" w:eastAsia="zh-CN" w:bidi="ar-SA"/>
        </w:rPr>
        <w:t>1.预算执行情况</w:t>
      </w:r>
    </w:p>
    <w:p w14:paraId="5CB48E9F">
      <w:pPr>
        <w:bidi w:val="0"/>
        <w:rPr>
          <w:rFonts w:hint="eastAsia" w:ascii="Times New Roman" w:hAnsi="Times New Roman" w:cs="Times New Roman"/>
          <w:bCs/>
          <w:color w:val="auto"/>
          <w:lang w:val="en-US" w:eastAsia="zh-CN"/>
        </w:rPr>
      </w:pPr>
      <w:r>
        <w:rPr>
          <w:rFonts w:hint="eastAsia" w:ascii="Times New Roman" w:hAnsi="Times New Roman" w:cs="Times New Roman"/>
          <w:bCs/>
          <w:color w:val="auto"/>
          <w:lang w:val="en-US" w:eastAsia="zh-CN"/>
        </w:rPr>
        <w:t>（1）年初预算执行情况</w:t>
      </w:r>
    </w:p>
    <w:p w14:paraId="07C050F3">
      <w:pPr>
        <w:bidi w:val="0"/>
        <w:rPr>
          <w:rFonts w:hint="eastAsia" w:ascii="Times New Roman" w:hAnsi="Times New Roman" w:cs="Times New Roman"/>
          <w:bCs/>
          <w:color w:val="auto"/>
          <w:lang w:val="en-US" w:eastAsia="zh-CN"/>
        </w:rPr>
      </w:pPr>
      <w:r>
        <w:rPr>
          <w:rFonts w:hint="eastAsia" w:ascii="Times New Roman" w:hAnsi="Times New Roman" w:cs="Times New Roman"/>
          <w:bCs/>
          <w:color w:val="auto"/>
          <w:lang w:val="en-US" w:eastAsia="zh-CN"/>
        </w:rPr>
        <w:t>我单位年初预算数为65.15万元，实际预算执行数65.15万元，预算执行率为100%。</w:t>
      </w:r>
    </w:p>
    <w:p w14:paraId="4BAD5545">
      <w:pPr>
        <w:bidi w:val="0"/>
        <w:rPr>
          <w:rFonts w:hint="eastAsia" w:ascii="Times New Roman" w:hAnsi="Times New Roman" w:cs="Times New Roman"/>
          <w:bCs/>
          <w:color w:val="auto"/>
          <w:lang w:val="en-US" w:eastAsia="zh-CN"/>
        </w:rPr>
      </w:pPr>
      <w:r>
        <w:rPr>
          <w:rFonts w:hint="eastAsia" w:ascii="Times New Roman" w:hAnsi="Times New Roman" w:cs="Times New Roman"/>
          <w:bCs/>
          <w:color w:val="auto"/>
          <w:lang w:val="en-US" w:eastAsia="zh-CN"/>
        </w:rPr>
        <w:t>（2）全年预算执行情况</w:t>
      </w:r>
    </w:p>
    <w:p w14:paraId="2D1E6591">
      <w:pPr>
        <w:bidi w:val="0"/>
        <w:rPr>
          <w:rFonts w:hint="eastAsia" w:ascii="Times New Roman" w:hAnsi="Times New Roman" w:cs="Times New Roman"/>
          <w:bCs/>
          <w:color w:val="auto"/>
          <w:lang w:val="en-US" w:eastAsia="zh-CN"/>
        </w:rPr>
      </w:pPr>
      <w:r>
        <w:rPr>
          <w:rFonts w:hint="eastAsia" w:ascii="Times New Roman" w:hAnsi="Times New Roman" w:cs="Times New Roman"/>
          <w:bCs/>
          <w:color w:val="auto"/>
          <w:lang w:val="en-US" w:eastAsia="zh-CN"/>
        </w:rPr>
        <w:t>全年预算数为69.01万元，全年实际支出资金69.01万元，预算执行率为100%。</w:t>
      </w:r>
    </w:p>
    <w:p w14:paraId="1D635B3C">
      <w:pPr>
        <w:pStyle w:val="2"/>
        <w:bidi w:val="0"/>
        <w:rPr>
          <w:rFonts w:hint="eastAsia"/>
          <w:color w:val="auto"/>
          <w:lang w:val="en-US" w:eastAsia="zh-CN"/>
        </w:rPr>
      </w:pPr>
      <w:r>
        <w:rPr>
          <w:rFonts w:hint="eastAsia"/>
          <w:color w:val="auto"/>
          <w:lang w:val="en-US" w:eastAsia="zh-CN"/>
        </w:rPr>
        <w:t>2.预算调整（追加减）情况</w:t>
      </w:r>
    </w:p>
    <w:p w14:paraId="6CB3CEBA">
      <w:pPr>
        <w:bidi w:val="0"/>
        <w:rPr>
          <w:rFonts w:hint="eastAsia" w:ascii="Times New Roman" w:hAnsi="Times New Roman" w:cs="Times New Roman"/>
          <w:bCs/>
          <w:color w:val="auto"/>
          <w:lang w:eastAsia="zh-CN"/>
        </w:rPr>
      </w:pPr>
      <w:r>
        <w:rPr>
          <w:rFonts w:hint="eastAsia" w:ascii="Times New Roman" w:hAnsi="Times New Roman" w:cs="Times New Roman"/>
          <w:bCs/>
          <w:color w:val="auto"/>
          <w:lang w:eastAsia="zh-CN"/>
        </w:rPr>
        <w:t>我单位年初批复预算数</w:t>
      </w:r>
      <w:r>
        <w:rPr>
          <w:rFonts w:hint="eastAsia" w:ascii="Times New Roman" w:hAnsi="Times New Roman" w:cs="Times New Roman"/>
          <w:bCs/>
          <w:color w:val="auto"/>
          <w:lang w:val="en-US" w:eastAsia="zh-CN"/>
        </w:rPr>
        <w:t>65.15</w:t>
      </w:r>
      <w:r>
        <w:rPr>
          <w:rFonts w:hint="eastAsia" w:ascii="Times New Roman" w:hAnsi="Times New Roman" w:cs="Times New Roman"/>
          <w:bCs/>
          <w:color w:val="auto"/>
          <w:lang w:eastAsia="zh-CN"/>
        </w:rPr>
        <w:t>万元，年中调整数</w:t>
      </w:r>
      <w:r>
        <w:rPr>
          <w:rFonts w:hint="eastAsia" w:ascii="Times New Roman" w:hAnsi="Times New Roman" w:cs="Times New Roman"/>
          <w:bCs/>
          <w:color w:val="auto"/>
          <w:lang w:val="en-US" w:eastAsia="zh-CN"/>
        </w:rPr>
        <w:t>3.86</w:t>
      </w:r>
      <w:r>
        <w:rPr>
          <w:rFonts w:hint="eastAsia" w:ascii="Times New Roman" w:hAnsi="Times New Roman" w:cs="Times New Roman"/>
          <w:bCs/>
          <w:color w:val="auto"/>
          <w:lang w:eastAsia="zh-CN"/>
        </w:rPr>
        <w:t>万元，调整后全年预算数</w:t>
      </w:r>
      <w:r>
        <w:rPr>
          <w:rFonts w:hint="eastAsia" w:ascii="Times New Roman" w:hAnsi="Times New Roman" w:cs="Times New Roman"/>
          <w:bCs/>
          <w:color w:val="auto"/>
          <w:lang w:val="en-US" w:eastAsia="zh-CN"/>
        </w:rPr>
        <w:t>69.01</w:t>
      </w:r>
      <w:r>
        <w:rPr>
          <w:rFonts w:hint="eastAsia" w:ascii="Times New Roman" w:hAnsi="Times New Roman" w:cs="Times New Roman"/>
          <w:bCs/>
          <w:color w:val="auto"/>
          <w:lang w:eastAsia="zh-CN"/>
        </w:rPr>
        <w:t>万元，预算调整率</w:t>
      </w:r>
      <w:r>
        <w:rPr>
          <w:rFonts w:hint="eastAsia" w:ascii="Times New Roman" w:hAnsi="Times New Roman" w:cs="Times New Roman"/>
          <w:bCs/>
          <w:color w:val="auto"/>
          <w:lang w:val="en-US" w:eastAsia="zh-CN"/>
        </w:rPr>
        <w:t>5.92</w:t>
      </w:r>
      <w:r>
        <w:rPr>
          <w:rFonts w:hint="eastAsia" w:ascii="Times New Roman" w:hAnsi="Times New Roman" w:cs="Times New Roman"/>
          <w:bCs/>
          <w:color w:val="auto"/>
          <w:lang w:eastAsia="zh-CN"/>
        </w:rPr>
        <w:t>%。（预算调整率=调整数/年初预算数*100%=0.00%）。</w:t>
      </w:r>
    </w:p>
    <w:p w14:paraId="1020D59C">
      <w:pPr>
        <w:pStyle w:val="2"/>
        <w:rPr>
          <w:rFonts w:hint="default"/>
          <w:lang w:val="en-US" w:eastAsia="zh-CN"/>
        </w:rPr>
      </w:pPr>
      <w:r>
        <w:rPr>
          <w:rFonts w:hint="default"/>
          <w:lang w:val="en-US" w:eastAsia="zh-CN"/>
        </w:rPr>
        <w:t>3.资金使用主要内容、涉及的范围</w:t>
      </w:r>
    </w:p>
    <w:p w14:paraId="1600BF3C">
      <w:pPr>
        <w:bidi w:val="0"/>
        <w:rPr>
          <w:rFonts w:hint="default"/>
          <w:lang w:val="en-US" w:eastAsia="zh-CN"/>
        </w:rPr>
      </w:pPr>
      <w:r>
        <w:rPr>
          <w:rFonts w:hint="default"/>
          <w:lang w:val="en-US" w:eastAsia="zh-CN"/>
        </w:rPr>
        <w:t>我单位2023年度部门整体支出为</w:t>
      </w:r>
      <w:r>
        <w:rPr>
          <w:rFonts w:hint="eastAsia"/>
          <w:lang w:val="en-US" w:eastAsia="zh-CN"/>
        </w:rPr>
        <w:t>69.01</w:t>
      </w:r>
      <w:r>
        <w:rPr>
          <w:rFonts w:hint="default"/>
          <w:lang w:val="en-US" w:eastAsia="zh-CN"/>
        </w:rPr>
        <w:t>万元，其中：</w:t>
      </w:r>
    </w:p>
    <w:p w14:paraId="7290ECFD">
      <w:pPr>
        <w:bidi w:val="0"/>
        <w:rPr>
          <w:rFonts w:hint="default"/>
          <w:color w:val="auto"/>
          <w:lang w:val="en-US" w:eastAsia="zh-CN"/>
        </w:rPr>
      </w:pPr>
      <w:r>
        <w:rPr>
          <w:rFonts w:hint="default"/>
          <w:color w:val="auto"/>
          <w:lang w:val="en-US" w:eastAsia="zh-CN"/>
        </w:rPr>
        <w:t>基本支出</w:t>
      </w:r>
      <w:r>
        <w:rPr>
          <w:rFonts w:hint="eastAsia"/>
          <w:color w:val="auto"/>
          <w:lang w:val="en-US" w:eastAsia="zh-CN"/>
        </w:rPr>
        <w:t>69.01</w:t>
      </w:r>
      <w:r>
        <w:rPr>
          <w:rFonts w:hint="default"/>
          <w:color w:val="auto"/>
          <w:lang w:val="en-US" w:eastAsia="zh-CN"/>
        </w:rPr>
        <w:t>万元，资金的使用方向为我单位机关人员经费支出</w:t>
      </w:r>
      <w:r>
        <w:rPr>
          <w:rFonts w:hint="eastAsia"/>
          <w:color w:val="auto"/>
          <w:lang w:val="en-US" w:eastAsia="zh-CN"/>
        </w:rPr>
        <w:t>64.28</w:t>
      </w:r>
      <w:r>
        <w:rPr>
          <w:rFonts w:hint="default"/>
          <w:color w:val="auto"/>
          <w:lang w:val="en-US" w:eastAsia="zh-CN"/>
        </w:rPr>
        <w:t>万元</w:t>
      </w:r>
      <w:r>
        <w:rPr>
          <w:rFonts w:hint="eastAsia"/>
          <w:color w:val="auto"/>
          <w:lang w:val="en-US" w:eastAsia="zh-CN"/>
        </w:rPr>
        <w:t>，</w:t>
      </w:r>
      <w:r>
        <w:rPr>
          <w:rFonts w:hint="default"/>
          <w:color w:val="auto"/>
          <w:lang w:val="en-US" w:eastAsia="zh-CN"/>
        </w:rPr>
        <w:t>日常公用经费支出</w:t>
      </w:r>
      <w:r>
        <w:rPr>
          <w:rFonts w:hint="eastAsia"/>
          <w:color w:val="auto"/>
          <w:lang w:val="en-US" w:eastAsia="zh-CN"/>
        </w:rPr>
        <w:t>4.73</w:t>
      </w:r>
      <w:r>
        <w:rPr>
          <w:rFonts w:hint="default"/>
          <w:color w:val="auto"/>
          <w:lang w:val="en-US" w:eastAsia="zh-CN"/>
        </w:rPr>
        <w:t>万元</w:t>
      </w:r>
      <w:r>
        <w:rPr>
          <w:rFonts w:hint="eastAsia"/>
          <w:color w:val="auto"/>
          <w:lang w:val="en-US" w:eastAsia="zh-CN"/>
        </w:rPr>
        <w:t>，主要用于保障人员工资及人员医保、社保、住房公积金等缴费，单位办公用品购买及车辆燃油费及维修等方面支出。</w:t>
      </w:r>
    </w:p>
    <w:p w14:paraId="006C66A1">
      <w:pPr>
        <w:bidi w:val="0"/>
        <w:rPr>
          <w:rFonts w:hint="default"/>
          <w:color w:val="auto"/>
          <w:lang w:val="en-US" w:eastAsia="zh-CN"/>
        </w:rPr>
      </w:pPr>
      <w:r>
        <w:rPr>
          <w:rFonts w:hint="default"/>
          <w:color w:val="auto"/>
          <w:lang w:val="en-US" w:eastAsia="zh-CN"/>
        </w:rPr>
        <w:t>项目支出共计</w:t>
      </w:r>
      <w:r>
        <w:rPr>
          <w:rFonts w:hint="eastAsia"/>
          <w:color w:val="auto"/>
          <w:lang w:val="en-US" w:eastAsia="zh-CN"/>
        </w:rPr>
        <w:t>0</w:t>
      </w:r>
      <w:r>
        <w:rPr>
          <w:rFonts w:hint="default"/>
          <w:color w:val="auto"/>
          <w:lang w:val="en-US" w:eastAsia="zh-CN"/>
        </w:rPr>
        <w:t>万元，</w:t>
      </w:r>
      <w:r>
        <w:rPr>
          <w:rFonts w:hint="eastAsia"/>
          <w:color w:val="auto"/>
          <w:lang w:val="en-US" w:eastAsia="zh-CN"/>
        </w:rPr>
        <w:t>全年未安排项目支</w:t>
      </w:r>
      <w:r>
        <w:rPr>
          <w:rFonts w:hint="default"/>
          <w:color w:val="auto"/>
          <w:lang w:val="en-US" w:eastAsia="zh-CN"/>
        </w:rPr>
        <w:t>出。</w:t>
      </w:r>
    </w:p>
    <w:p w14:paraId="17008A00">
      <w:pPr>
        <w:pStyle w:val="3"/>
        <w:bidi w:val="0"/>
        <w:rPr>
          <w:rFonts w:hint="eastAsia"/>
        </w:rPr>
      </w:pPr>
      <w:bookmarkStart w:id="1" w:name="_Toc32535_WPSOffice_Level1"/>
      <w:r>
        <w:rPr>
          <w:rFonts w:hint="eastAsia"/>
          <w:lang w:val="en-US" w:eastAsia="zh-CN"/>
        </w:rPr>
        <w:t>二、</w:t>
      </w:r>
      <w:r>
        <w:rPr>
          <w:rFonts w:hint="eastAsia"/>
        </w:rPr>
        <w:t>部门单位整体支出管理及使用情况</w:t>
      </w:r>
      <w:bookmarkEnd w:id="1"/>
    </w:p>
    <w:p w14:paraId="3575C250">
      <w:pPr>
        <w:pStyle w:val="4"/>
        <w:bidi w:val="0"/>
        <w:rPr>
          <w:rFonts w:hint="eastAsia"/>
          <w:lang w:val="en-US" w:eastAsia="zh-CN"/>
        </w:rPr>
      </w:pPr>
      <w:r>
        <w:rPr>
          <w:rFonts w:hint="eastAsia"/>
          <w:lang w:val="en-US" w:eastAsia="zh-CN"/>
        </w:rPr>
        <w:t>（一）基本支出和使用情况</w:t>
      </w:r>
    </w:p>
    <w:p w14:paraId="5FA431CD">
      <w:pPr>
        <w:bidi w:val="0"/>
        <w:rPr>
          <w:rFonts w:hint="eastAsia"/>
          <w:color w:val="auto"/>
          <w:lang w:val="en-US" w:eastAsia="zh-CN"/>
        </w:rPr>
      </w:pPr>
      <w:r>
        <w:rPr>
          <w:rFonts w:hint="eastAsia"/>
          <w:color w:val="auto"/>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69.01万元，全年实际支出69.01万元，资金执行率100%。基本支出严格按照财务管理制度执行，其中：</w:t>
      </w:r>
    </w:p>
    <w:p w14:paraId="2AD9E230">
      <w:pPr>
        <w:bidi w:val="0"/>
        <w:rPr>
          <w:rFonts w:hint="eastAsia"/>
          <w:color w:val="auto"/>
          <w:lang w:val="en-US" w:eastAsia="zh-CN"/>
        </w:rPr>
      </w:pPr>
      <w:r>
        <w:rPr>
          <w:rFonts w:hint="eastAsia"/>
          <w:color w:val="auto"/>
          <w:lang w:val="en-US" w:eastAsia="zh-CN"/>
        </w:rPr>
        <w:t>人员经费支出64.28万元，主要包括：基本工资、津贴补贴、奖金、绩效工资、机关事业单位基本养老保险缴费、职业年金缴费、职工基本医疗保险缴费、其他社会保障缴费、住房公积金、其他对个人和家庭的补助支出等。</w:t>
      </w:r>
    </w:p>
    <w:p w14:paraId="487FEA0A">
      <w:pPr>
        <w:bidi w:val="0"/>
        <w:rPr>
          <w:rFonts w:hint="eastAsia"/>
          <w:color w:val="auto"/>
          <w:lang w:val="en-US" w:eastAsia="zh-CN"/>
        </w:rPr>
      </w:pPr>
      <w:r>
        <w:rPr>
          <w:rFonts w:hint="eastAsia"/>
          <w:color w:val="auto"/>
          <w:lang w:val="en-US" w:eastAsia="zh-CN"/>
        </w:rPr>
        <w:t>公用经费支出4.73万元，主要包括：办公费、邮电费、取暖费、公务用车运行维护费、其他商品和服务支出。</w:t>
      </w:r>
    </w:p>
    <w:p w14:paraId="6AF9892A">
      <w:pPr>
        <w:pStyle w:val="4"/>
        <w:bidi w:val="0"/>
        <w:rPr>
          <w:rFonts w:hint="eastAsia"/>
          <w:lang w:val="en-US" w:eastAsia="zh-CN"/>
        </w:rPr>
      </w:pPr>
      <w:r>
        <w:rPr>
          <w:rFonts w:hint="eastAsia"/>
          <w:lang w:val="en-US" w:eastAsia="zh-CN"/>
        </w:rPr>
        <w:t>（二）政策、项目支出和使用情况</w:t>
      </w:r>
    </w:p>
    <w:p w14:paraId="41228D93">
      <w:pPr>
        <w:bidi w:val="0"/>
        <w:rPr>
          <w:rFonts w:hint="eastAsia"/>
          <w:lang w:val="en-US" w:eastAsia="zh-CN"/>
        </w:rPr>
      </w:pPr>
      <w:r>
        <w:rPr>
          <w:rFonts w:hint="eastAsia"/>
          <w:lang w:val="en-US" w:eastAsia="zh-CN"/>
        </w:rPr>
        <w:t>和静县军粮供应站2023年度没有安排具体的项目支出，本单位按期完成了粮食保障的重点工作，为被服务对象单位的后勤工作提供了有力保障。</w:t>
      </w:r>
    </w:p>
    <w:p w14:paraId="344C218D">
      <w:pPr>
        <w:pStyle w:val="3"/>
        <w:bidi w:val="0"/>
        <w:rPr>
          <w:rFonts w:hint="eastAsia" w:eastAsia="黑体"/>
          <w:lang w:val="en-US" w:eastAsia="zh-CN"/>
        </w:rPr>
      </w:pPr>
      <w:bookmarkStart w:id="2" w:name="_Toc13582_WPSOffice_Level1"/>
      <w:r>
        <w:rPr>
          <w:rFonts w:hint="eastAsia"/>
          <w:lang w:val="en-US" w:eastAsia="zh-CN"/>
        </w:rPr>
        <w:t>三、</w:t>
      </w:r>
      <w:r>
        <w:rPr>
          <w:rFonts w:hint="eastAsia"/>
        </w:rPr>
        <w:t>部门单位整体支出绩效</w:t>
      </w:r>
      <w:bookmarkEnd w:id="2"/>
      <w:r>
        <w:rPr>
          <w:rFonts w:hint="eastAsia"/>
          <w:lang w:val="en-US" w:eastAsia="zh-CN"/>
        </w:rPr>
        <w:t>分析</w:t>
      </w:r>
    </w:p>
    <w:p w14:paraId="5BBA7AB5">
      <w:pPr>
        <w:bidi w:val="0"/>
        <w:rPr>
          <w:rFonts w:hint="default"/>
          <w:lang w:val="en-US" w:eastAsia="zh-CN"/>
        </w:rPr>
      </w:pPr>
      <w:r>
        <w:rPr>
          <w:rFonts w:hint="eastAsia"/>
          <w:lang w:val="en-US" w:eastAsia="zh-CN"/>
        </w:rPr>
        <w:t>我单位2023年度部门整体支出绩效目标，共设置一级指标三个，二级指标8个，三级指标8个，其中已完成三级指标8个，指标完成率为100%。部门整体支出绩效情况如下：</w:t>
      </w:r>
    </w:p>
    <w:p w14:paraId="3A50DEE9">
      <w:pPr>
        <w:pStyle w:val="4"/>
        <w:bidi w:val="0"/>
        <w:rPr>
          <w:rFonts w:hint="eastAsia"/>
        </w:rPr>
      </w:pPr>
      <w:r>
        <w:rPr>
          <w:rFonts w:hint="eastAsia"/>
          <w:lang w:eastAsia="zh-CN"/>
        </w:rPr>
        <w:t>（</w:t>
      </w:r>
      <w:r>
        <w:rPr>
          <w:rFonts w:hint="eastAsia"/>
          <w:lang w:val="en-US" w:eastAsia="zh-CN"/>
        </w:rPr>
        <w:t>一）项目支出预算执行率</w:t>
      </w:r>
      <w:r>
        <w:rPr>
          <w:rFonts w:hint="eastAsia"/>
        </w:rPr>
        <w:t>指标完成情况分析</w:t>
      </w:r>
    </w:p>
    <w:p w14:paraId="53B967B6">
      <w:pPr>
        <w:bidi w:val="0"/>
        <w:rPr>
          <w:rFonts w:hint="default"/>
          <w:lang w:val="en-US" w:eastAsia="zh-CN"/>
        </w:rPr>
      </w:pPr>
      <w:r>
        <w:rPr>
          <w:rFonts w:hint="eastAsia"/>
          <w:lang w:val="en-US" w:eastAsia="zh-CN"/>
        </w:rPr>
        <w:t>“项目支出预算执行率”控制率指标年初设定目标是100%，年中绩效运行监控时完成值100%，年终实际完成值是100%，指标完成率是100%，达到严禁超预算的预期目标，偏差原因：无偏差。</w:t>
      </w:r>
    </w:p>
    <w:p w14:paraId="3D9DA497">
      <w:pPr>
        <w:pStyle w:val="4"/>
        <w:bidi w:val="0"/>
        <w:rPr>
          <w:rFonts w:hint="eastAsia"/>
          <w:lang w:val="en-US" w:eastAsia="zh-CN"/>
        </w:rPr>
      </w:pPr>
      <w:r>
        <w:rPr>
          <w:rFonts w:hint="eastAsia"/>
          <w:lang w:val="en-US" w:eastAsia="zh-CN"/>
        </w:rPr>
        <w:t>（二）“三公经费”控制率指标完成情况分析</w:t>
      </w:r>
    </w:p>
    <w:p w14:paraId="0CBCC877">
      <w:pPr>
        <w:bidi w:val="0"/>
        <w:rPr>
          <w:rFonts w:hint="eastAsia"/>
          <w:lang w:val="en-US" w:eastAsia="zh-CN"/>
        </w:rPr>
      </w:pPr>
      <w:r>
        <w:rPr>
          <w:rFonts w:hint="eastAsia"/>
          <w:lang w:val="en-US" w:eastAsia="zh-CN"/>
        </w:rPr>
        <w:t>“三公经费”控制率指标年初设定目标是100%，年中绩效运行监控时完成值51.9%，年终实际完成值是100%，指标完成率是100%，达到严禁超预算的预期目标，偏差原因：无偏差。</w:t>
      </w:r>
    </w:p>
    <w:p w14:paraId="2BB71D1D">
      <w:pPr>
        <w:pStyle w:val="4"/>
        <w:bidi w:val="0"/>
        <w:rPr>
          <w:rFonts w:hint="eastAsia"/>
          <w:lang w:val="en-US" w:eastAsia="zh-CN"/>
        </w:rPr>
      </w:pPr>
      <w:r>
        <w:rPr>
          <w:rFonts w:hint="eastAsia"/>
          <w:lang w:val="en-US" w:eastAsia="zh-CN"/>
        </w:rPr>
        <w:t>（三）“人员经费保障人数”控制率指标完成情况分析</w:t>
      </w:r>
    </w:p>
    <w:p w14:paraId="6E31B508">
      <w:pPr>
        <w:bidi w:val="0"/>
        <w:rPr>
          <w:rFonts w:hint="eastAsia"/>
          <w:lang w:val="en-US" w:eastAsia="zh-CN"/>
        </w:rPr>
      </w:pPr>
      <w:r>
        <w:rPr>
          <w:rFonts w:hint="eastAsia"/>
          <w:lang w:val="en-US" w:eastAsia="zh-CN"/>
        </w:rPr>
        <w:t>“人员经费保障人数”控制率指标年初设定目标是≥4人，年中绩效运行监控时完成值4人，年终实际完成值是4人，指标完成率是100%，保障人员工资足额及时发放，偏差原因：无偏差。</w:t>
      </w:r>
    </w:p>
    <w:p w14:paraId="52715142">
      <w:pPr>
        <w:pStyle w:val="4"/>
        <w:bidi w:val="0"/>
        <w:rPr>
          <w:rFonts w:hint="eastAsia"/>
          <w:lang w:val="en-US" w:eastAsia="zh-CN"/>
        </w:rPr>
      </w:pPr>
      <w:r>
        <w:rPr>
          <w:rFonts w:hint="eastAsia"/>
          <w:lang w:val="en-US" w:eastAsia="zh-CN"/>
        </w:rPr>
        <w:t>（四）“保障退休人数”控制率指标完成情况分析</w:t>
      </w:r>
    </w:p>
    <w:p w14:paraId="469BD22D">
      <w:pPr>
        <w:bidi w:val="0"/>
        <w:rPr>
          <w:rFonts w:hint="eastAsia"/>
          <w:lang w:val="en-US" w:eastAsia="zh-CN"/>
        </w:rPr>
      </w:pPr>
      <w:r>
        <w:rPr>
          <w:rFonts w:hint="eastAsia"/>
          <w:lang w:val="en-US" w:eastAsia="zh-CN"/>
        </w:rPr>
        <w:t>“保障退休人数”控制率指标年初设定目标是≥2人，年中绩效运行监控时完成值2人，年终实际完成值是2人，指标完成率是100%，保障退休人员取暖费和独生子女费按时足额发放，偏差原因：无偏差。</w:t>
      </w:r>
    </w:p>
    <w:p w14:paraId="15DAC4D8">
      <w:pPr>
        <w:pStyle w:val="4"/>
        <w:bidi w:val="0"/>
        <w:rPr>
          <w:rFonts w:hint="eastAsia"/>
          <w:lang w:val="en-US" w:eastAsia="zh-CN"/>
        </w:rPr>
      </w:pPr>
      <w:r>
        <w:rPr>
          <w:rFonts w:hint="eastAsia"/>
          <w:lang w:val="en-US" w:eastAsia="zh-CN"/>
        </w:rPr>
        <w:t>（五）“公务保障用车数量”控制率指标完成情况分析</w:t>
      </w:r>
    </w:p>
    <w:p w14:paraId="7590DEEE">
      <w:pPr>
        <w:bidi w:val="0"/>
        <w:rPr>
          <w:rFonts w:hint="eastAsia"/>
          <w:lang w:val="en-US" w:eastAsia="zh-CN"/>
        </w:rPr>
      </w:pPr>
      <w:r>
        <w:rPr>
          <w:rFonts w:hint="eastAsia"/>
          <w:lang w:val="en-US" w:eastAsia="zh-CN"/>
        </w:rPr>
        <w:t>“公务保障用车数量”控制率指标年初设定目标是=1辆，年中绩效运行监控时完成值1辆，年终实际完成值是1辆，指标完成率是100%，严格遵守中央八项规定，没有购置新车，偏差原因：无偏差。</w:t>
      </w:r>
    </w:p>
    <w:p w14:paraId="60C35862">
      <w:pPr>
        <w:pStyle w:val="4"/>
        <w:bidi w:val="0"/>
        <w:rPr>
          <w:rFonts w:hint="eastAsia"/>
          <w:lang w:val="en-US" w:eastAsia="zh-CN"/>
        </w:rPr>
      </w:pPr>
      <w:r>
        <w:rPr>
          <w:rFonts w:hint="eastAsia"/>
          <w:lang w:val="en-US" w:eastAsia="zh-CN"/>
        </w:rPr>
        <w:t>（六）“人员经费足额发放率”控制率指标完成情况分析</w:t>
      </w:r>
    </w:p>
    <w:p w14:paraId="7265A0D2">
      <w:pPr>
        <w:bidi w:val="0"/>
        <w:rPr>
          <w:rFonts w:hint="eastAsia"/>
          <w:lang w:val="en-US" w:eastAsia="zh-CN"/>
        </w:rPr>
      </w:pPr>
      <w:r>
        <w:rPr>
          <w:rFonts w:hint="eastAsia"/>
          <w:lang w:val="en-US" w:eastAsia="zh-CN"/>
        </w:rPr>
        <w:t>“人员经费足额发放率”控制率指标年初设定目标是≥95%，年中绩效运行监控时完成值50%，年终实际完成值是100%，指标完成率是100%，保障人员工资及时足额发放，偏差原因：无偏差。</w:t>
      </w:r>
    </w:p>
    <w:p w14:paraId="6BC0419C">
      <w:pPr>
        <w:pStyle w:val="4"/>
        <w:bidi w:val="0"/>
        <w:ind w:left="0" w:leftChars="0" w:firstLine="643" w:firstLineChars="200"/>
        <w:rPr>
          <w:rFonts w:hint="eastAsia"/>
          <w:lang w:val="en-US" w:eastAsia="zh-CN"/>
        </w:rPr>
      </w:pPr>
      <w:r>
        <w:rPr>
          <w:rFonts w:hint="eastAsia"/>
          <w:lang w:val="en-US" w:eastAsia="zh-CN"/>
        </w:rPr>
        <w:t>（七）“公用车辆正常运行率”控制率指标完成情况分析</w:t>
      </w:r>
    </w:p>
    <w:p w14:paraId="729FF6D5">
      <w:pPr>
        <w:bidi w:val="0"/>
        <w:rPr>
          <w:rFonts w:hint="eastAsia"/>
          <w:lang w:val="en-US" w:eastAsia="zh-CN"/>
        </w:rPr>
      </w:pPr>
      <w:r>
        <w:rPr>
          <w:rFonts w:hint="eastAsia"/>
          <w:lang w:val="en-US" w:eastAsia="zh-CN"/>
        </w:rPr>
        <w:t>“公用车辆正常运行率”控制率指标年初设定目标是≥95%，年中绩效运行监控时完成值95%，年终实际完成值是100%，指标完成率是100%，保障车辆正常运转，偏差原因：无偏差。</w:t>
      </w:r>
    </w:p>
    <w:p w14:paraId="1AEF8FFE">
      <w:pPr>
        <w:pStyle w:val="4"/>
        <w:bidi w:val="0"/>
        <w:rPr>
          <w:rFonts w:hint="eastAsia"/>
          <w:lang w:val="en-US" w:eastAsia="zh-CN"/>
        </w:rPr>
      </w:pPr>
      <w:r>
        <w:rPr>
          <w:rFonts w:hint="eastAsia"/>
          <w:lang w:val="en-US" w:eastAsia="zh-CN"/>
        </w:rPr>
        <w:t>（八）“确保被服务单位粮油保障率”控制率指标完成情况分析</w:t>
      </w:r>
    </w:p>
    <w:p w14:paraId="611AD881">
      <w:pPr>
        <w:bidi w:val="0"/>
        <w:rPr>
          <w:rFonts w:hint="eastAsia"/>
          <w:lang w:val="en-US" w:eastAsia="zh-CN"/>
        </w:rPr>
      </w:pPr>
      <w:r>
        <w:rPr>
          <w:rFonts w:hint="eastAsia"/>
          <w:lang w:val="en-US" w:eastAsia="zh-CN"/>
        </w:rPr>
        <w:t>“确保被服务单位粮油保障率”控制率指标年初设定目标是≥98%，年中绩效运行监控时完成值98%，年终实际完成值是100%，指标完成率是100%，做好被服务对象单位后勤工作，确保粮油及时供应，偏差原因：无偏差。</w:t>
      </w:r>
    </w:p>
    <w:p w14:paraId="3166975B">
      <w:pPr>
        <w:pStyle w:val="3"/>
        <w:numPr>
          <w:ilvl w:val="0"/>
          <w:numId w:val="0"/>
        </w:numPr>
        <w:bidi w:val="0"/>
        <w:ind w:leftChars="200"/>
        <w:rPr>
          <w:rFonts w:hint="default"/>
          <w:lang w:val="en-US"/>
        </w:rPr>
      </w:pPr>
      <w:r>
        <w:rPr>
          <w:rFonts w:hint="eastAsia"/>
          <w:lang w:val="en-US" w:eastAsia="zh-CN"/>
        </w:rPr>
        <w:t>四、评价结论</w:t>
      </w:r>
    </w:p>
    <w:p w14:paraId="3808A3BE">
      <w:pPr>
        <w:ind w:firstLine="560"/>
        <w:rPr>
          <w:rFonts w:hint="eastAsia"/>
          <w:color w:val="auto"/>
          <w:lang w:val="en-US" w:eastAsia="zh-CN"/>
        </w:rPr>
      </w:pPr>
      <w:r>
        <w:rPr>
          <w:rFonts w:hint="eastAsia"/>
          <w:color w:val="auto"/>
          <w:lang w:val="en-US" w:eastAsia="zh-CN"/>
        </w:rPr>
        <w:t>我单位</w:t>
      </w:r>
      <w:r>
        <w:rPr>
          <w:rFonts w:hint="eastAsia"/>
          <w:color w:val="auto"/>
          <w:lang w:eastAsia="zh-CN"/>
        </w:rPr>
        <w:t>20</w:t>
      </w:r>
      <w:r>
        <w:rPr>
          <w:rFonts w:hint="eastAsia"/>
          <w:color w:val="auto"/>
          <w:lang w:val="en-US" w:eastAsia="zh-CN"/>
        </w:rPr>
        <w:t>23</w:t>
      </w:r>
      <w:r>
        <w:rPr>
          <w:rFonts w:hint="eastAsia"/>
          <w:color w:val="auto"/>
          <w:lang w:eastAsia="zh-CN"/>
        </w:rPr>
        <w:t>年度部门整体支出绩效自评综合得分</w:t>
      </w:r>
      <w:r>
        <w:rPr>
          <w:rFonts w:hint="eastAsia"/>
          <w:color w:val="auto"/>
          <w:lang w:val="en-US" w:eastAsia="zh-CN"/>
        </w:rPr>
        <w:t>100</w:t>
      </w:r>
      <w:r>
        <w:rPr>
          <w:rFonts w:hint="eastAsia"/>
          <w:color w:val="auto"/>
          <w:lang w:eastAsia="zh-CN"/>
        </w:rPr>
        <w:t>分，评价结果为“优”。我</w:t>
      </w:r>
      <w:r>
        <w:rPr>
          <w:rFonts w:hint="default"/>
          <w:color w:val="auto"/>
          <w:lang w:eastAsia="zh-CN"/>
        </w:rPr>
        <w:t>单位</w:t>
      </w:r>
      <w:r>
        <w:rPr>
          <w:rFonts w:hint="default"/>
          <w:color w:val="auto"/>
        </w:rPr>
        <w:t>202</w:t>
      </w:r>
      <w:r>
        <w:rPr>
          <w:rFonts w:hint="eastAsia"/>
          <w:color w:val="auto"/>
          <w:lang w:val="en-US" w:eastAsia="zh-CN"/>
        </w:rPr>
        <w:t>3</w:t>
      </w:r>
      <w:r>
        <w:rPr>
          <w:rFonts w:hint="default"/>
          <w:color w:val="auto"/>
        </w:rPr>
        <w:t>年部门履职效果良好，</w:t>
      </w:r>
      <w:r>
        <w:rPr>
          <w:rFonts w:hint="eastAsia"/>
          <w:color w:val="auto"/>
          <w:lang w:val="en-US" w:eastAsia="zh-CN"/>
        </w:rPr>
        <w:t>主要体现在：</w:t>
      </w:r>
    </w:p>
    <w:p w14:paraId="483AFFA0">
      <w:pPr>
        <w:ind w:firstLine="560"/>
        <w:rPr>
          <w:rFonts w:hint="eastAsia"/>
          <w:color w:val="auto"/>
        </w:rPr>
      </w:pPr>
      <w:r>
        <w:rPr>
          <w:rFonts w:hint="eastAsia"/>
          <w:color w:val="auto"/>
          <w:lang w:val="en-US" w:eastAsia="zh-CN"/>
        </w:rPr>
        <w:t>和静县军粮供应站</w:t>
      </w:r>
      <w:r>
        <w:rPr>
          <w:rFonts w:hint="eastAsia"/>
          <w:color w:val="auto"/>
          <w:lang w:eastAsia="zh-CN"/>
        </w:rPr>
        <w:t>粮食</w:t>
      </w:r>
      <w:r>
        <w:rPr>
          <w:rFonts w:hint="eastAsia"/>
          <w:color w:val="auto"/>
        </w:rPr>
        <w:t>供应</w:t>
      </w:r>
      <w:r>
        <w:rPr>
          <w:rFonts w:hint="eastAsia"/>
          <w:color w:val="auto"/>
          <w:lang w:eastAsia="zh-CN"/>
        </w:rPr>
        <w:t>即是</w:t>
      </w:r>
      <w:bookmarkStart w:id="5" w:name="_GoBack"/>
      <w:bookmarkEnd w:id="5"/>
      <w:r>
        <w:rPr>
          <w:rFonts w:hint="eastAsia"/>
          <w:color w:val="auto"/>
        </w:rPr>
        <w:t>一项重要的经济工作，更是一项严肃的政治任务，作为军供站，保障</w:t>
      </w:r>
      <w:r>
        <w:rPr>
          <w:rFonts w:hint="eastAsia"/>
          <w:color w:val="auto"/>
          <w:lang w:eastAsia="zh-CN"/>
        </w:rPr>
        <w:t>粮食</w:t>
      </w:r>
      <w:r>
        <w:rPr>
          <w:rFonts w:hint="eastAsia"/>
          <w:color w:val="auto"/>
        </w:rPr>
        <w:t>供应是我们义不容辞的职责，我们不断</w:t>
      </w:r>
      <w:r>
        <w:rPr>
          <w:rFonts w:hint="eastAsia"/>
          <w:color w:val="auto"/>
          <w:lang w:eastAsia="zh-CN"/>
        </w:rPr>
        <w:t>地</w:t>
      </w:r>
      <w:r>
        <w:rPr>
          <w:rFonts w:hint="eastAsia"/>
          <w:color w:val="auto"/>
        </w:rPr>
        <w:t>加强职工的政治思想教育，增强责任意识， 牢固树立大局意识，国防意识和军供无小事意识，建章立制，建立完善了各项规章制度。</w:t>
      </w:r>
    </w:p>
    <w:p w14:paraId="150F7905">
      <w:pPr>
        <w:ind w:firstLine="560"/>
        <w:rPr>
          <w:rFonts w:hint="eastAsia"/>
          <w:color w:val="auto"/>
        </w:rPr>
      </w:pPr>
      <w:r>
        <w:rPr>
          <w:rFonts w:hint="eastAsia"/>
          <w:color w:val="auto"/>
        </w:rPr>
        <w:t>严格按照国家财经和相关财务会计制度进行</w:t>
      </w:r>
      <w:r>
        <w:rPr>
          <w:rFonts w:hint="eastAsia"/>
          <w:color w:val="auto"/>
          <w:lang w:eastAsia="zh-CN"/>
        </w:rPr>
        <w:t>粮食</w:t>
      </w:r>
      <w:r>
        <w:rPr>
          <w:rFonts w:hint="eastAsia"/>
          <w:color w:val="auto"/>
        </w:rPr>
        <w:t>财务管理、会计核算，专人管理、专款专用、独立核算，资金使用、财务核算真实准确，每月进行库存盘点，做到账物相实没有出现挤占、截留、挪用、</w:t>
      </w:r>
      <w:r>
        <w:rPr>
          <w:rFonts w:hint="eastAsia"/>
          <w:color w:val="auto"/>
          <w:lang w:eastAsia="zh-CN"/>
        </w:rPr>
        <w:t>为其他</w:t>
      </w:r>
      <w:r>
        <w:rPr>
          <w:rFonts w:hint="eastAsia"/>
          <w:color w:val="auto"/>
        </w:rPr>
        <w:t>单位和个人担保的违纪违法现象发生</w:t>
      </w:r>
      <w:r>
        <w:rPr>
          <w:rFonts w:hint="eastAsia"/>
          <w:color w:val="auto"/>
          <w:lang w:eastAsia="zh-CN"/>
        </w:rPr>
        <w:t>。</w:t>
      </w:r>
      <w:r>
        <w:rPr>
          <w:rFonts w:hint="eastAsia"/>
          <w:color w:val="auto"/>
        </w:rPr>
        <w:t>恪尽职守，爱岗敬业、遵守</w:t>
      </w:r>
      <w:r>
        <w:rPr>
          <w:rFonts w:hint="eastAsia"/>
          <w:color w:val="auto"/>
          <w:lang w:eastAsia="zh-CN"/>
        </w:rPr>
        <w:t>社会公德</w:t>
      </w:r>
      <w:r>
        <w:rPr>
          <w:rFonts w:hint="eastAsia"/>
          <w:color w:val="auto"/>
        </w:rPr>
        <w:t>和职业道德，塑造优良秩序，优质 服务的整体形象。</w:t>
      </w:r>
    </w:p>
    <w:p w14:paraId="51C381B2">
      <w:pPr>
        <w:pStyle w:val="3"/>
        <w:bidi w:val="0"/>
        <w:rPr>
          <w:rFonts w:hint="default" w:eastAsia="黑体"/>
          <w:lang w:val="en-US" w:eastAsia="zh-CN"/>
        </w:rPr>
      </w:pPr>
      <w:bookmarkStart w:id="3" w:name="_Toc22800_WPSOffice_Level1"/>
      <w:r>
        <w:rPr>
          <w:rFonts w:hint="eastAsia"/>
          <w:lang w:val="en-US" w:eastAsia="zh-CN"/>
        </w:rPr>
        <w:t>五、</w:t>
      </w:r>
      <w:r>
        <w:rPr>
          <w:rFonts w:hint="eastAsia"/>
        </w:rPr>
        <w:t>存在的主要问题</w:t>
      </w:r>
      <w:bookmarkEnd w:id="3"/>
      <w:r>
        <w:rPr>
          <w:rFonts w:hint="eastAsia"/>
          <w:lang w:val="en-US" w:eastAsia="zh-CN"/>
        </w:rPr>
        <w:t>及原因分析</w:t>
      </w:r>
    </w:p>
    <w:p w14:paraId="7A1D5186">
      <w:pPr>
        <w:numPr>
          <w:ilvl w:val="0"/>
          <w:numId w:val="0"/>
        </w:numPr>
        <w:ind w:firstLine="560" w:firstLineChars="200"/>
        <w:rPr>
          <w:rFonts w:hint="eastAsia"/>
          <w:b w:val="0"/>
          <w:bCs w:val="0"/>
          <w:color w:val="auto"/>
          <w:shd w:val="clear" w:color="auto" w:fill="auto"/>
          <w:lang w:val="en-US" w:eastAsia="zh-CN"/>
        </w:rPr>
      </w:pPr>
      <w:r>
        <w:rPr>
          <w:rFonts w:hint="eastAsia"/>
          <w:b w:val="0"/>
          <w:bCs w:val="0"/>
          <w:color w:val="auto"/>
          <w:shd w:val="clear" w:color="auto" w:fill="auto"/>
          <w:lang w:val="en-US" w:eastAsia="zh-CN"/>
        </w:rPr>
        <w:t>1、预算绩效管理意识没有完全树立起来，导致预算绩效管理指标的设定和各项指标的理解、认识不到位，导致项目绩效目标不够明确，不够细化，重资金分配，轻绩效评价。</w:t>
      </w:r>
    </w:p>
    <w:p w14:paraId="2FD8FBB0">
      <w:pPr>
        <w:numPr>
          <w:ilvl w:val="0"/>
          <w:numId w:val="0"/>
        </w:numPr>
        <w:ind w:firstLine="560" w:firstLineChars="200"/>
        <w:rPr>
          <w:rFonts w:hint="eastAsia"/>
          <w:color w:val="FF0000"/>
          <w:lang w:val="en-US" w:eastAsia="zh-CN"/>
        </w:rPr>
      </w:pPr>
      <w:r>
        <w:rPr>
          <w:rFonts w:hint="eastAsia"/>
          <w:b w:val="0"/>
          <w:bCs w:val="0"/>
          <w:color w:val="auto"/>
          <w:shd w:val="clear" w:color="auto" w:fill="auto"/>
          <w:lang w:val="en-US" w:eastAsia="zh-CN"/>
        </w:rPr>
        <w:t xml:space="preserve"> 2、单位管理措施不够到位，预算绩效管理精细化和财政资金监管刚性化，使预算编报和执行难度增加，对预算及项目管理人员提出了更高的能力要求。</w:t>
      </w:r>
    </w:p>
    <w:p w14:paraId="531E9851">
      <w:pPr>
        <w:pStyle w:val="3"/>
        <w:bidi w:val="0"/>
        <w:rPr>
          <w:rFonts w:hint="eastAsia"/>
        </w:rPr>
      </w:pPr>
      <w:bookmarkStart w:id="4" w:name="_Toc29546_WPSOffice_Level1"/>
      <w:r>
        <w:rPr>
          <w:rFonts w:hint="eastAsia"/>
          <w:lang w:val="en-US" w:eastAsia="zh-CN"/>
        </w:rPr>
        <w:t>六、</w:t>
      </w:r>
      <w:r>
        <w:rPr>
          <w:rFonts w:hint="eastAsia"/>
        </w:rPr>
        <w:t>改进措施和建议</w:t>
      </w:r>
      <w:bookmarkEnd w:id="4"/>
    </w:p>
    <w:p w14:paraId="27544964">
      <w:pPr>
        <w:pStyle w:val="2"/>
        <w:rPr>
          <w:rFonts w:hint="eastAsia" w:ascii="仿宋" w:hAnsi="仿宋" w:eastAsia="仿宋" w:cs="Times New Roman"/>
          <w:b w:val="0"/>
          <w:bCs w:val="0"/>
          <w:color w:val="auto"/>
          <w:kern w:val="2"/>
          <w:sz w:val="28"/>
          <w:szCs w:val="24"/>
          <w:lang w:val="en-US" w:eastAsia="zh-CN" w:bidi="ar-SA"/>
        </w:rPr>
      </w:pPr>
      <w:r>
        <w:rPr>
          <w:rFonts w:hint="eastAsia" w:ascii="仿宋" w:hAnsi="仿宋" w:eastAsia="仿宋" w:cs="Times New Roman"/>
          <w:b w:val="0"/>
          <w:bCs w:val="0"/>
          <w:color w:val="auto"/>
          <w:kern w:val="2"/>
          <w:sz w:val="28"/>
          <w:szCs w:val="24"/>
          <w:lang w:val="en-US" w:eastAsia="zh-CN" w:bidi="ar-SA"/>
        </w:rPr>
        <w:t>1、提高对预算绩效管理的认识和强化预算绩效管理理念，注重绩效目标，评价指标的关联性，依据部门职责和年度工作重点，更加科学合理地确定部门绩效目标和评价目标；</w:t>
      </w:r>
    </w:p>
    <w:p w14:paraId="05F79EF3">
      <w:pPr>
        <w:pStyle w:val="2"/>
        <w:rPr>
          <w:rFonts w:hint="eastAsia"/>
        </w:rPr>
      </w:pPr>
      <w:r>
        <w:rPr>
          <w:rFonts w:hint="eastAsia" w:ascii="仿宋" w:hAnsi="仿宋" w:eastAsia="仿宋" w:cs="Times New Roman"/>
          <w:b w:val="0"/>
          <w:bCs w:val="0"/>
          <w:color w:val="auto"/>
          <w:kern w:val="2"/>
          <w:sz w:val="28"/>
          <w:szCs w:val="24"/>
          <w:lang w:val="en-US" w:eastAsia="zh-CN" w:bidi="ar-SA"/>
        </w:rPr>
        <w:t>2、强化管理，规范行为，细化预算编制，严格预算执行，合理制定项目方案和计划，提高财政资金使用率和效益，坚持</w:t>
      </w:r>
      <w:r>
        <w:rPr>
          <w:rFonts w:hint="eastAsia" w:ascii="仿宋" w:hAnsi="仿宋" w:cs="Times New Roman"/>
          <w:b w:val="0"/>
          <w:bCs w:val="0"/>
          <w:color w:val="auto"/>
          <w:kern w:val="2"/>
          <w:sz w:val="28"/>
          <w:szCs w:val="24"/>
          <w:lang w:val="en-US" w:eastAsia="zh-CN" w:bidi="ar-SA"/>
        </w:rPr>
        <w:t>厉行节约</w:t>
      </w:r>
      <w:r>
        <w:rPr>
          <w:rFonts w:hint="eastAsia" w:ascii="仿宋" w:hAnsi="仿宋" w:eastAsia="仿宋" w:cs="Times New Roman"/>
          <w:b w:val="0"/>
          <w:bCs w:val="0"/>
          <w:color w:val="auto"/>
          <w:kern w:val="2"/>
          <w:sz w:val="28"/>
          <w:szCs w:val="24"/>
          <w:lang w:val="en-US" w:eastAsia="zh-CN" w:bidi="ar-SA"/>
        </w:rPr>
        <w:t>，进一步降低财务支出，将各种支出用在刀刃上</w:t>
      </w:r>
      <w:r>
        <w:rPr>
          <w:rFonts w:hint="eastAsia" w:ascii="Times New Roman" w:hAnsi="Times New Roman" w:cs="Times New Roman"/>
          <w:color w:val="auto"/>
          <w:kern w:val="0"/>
          <w:szCs w:val="28"/>
        </w:rPr>
        <w:t>。</w:t>
      </w:r>
    </w:p>
    <w:p w14:paraId="2DE19CF8">
      <w:pPr>
        <w:pStyle w:val="3"/>
        <w:bidi w:val="0"/>
        <w:rPr>
          <w:rFonts w:hint="default"/>
          <w:lang w:val="en-US" w:eastAsia="zh-CN"/>
        </w:rPr>
      </w:pPr>
      <w:r>
        <w:rPr>
          <w:rFonts w:hint="eastAsia"/>
          <w:lang w:val="en-US" w:eastAsia="zh-CN"/>
        </w:rPr>
        <w:t>七、附件上传</w:t>
      </w:r>
    </w:p>
    <w:p w14:paraId="35FB4F66">
      <w:pPr>
        <w:bidi w:val="0"/>
        <w:rPr>
          <w:rFonts w:hint="eastAsia"/>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506E03">
    <w:pPr>
      <w:pStyle w:val="10"/>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2611B7B7">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A6B04A"/>
    <w:multiLevelType w:val="singleLevel"/>
    <w:tmpl w:val="F5A6B04A"/>
    <w:lvl w:ilvl="0" w:tentative="0">
      <w:start w:val="1"/>
      <w:numFmt w:val="decimal"/>
      <w:suff w:val="space"/>
      <w:lvlText w:val="（%1）"/>
      <w:lvlJc w:val="left"/>
      <w:rPr>
        <w:rFonts w:hint="default"/>
        <w:b w:val="0"/>
        <w:bCs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A094C"/>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420180"/>
    <w:rsid w:val="01941124"/>
    <w:rsid w:val="01CC583F"/>
    <w:rsid w:val="0203083E"/>
    <w:rsid w:val="02337D11"/>
    <w:rsid w:val="02C40969"/>
    <w:rsid w:val="044C50BA"/>
    <w:rsid w:val="04DB4953"/>
    <w:rsid w:val="04FF0482"/>
    <w:rsid w:val="05062887"/>
    <w:rsid w:val="05322502"/>
    <w:rsid w:val="05464D81"/>
    <w:rsid w:val="05F70F85"/>
    <w:rsid w:val="0607573C"/>
    <w:rsid w:val="06514C09"/>
    <w:rsid w:val="06547701"/>
    <w:rsid w:val="072B19D6"/>
    <w:rsid w:val="084208C4"/>
    <w:rsid w:val="098A3C0A"/>
    <w:rsid w:val="09A24E4E"/>
    <w:rsid w:val="09AF4103"/>
    <w:rsid w:val="0A9A7091"/>
    <w:rsid w:val="0ABE7D56"/>
    <w:rsid w:val="0AEC3153"/>
    <w:rsid w:val="0B9F3D21"/>
    <w:rsid w:val="0BC243C4"/>
    <w:rsid w:val="0C6738B8"/>
    <w:rsid w:val="0E7D784C"/>
    <w:rsid w:val="0EE83C31"/>
    <w:rsid w:val="0FA933C0"/>
    <w:rsid w:val="0FD04DF1"/>
    <w:rsid w:val="10300946"/>
    <w:rsid w:val="10FE60D7"/>
    <w:rsid w:val="111B209C"/>
    <w:rsid w:val="12443874"/>
    <w:rsid w:val="134F7771"/>
    <w:rsid w:val="13900EB9"/>
    <w:rsid w:val="13E513B9"/>
    <w:rsid w:val="143771ED"/>
    <w:rsid w:val="145F6743"/>
    <w:rsid w:val="150D619F"/>
    <w:rsid w:val="152534E9"/>
    <w:rsid w:val="158C5316"/>
    <w:rsid w:val="15B904C0"/>
    <w:rsid w:val="165C118C"/>
    <w:rsid w:val="172D035F"/>
    <w:rsid w:val="175D58E3"/>
    <w:rsid w:val="17E7717C"/>
    <w:rsid w:val="18061B60"/>
    <w:rsid w:val="187E21A0"/>
    <w:rsid w:val="190C3DF8"/>
    <w:rsid w:val="19AA4D08"/>
    <w:rsid w:val="19F83E30"/>
    <w:rsid w:val="1A7016AA"/>
    <w:rsid w:val="1AE31E7C"/>
    <w:rsid w:val="1B403139"/>
    <w:rsid w:val="1BB67591"/>
    <w:rsid w:val="1C6D319F"/>
    <w:rsid w:val="1C7F3E27"/>
    <w:rsid w:val="1CEB326A"/>
    <w:rsid w:val="1D384A93"/>
    <w:rsid w:val="1D4D74D6"/>
    <w:rsid w:val="1DE32CFD"/>
    <w:rsid w:val="1ED55F80"/>
    <w:rsid w:val="1F1A602A"/>
    <w:rsid w:val="1F2854B6"/>
    <w:rsid w:val="1F647304"/>
    <w:rsid w:val="1F6B0692"/>
    <w:rsid w:val="1FBB33C8"/>
    <w:rsid w:val="206C46C2"/>
    <w:rsid w:val="217D20CE"/>
    <w:rsid w:val="21C67E02"/>
    <w:rsid w:val="21C768CD"/>
    <w:rsid w:val="228E7279"/>
    <w:rsid w:val="22E14253"/>
    <w:rsid w:val="23931BB2"/>
    <w:rsid w:val="23F209A3"/>
    <w:rsid w:val="2403516E"/>
    <w:rsid w:val="24AF4B7D"/>
    <w:rsid w:val="256A2A9E"/>
    <w:rsid w:val="26D27249"/>
    <w:rsid w:val="274A3283"/>
    <w:rsid w:val="27F7226E"/>
    <w:rsid w:val="2805537E"/>
    <w:rsid w:val="289437EE"/>
    <w:rsid w:val="289724F8"/>
    <w:rsid w:val="28BC1F5F"/>
    <w:rsid w:val="28F039B6"/>
    <w:rsid w:val="297873DB"/>
    <w:rsid w:val="29915199"/>
    <w:rsid w:val="29F35E61"/>
    <w:rsid w:val="2A285817"/>
    <w:rsid w:val="2B6F150A"/>
    <w:rsid w:val="2BB557CB"/>
    <w:rsid w:val="2BC51751"/>
    <w:rsid w:val="2C6D12D4"/>
    <w:rsid w:val="2D166684"/>
    <w:rsid w:val="2D1C4D7A"/>
    <w:rsid w:val="2E81758A"/>
    <w:rsid w:val="2EBF757D"/>
    <w:rsid w:val="2F4F34B8"/>
    <w:rsid w:val="2FE778C1"/>
    <w:rsid w:val="3095731D"/>
    <w:rsid w:val="313A1C72"/>
    <w:rsid w:val="31927D00"/>
    <w:rsid w:val="31AE39CE"/>
    <w:rsid w:val="31B83F5F"/>
    <w:rsid w:val="31EF0CAF"/>
    <w:rsid w:val="328E2AB6"/>
    <w:rsid w:val="329B12EA"/>
    <w:rsid w:val="32FB1A54"/>
    <w:rsid w:val="33291F9F"/>
    <w:rsid w:val="33A83F87"/>
    <w:rsid w:val="340D2D0F"/>
    <w:rsid w:val="348F1A9E"/>
    <w:rsid w:val="355C2B3F"/>
    <w:rsid w:val="356B4AF0"/>
    <w:rsid w:val="35B30245"/>
    <w:rsid w:val="35F12468"/>
    <w:rsid w:val="366559E4"/>
    <w:rsid w:val="36851B5C"/>
    <w:rsid w:val="37661A13"/>
    <w:rsid w:val="379871D0"/>
    <w:rsid w:val="37BA58BB"/>
    <w:rsid w:val="37D360CA"/>
    <w:rsid w:val="38130F90"/>
    <w:rsid w:val="38B16CBE"/>
    <w:rsid w:val="38CB5066"/>
    <w:rsid w:val="38E054C9"/>
    <w:rsid w:val="39BD4BB0"/>
    <w:rsid w:val="3A565DE9"/>
    <w:rsid w:val="3AC36A27"/>
    <w:rsid w:val="3B506C62"/>
    <w:rsid w:val="3C954BA1"/>
    <w:rsid w:val="3CF4186F"/>
    <w:rsid w:val="3D000ABC"/>
    <w:rsid w:val="3E3A7756"/>
    <w:rsid w:val="3F301058"/>
    <w:rsid w:val="40FA4F7A"/>
    <w:rsid w:val="417A34F9"/>
    <w:rsid w:val="418810F4"/>
    <w:rsid w:val="41A37673"/>
    <w:rsid w:val="42503F5E"/>
    <w:rsid w:val="42C30950"/>
    <w:rsid w:val="431E0B52"/>
    <w:rsid w:val="439939D1"/>
    <w:rsid w:val="452D1DC2"/>
    <w:rsid w:val="459B4F7E"/>
    <w:rsid w:val="45A65C7F"/>
    <w:rsid w:val="45F13359"/>
    <w:rsid w:val="468C2A4A"/>
    <w:rsid w:val="46AD2493"/>
    <w:rsid w:val="46EC7F14"/>
    <w:rsid w:val="479C78C9"/>
    <w:rsid w:val="47CA7D9C"/>
    <w:rsid w:val="47D97FDF"/>
    <w:rsid w:val="47DB3D58"/>
    <w:rsid w:val="48194880"/>
    <w:rsid w:val="48AF4C7F"/>
    <w:rsid w:val="49267254"/>
    <w:rsid w:val="4A143551"/>
    <w:rsid w:val="4A5B46DD"/>
    <w:rsid w:val="4A6F6A56"/>
    <w:rsid w:val="4A81677A"/>
    <w:rsid w:val="4AB9548E"/>
    <w:rsid w:val="4B183A6C"/>
    <w:rsid w:val="4B3B5348"/>
    <w:rsid w:val="4B5A047D"/>
    <w:rsid w:val="4B773D97"/>
    <w:rsid w:val="4D7C38E7"/>
    <w:rsid w:val="4DA177B2"/>
    <w:rsid w:val="4DA370C6"/>
    <w:rsid w:val="4DD32026"/>
    <w:rsid w:val="4DF36D4F"/>
    <w:rsid w:val="4E4F4B57"/>
    <w:rsid w:val="4E656129"/>
    <w:rsid w:val="501B7C76"/>
    <w:rsid w:val="504D5CCF"/>
    <w:rsid w:val="511A2CA6"/>
    <w:rsid w:val="52120376"/>
    <w:rsid w:val="52BC6534"/>
    <w:rsid w:val="533A7469"/>
    <w:rsid w:val="53526129"/>
    <w:rsid w:val="538B4CD8"/>
    <w:rsid w:val="53A21BCD"/>
    <w:rsid w:val="542E520F"/>
    <w:rsid w:val="54394F3D"/>
    <w:rsid w:val="5579070C"/>
    <w:rsid w:val="565F61A9"/>
    <w:rsid w:val="56AD4B11"/>
    <w:rsid w:val="57232FC4"/>
    <w:rsid w:val="572D2326"/>
    <w:rsid w:val="57365691"/>
    <w:rsid w:val="593F3A1A"/>
    <w:rsid w:val="59927FEE"/>
    <w:rsid w:val="59EE1E48"/>
    <w:rsid w:val="5A0A227A"/>
    <w:rsid w:val="5A490F5C"/>
    <w:rsid w:val="5B805E16"/>
    <w:rsid w:val="5BD21464"/>
    <w:rsid w:val="5BDE2B83"/>
    <w:rsid w:val="5BDE39BF"/>
    <w:rsid w:val="5C777282"/>
    <w:rsid w:val="605424A1"/>
    <w:rsid w:val="609D5BF6"/>
    <w:rsid w:val="60AE4E14"/>
    <w:rsid w:val="6146003C"/>
    <w:rsid w:val="61635F72"/>
    <w:rsid w:val="618606C5"/>
    <w:rsid w:val="6224402D"/>
    <w:rsid w:val="624A63BC"/>
    <w:rsid w:val="6384067A"/>
    <w:rsid w:val="638D125E"/>
    <w:rsid w:val="6396333E"/>
    <w:rsid w:val="63B514A9"/>
    <w:rsid w:val="63E114D3"/>
    <w:rsid w:val="64370110"/>
    <w:rsid w:val="64915A72"/>
    <w:rsid w:val="662F5543"/>
    <w:rsid w:val="673D77EB"/>
    <w:rsid w:val="68BB130F"/>
    <w:rsid w:val="69D34FAE"/>
    <w:rsid w:val="6A386990"/>
    <w:rsid w:val="6ABA55F7"/>
    <w:rsid w:val="6AD46D46"/>
    <w:rsid w:val="6B07083C"/>
    <w:rsid w:val="6B623CC4"/>
    <w:rsid w:val="6B6C65E0"/>
    <w:rsid w:val="6BE02E3B"/>
    <w:rsid w:val="6C2B67AC"/>
    <w:rsid w:val="6DE07909"/>
    <w:rsid w:val="6E58438A"/>
    <w:rsid w:val="6E677844"/>
    <w:rsid w:val="6E7066F8"/>
    <w:rsid w:val="6E980103"/>
    <w:rsid w:val="6E9D5508"/>
    <w:rsid w:val="6F871359"/>
    <w:rsid w:val="70E94540"/>
    <w:rsid w:val="711B7F18"/>
    <w:rsid w:val="71EB22B3"/>
    <w:rsid w:val="72010FA6"/>
    <w:rsid w:val="733F48EB"/>
    <w:rsid w:val="734B3290"/>
    <w:rsid w:val="74212849"/>
    <w:rsid w:val="744C1D4E"/>
    <w:rsid w:val="748A4F72"/>
    <w:rsid w:val="74961819"/>
    <w:rsid w:val="750202C6"/>
    <w:rsid w:val="75664078"/>
    <w:rsid w:val="761E4132"/>
    <w:rsid w:val="78061A79"/>
    <w:rsid w:val="79050385"/>
    <w:rsid w:val="79181486"/>
    <w:rsid w:val="7936573A"/>
    <w:rsid w:val="7A81642D"/>
    <w:rsid w:val="7AFE508C"/>
    <w:rsid w:val="7B2561EC"/>
    <w:rsid w:val="7B62386D"/>
    <w:rsid w:val="7BAB6FC2"/>
    <w:rsid w:val="7BC003CA"/>
    <w:rsid w:val="7C6D071B"/>
    <w:rsid w:val="7CBF4BB4"/>
    <w:rsid w:val="7D7D498E"/>
    <w:rsid w:val="7DE762AB"/>
    <w:rsid w:val="7E53749D"/>
    <w:rsid w:val="7E5D346D"/>
    <w:rsid w:val="7FD10FC1"/>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9">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5">
    <w:name w:val="table of authorities"/>
    <w:basedOn w:val="1"/>
    <w:next w:val="1"/>
    <w:qFormat/>
    <w:uiPriority w:val="99"/>
    <w:pPr>
      <w:ind w:firstLine="640" w:firstLineChars="200"/>
    </w:pPr>
  </w:style>
  <w:style w:type="paragraph" w:styleId="6">
    <w:name w:val="Normal Indent"/>
    <w:basedOn w:val="1"/>
    <w:next w:val="7"/>
    <w:qFormat/>
    <w:uiPriority w:val="0"/>
    <w:pPr>
      <w:ind w:firstLine="420"/>
    </w:pPr>
    <w:rPr>
      <w:sz w:val="21"/>
    </w:rPr>
  </w:style>
  <w:style w:type="paragraph" w:styleId="7">
    <w:name w:val="toc 4"/>
    <w:basedOn w:val="1"/>
    <w:next w:val="1"/>
    <w:qFormat/>
    <w:uiPriority w:val="0"/>
    <w:pPr>
      <w:ind w:left="1260" w:leftChars="600"/>
    </w:pPr>
  </w:style>
  <w:style w:type="paragraph" w:styleId="8">
    <w:name w:val="annotation text"/>
    <w:basedOn w:val="1"/>
    <w:unhideWhenUsed/>
    <w:qFormat/>
    <w:uiPriority w:val="99"/>
    <w:pPr>
      <w:jc w:val="left"/>
    </w:pPr>
  </w:style>
  <w:style w:type="paragraph" w:styleId="9">
    <w:name w:val="Body Text"/>
    <w:basedOn w:val="1"/>
    <w:qFormat/>
    <w:uiPriority w:val="0"/>
    <w:pPr>
      <w:spacing w:before="240" w:after="240" w:line="360" w:lineRule="auto"/>
      <w:jc w:val="center"/>
    </w:pPr>
    <w:rPr>
      <w:b/>
      <w:sz w:val="44"/>
    </w:rPr>
  </w:style>
  <w:style w:type="paragraph" w:styleId="10">
    <w:name w:val="footer"/>
    <w:basedOn w:val="1"/>
    <w:link w:val="23"/>
    <w:unhideWhenUsed/>
    <w:qFormat/>
    <w:uiPriority w:val="99"/>
    <w:pPr>
      <w:tabs>
        <w:tab w:val="center" w:pos="4153"/>
        <w:tab w:val="right" w:pos="8306"/>
      </w:tabs>
      <w:snapToGrid w:val="0"/>
      <w:jc w:val="left"/>
    </w:pPr>
    <w:rPr>
      <w:sz w:val="18"/>
      <w:szCs w:val="18"/>
    </w:rPr>
  </w:style>
  <w:style w:type="paragraph" w:styleId="11">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next w:val="13"/>
    <w:qFormat/>
    <w:uiPriority w:val="0"/>
    <w:pPr>
      <w:snapToGrid w:val="0"/>
      <w:jc w:val="left"/>
    </w:pPr>
    <w:rPr>
      <w:rFonts w:hint="eastAsia"/>
      <w:sz w:val="18"/>
    </w:rPr>
  </w:style>
  <w:style w:type="paragraph" w:customStyle="1" w:styleId="13">
    <w:name w:val="正文文本首行缩进 21"/>
    <w:basedOn w:val="14"/>
    <w:qFormat/>
    <w:uiPriority w:val="0"/>
    <w:pPr>
      <w:ind w:firstLine="420" w:firstLineChars="200"/>
    </w:pPr>
  </w:style>
  <w:style w:type="paragraph" w:customStyle="1" w:styleId="14">
    <w:name w:val="正文文本缩进1"/>
    <w:basedOn w:val="1"/>
    <w:next w:val="15"/>
    <w:qFormat/>
    <w:uiPriority w:val="0"/>
    <w:pPr>
      <w:spacing w:line="574" w:lineRule="exact"/>
      <w:ind w:left="400" w:hanging="400" w:hangingChars="400"/>
    </w:pPr>
    <w:rPr>
      <w:rFonts w:eastAsia="仿宋_GB2312"/>
      <w:sz w:val="32"/>
      <w:szCs w:val="32"/>
    </w:rPr>
  </w:style>
  <w:style w:type="paragraph" w:customStyle="1" w:styleId="15">
    <w:name w:val="正文缩进1"/>
    <w:basedOn w:val="1"/>
    <w:qFormat/>
    <w:uiPriority w:val="0"/>
    <w:pPr>
      <w:ind w:firstLine="420"/>
    </w:pPr>
    <w:rPr>
      <w:sz w:val="32"/>
    </w:rPr>
  </w:style>
  <w:style w:type="paragraph" w:styleId="16">
    <w:name w:val="Normal (Web)"/>
    <w:basedOn w:val="1"/>
    <w:qFormat/>
    <w:uiPriority w:val="99"/>
    <w:pPr>
      <w:spacing w:before="100" w:beforeAutospacing="1" w:after="100" w:afterAutospacing="1"/>
      <w:jc w:val="left"/>
    </w:pPr>
    <w:rPr>
      <w:sz w:val="24"/>
      <w:lang w:bidi="ar"/>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b/>
      <w:bCs/>
    </w:rPr>
  </w:style>
  <w:style w:type="character" w:styleId="21">
    <w:name w:val="Hyperlink"/>
    <w:basedOn w:val="19"/>
    <w:qFormat/>
    <w:uiPriority w:val="0"/>
    <w:rPr>
      <w:color w:val="5B677D"/>
      <w:u w:val="none"/>
    </w:rPr>
  </w:style>
  <w:style w:type="paragraph" w:customStyle="1" w:styleId="22">
    <w:name w:val="List Paragraph"/>
    <w:basedOn w:val="1"/>
    <w:unhideWhenUsed/>
    <w:qFormat/>
    <w:uiPriority w:val="99"/>
    <w:pPr>
      <w:ind w:firstLine="420" w:firstLineChars="200"/>
    </w:pPr>
  </w:style>
  <w:style w:type="character" w:customStyle="1" w:styleId="23">
    <w:name w:val="页脚 字符"/>
    <w:basedOn w:val="19"/>
    <w:link w:val="10"/>
    <w:qFormat/>
    <w:uiPriority w:val="99"/>
    <w:rPr>
      <w:sz w:val="18"/>
      <w:szCs w:val="18"/>
    </w:rPr>
  </w:style>
  <w:style w:type="character" w:customStyle="1" w:styleId="24">
    <w:name w:val="页眉 字符"/>
    <w:basedOn w:val="19"/>
    <w:link w:val="11"/>
    <w:qFormat/>
    <w:uiPriority w:val="99"/>
    <w:rPr>
      <w:sz w:val="18"/>
      <w:szCs w:val="18"/>
    </w:rPr>
  </w:style>
  <w:style w:type="paragraph" w:customStyle="1" w:styleId="25">
    <w:name w:val="WPSOffice手动目录 1"/>
    <w:qFormat/>
    <w:uiPriority w:val="0"/>
    <w:pPr>
      <w:ind w:leftChars="0"/>
    </w:pPr>
    <w:rPr>
      <w:rFonts w:asciiTheme="minorHAnsi" w:hAnsiTheme="minorHAnsi" w:eastAsiaTheme="minorEastAsia" w:cstheme="minorBidi"/>
      <w:sz w:val="20"/>
      <w:szCs w:val="20"/>
    </w:rPr>
  </w:style>
  <w:style w:type="paragraph" w:customStyle="1" w:styleId="26">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7</Pages>
  <Words>3182</Words>
  <Characters>3355</Characters>
  <Lines>7</Lines>
  <Paragraphs>2</Paragraphs>
  <TotalTime>10</TotalTime>
  <ScaleCrop>false</ScaleCrop>
  <LinksUpToDate>false</LinksUpToDate>
  <CharactersWithSpaces>3365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2024-11-21T03:00:57Z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