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4C26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0BC6EED1">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C443D10">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AF82195">
      <w:pPr>
        <w:pStyle w:val="5"/>
        <w:bidi w:val="0"/>
        <w:rPr>
          <w:rFonts w:hint="eastAsia"/>
          <w:color w:val="auto"/>
          <w:highlight w:val="none"/>
          <w:lang w:val="en-US" w:eastAsia="zh-CN"/>
        </w:rPr>
      </w:pPr>
      <w:r>
        <w:rPr>
          <w:rFonts w:hint="eastAsia"/>
          <w:color w:val="auto"/>
          <w:highlight w:val="none"/>
          <w:lang w:val="en-US" w:eastAsia="zh-CN"/>
        </w:rPr>
        <w:t>1.部门主要职能</w:t>
      </w:r>
    </w:p>
    <w:p w14:paraId="231AA017">
      <w:pPr>
        <w:bidi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中共和静县委员会机构编制委员会办公室为正科级单位，主要职责是：</w:t>
      </w:r>
      <w:r>
        <w:rPr>
          <w:rFonts w:hint="eastAsia" w:ascii="仿宋" w:hAnsi="仿宋" w:eastAsia="仿宋" w:cs="仿宋"/>
          <w:b w:val="0"/>
          <w:bCs w:val="0"/>
          <w:color w:val="auto"/>
          <w:sz w:val="28"/>
          <w:szCs w:val="28"/>
          <w:highlight w:val="none"/>
        </w:rPr>
        <w:cr/>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（1）贯彻执行中央和自治区、自治州党委关于行政管理体制改革、机构改革和机构编制管理的政策、法规、规章和制度。</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（2）负责全县各级党政机关、人大、政协、法院、检察院机关，各民主党派、人民团体机关及事业单位的机构编制工作。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（3）拟订全县行政管理体制与机构改革的总体方案，并组织实施。审核县党政机关、人大、政协、法院、检察院机关，各民主党派、人民团体机关的机构改革方案；审核乡镇机构改革方案。</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（4）承担县党政机关各部门职能配置和调整工作的责任；组织拟订县级机关以及县与乡镇有关事权划分和职责分工的意见。</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（5）承担县级党政机关机构设置和人员编制、领导职数；负责乡镇机构编制分类和人员编制工作。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（6）审核全县行政事业编制总额分配和调整方案；审核公务员招录（聘）编制使用计划；审核事业单位招录（聘）编制使用计划。</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7）组织拟订全县事业单位分类改革方案；审核县级机关直属事业单位的机构编制；审批县级各部门所属事业单位的编制；负责事业机构编制管理方面的其他重要事项；管理乡镇事业单位分类改革工作；对和静县各类事业单位的机构编制标准提出建议。</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（8）贯彻执行《事业单位登记管理暂行条例》及《实施细则》；监督管理全县各类事业单位登记管理工作；负责加强中文域名管理工作；负责全县党政群机关统一社会信用代码赋码工作。</w:t>
      </w:r>
    </w:p>
    <w:p w14:paraId="7ECEAC74">
      <w:pPr>
        <w:bidi w:val="0"/>
        <w:ind w:left="0" w:leftChars="0" w:firstLine="280" w:firstLineChars="100"/>
        <w:rPr>
          <w:rFonts w:hint="default"/>
          <w:color w:val="auto"/>
          <w:highlight w:val="none"/>
          <w:lang w:val="en-US" w:eastAsia="zh-CN"/>
        </w:rPr>
      </w:pPr>
      <w:r>
        <w:rPr>
          <w:rFonts w:hint="eastAsia" w:ascii="仿宋" w:hAnsi="仿宋" w:eastAsia="仿宋" w:cs="仿宋"/>
          <w:b w:val="0"/>
          <w:bCs w:val="0"/>
          <w:color w:val="auto"/>
          <w:sz w:val="28"/>
          <w:szCs w:val="28"/>
          <w:highlight w:val="none"/>
        </w:rPr>
        <w:t>（9）监督管理全县行政管理体制改革、机构改革以及机构编制的执行情况，报告县委机构编制委员会并上报县委。</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（10）承担行政管理体制改革、机构改革、机构编制管理的理论研究和信息收集工作；承担全县机构编制的统计汇总、上报责任。</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（11）组织、监督县直机关及事业单位《机构编制管理证》制度的实施工作；指导</w:t>
      </w:r>
      <w:r>
        <w:rPr>
          <w:rFonts w:hint="eastAsia" w:ascii="仿宋" w:hAnsi="仿宋" w:cs="仿宋"/>
          <w:b w:val="0"/>
          <w:bCs w:val="0"/>
          <w:color w:val="auto"/>
          <w:sz w:val="28"/>
          <w:szCs w:val="28"/>
          <w:highlight w:val="none"/>
          <w:lang w:eastAsia="zh-CN"/>
        </w:rPr>
        <w:t>检察机关</w:t>
      </w:r>
      <w:r>
        <w:rPr>
          <w:rFonts w:hint="eastAsia" w:ascii="仿宋" w:hAnsi="仿宋" w:eastAsia="仿宋" w:cs="仿宋"/>
          <w:b w:val="0"/>
          <w:bCs w:val="0"/>
          <w:color w:val="auto"/>
          <w:sz w:val="28"/>
          <w:szCs w:val="28"/>
          <w:highlight w:val="none"/>
        </w:rPr>
        <w:t>、事业单位《机构编制管理证》管理工作。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（12）承担本部门党的建设、党风廉政建设和反腐败、精神文明、综合治理、民族团结、安全生产、扶贫等工作。</w:t>
      </w:r>
      <w:r>
        <w:rPr>
          <w:rFonts w:hint="eastAsia" w:ascii="仿宋" w:hAnsi="仿宋" w:eastAsia="仿宋" w:cs="仿宋"/>
          <w:b w:val="0"/>
          <w:bCs w:val="0"/>
          <w:color w:val="auto"/>
          <w:sz w:val="28"/>
          <w:szCs w:val="28"/>
          <w:highlight w:val="none"/>
        </w:rPr>
        <w:br w:type="textWrapping"/>
      </w:r>
      <w:r>
        <w:rPr>
          <w:rFonts w:hint="eastAsia" w:ascii="仿宋" w:hAnsi="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（13）完成和静县党委、和静县党委机构编制委员会交办的其他任务。</w:t>
      </w:r>
    </w:p>
    <w:p w14:paraId="0E133C77">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375036C7">
      <w:pPr>
        <w:bidi w:val="0"/>
        <w:rPr>
          <w:rFonts w:hint="eastAsia"/>
          <w:color w:val="auto"/>
          <w:highlight w:val="none"/>
          <w:lang w:val="en-US" w:eastAsia="zh-CN"/>
        </w:rPr>
      </w:pPr>
      <w:r>
        <w:rPr>
          <w:rFonts w:hint="eastAsia" w:ascii="仿宋" w:hAnsi="仿宋" w:eastAsia="仿宋" w:cs="仿宋"/>
          <w:b w:val="0"/>
          <w:bCs w:val="0"/>
          <w:color w:val="auto"/>
          <w:sz w:val="28"/>
          <w:szCs w:val="28"/>
          <w:highlight w:val="none"/>
        </w:rPr>
        <w:t>中共和静县委员会机构编制委员会办公室</w:t>
      </w:r>
      <w:r>
        <w:rPr>
          <w:rFonts w:hint="eastAsia"/>
          <w:color w:val="auto"/>
          <w:highlight w:val="none"/>
          <w:lang w:val="en-US" w:eastAsia="zh-CN"/>
        </w:rPr>
        <w:t>机构设置：有下属预算单位，内设2个科室，分别是：</w:t>
      </w:r>
      <w:r>
        <w:rPr>
          <w:rFonts w:hint="eastAsia" w:ascii="仿宋" w:hAnsi="仿宋" w:eastAsia="仿宋" w:cs="仿宋"/>
          <w:b w:val="0"/>
          <w:bCs w:val="0"/>
          <w:color w:val="auto"/>
          <w:sz w:val="28"/>
          <w:szCs w:val="28"/>
          <w:highlight w:val="none"/>
        </w:rPr>
        <w:t>事业单位登记管理局</w:t>
      </w:r>
      <w:r>
        <w:rPr>
          <w:rFonts w:hint="eastAsia" w:ascii="仿宋" w:hAnsi="仿宋" w:cs="仿宋"/>
          <w:b w:val="0"/>
          <w:bCs w:val="0"/>
          <w:color w:val="auto"/>
          <w:sz w:val="28"/>
          <w:szCs w:val="28"/>
          <w:highlight w:val="none"/>
          <w:lang w:eastAsia="zh-CN"/>
        </w:rPr>
        <w:t>、</w:t>
      </w:r>
      <w:r>
        <w:rPr>
          <w:rFonts w:hint="eastAsia" w:ascii="仿宋" w:hAnsi="仿宋" w:cs="仿宋"/>
          <w:b w:val="0"/>
          <w:bCs w:val="0"/>
          <w:color w:val="auto"/>
          <w:sz w:val="28"/>
          <w:szCs w:val="28"/>
          <w:highlight w:val="none"/>
          <w:lang w:val="en-US" w:eastAsia="zh-CN"/>
        </w:rPr>
        <w:t>和静</w:t>
      </w:r>
      <w:r>
        <w:rPr>
          <w:rFonts w:hint="eastAsia" w:ascii="仿宋" w:hAnsi="仿宋" w:eastAsia="仿宋" w:cs="仿宋"/>
          <w:b w:val="0"/>
          <w:bCs w:val="0"/>
          <w:color w:val="auto"/>
          <w:sz w:val="28"/>
          <w:szCs w:val="28"/>
          <w:highlight w:val="none"/>
        </w:rPr>
        <w:t>县委编办电子政务中心</w:t>
      </w:r>
      <w:r>
        <w:rPr>
          <w:rFonts w:hint="eastAsia"/>
          <w:color w:val="auto"/>
          <w:highlight w:val="none"/>
          <w:lang w:val="en-US" w:eastAsia="zh-CN"/>
        </w:rPr>
        <w:t>。</w:t>
      </w:r>
      <w:r>
        <w:rPr>
          <w:rFonts w:hint="eastAsia" w:ascii="仿宋" w:hAnsi="仿宋" w:eastAsia="仿宋" w:cs="仿宋"/>
          <w:b w:val="0"/>
          <w:bCs w:val="0"/>
          <w:color w:val="auto"/>
          <w:sz w:val="28"/>
          <w:szCs w:val="28"/>
          <w:highlight w:val="none"/>
        </w:rPr>
        <w:t>中共和静县委员会机构编制委员会办公室</w:t>
      </w:r>
      <w:r>
        <w:rPr>
          <w:rFonts w:hint="eastAsia"/>
          <w:color w:val="auto"/>
          <w:highlight w:val="none"/>
          <w:lang w:val="en-US" w:eastAsia="zh-CN"/>
        </w:rPr>
        <w:t>单位人员总数9名，其中：在职7名，退休2名，离休0名。实有人员9人。</w:t>
      </w:r>
    </w:p>
    <w:p w14:paraId="1E3BD61F">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67B87791">
      <w:pPr>
        <w:bidi w:val="0"/>
        <w:rPr>
          <w:rFonts w:hint="eastAsia"/>
          <w:color w:val="auto"/>
          <w:highlight w:val="none"/>
          <w:lang w:val="en-US" w:eastAsia="zh-CN"/>
        </w:rPr>
      </w:pPr>
      <w:r>
        <w:rPr>
          <w:rFonts w:hint="eastAsia"/>
          <w:color w:val="auto"/>
          <w:highlight w:val="none"/>
          <w:lang w:val="en-US" w:eastAsia="zh-CN"/>
        </w:rPr>
        <w:t>2023年，和静县委编办在县委、县人民政府的坚强领导下，在上级业务主管部门的精心指导下，以党的二十大精神为引领，认真贯彻落实党中央、自治区、自治州、县委关于机构编制工作新部署、新要求，对标“组织口”标准、培育“组织口”作风，以改革促发展，以发展求实效，攻坚克难、破局开篇，推动各项工作取得新进展、新成效。</w:t>
      </w:r>
    </w:p>
    <w:p w14:paraId="7155D5BD">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0D6561A">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B22774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9273A3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我单位年初预算数为114.25万元，实际预算执行数114.25万元，预算执行率为100%。</w:t>
      </w:r>
    </w:p>
    <w:p w14:paraId="4734FC0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649E9AE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全年预算数为130.92万元，全年实际支出资金130.92万元，预算执行率为100%。</w:t>
      </w:r>
    </w:p>
    <w:p w14:paraId="3BF2AC04">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274A7F84">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114.25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16.67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130.92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14.5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14.5</w:t>
      </w:r>
      <w:r>
        <w:rPr>
          <w:rFonts w:hint="eastAsia" w:ascii="Times New Roman" w:hAnsi="Times New Roman" w:cs="Times New Roman"/>
          <w:bCs/>
          <w:color w:val="auto"/>
          <w:highlight w:val="none"/>
          <w:lang w:eastAsia="zh-CN"/>
        </w:rPr>
        <w:t>%）。</w:t>
      </w:r>
    </w:p>
    <w:p w14:paraId="361A306E">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31F707B5">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130.92</w:t>
      </w:r>
      <w:r>
        <w:rPr>
          <w:rFonts w:hint="default"/>
          <w:color w:val="auto"/>
          <w:highlight w:val="none"/>
          <w:lang w:val="en-US" w:eastAsia="zh-CN"/>
        </w:rPr>
        <w:t>万元，其中：</w:t>
      </w:r>
    </w:p>
    <w:p w14:paraId="592BECBF">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130.92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125.29</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5.63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260C1AD9">
      <w:pPr>
        <w:bidi w:val="0"/>
        <w:rPr>
          <w:rFonts w:hint="default"/>
          <w:color w:val="auto"/>
          <w:highlight w:val="none"/>
          <w:lang w:val="en-US" w:eastAsia="zh-CN"/>
        </w:rPr>
      </w:pPr>
      <w:r>
        <w:rPr>
          <w:rFonts w:hint="eastAsia"/>
          <w:color w:val="auto"/>
          <w:highlight w:val="none"/>
          <w:lang w:val="en-US" w:eastAsia="zh-CN"/>
        </w:rPr>
        <w:t>全年未安排项目支出</w:t>
      </w:r>
      <w:r>
        <w:rPr>
          <w:rFonts w:hint="default"/>
          <w:color w:val="auto"/>
          <w:highlight w:val="none"/>
          <w:lang w:val="en-US" w:eastAsia="zh-CN"/>
        </w:rPr>
        <w:t>。</w:t>
      </w:r>
    </w:p>
    <w:p w14:paraId="0C4813CF">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FD10FE2">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8BFB91A">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130.92万元，全年实际支出130.92万元，资金执行率100%。基本支出严格按照财务管理制度执行，其中：</w:t>
      </w:r>
    </w:p>
    <w:p w14:paraId="16A26C6D">
      <w:pPr>
        <w:bidi w:val="0"/>
        <w:rPr>
          <w:rFonts w:hint="eastAsia"/>
          <w:color w:val="auto"/>
          <w:highlight w:val="none"/>
          <w:lang w:val="en-US" w:eastAsia="zh-CN"/>
        </w:rPr>
      </w:pPr>
      <w:r>
        <w:rPr>
          <w:rFonts w:hint="eastAsia"/>
          <w:color w:val="auto"/>
          <w:highlight w:val="none"/>
          <w:lang w:val="en-US" w:eastAsia="zh-CN"/>
        </w:rPr>
        <w:t>人员经费支出125.29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3E8AC31C">
      <w:pPr>
        <w:bidi w:val="0"/>
        <w:rPr>
          <w:rFonts w:hint="eastAsia"/>
          <w:color w:val="auto"/>
          <w:highlight w:val="none"/>
          <w:lang w:val="en-US" w:eastAsia="zh-CN"/>
        </w:rPr>
      </w:pPr>
      <w:r>
        <w:rPr>
          <w:rFonts w:hint="eastAsia"/>
          <w:color w:val="auto"/>
          <w:highlight w:val="none"/>
          <w:lang w:val="en-US" w:eastAsia="zh-CN"/>
        </w:rPr>
        <w:t>公用经费支出5.63万元，主要包括：办公费、印刷费、水费、电费、邮电费、取暖费、物业管理费、差旅费、培训费、公务接待费、工会经费、福利费、公务用车运行维护费、其他交通费用、其他商品和服务支出。</w:t>
      </w:r>
    </w:p>
    <w:p w14:paraId="34BCF6CA">
      <w:pPr>
        <w:pStyle w:val="3"/>
        <w:bidi w:val="0"/>
        <w:rPr>
          <w:rFonts w:hint="eastAsia"/>
          <w:color w:val="auto"/>
          <w:highlight w:val="none"/>
          <w:lang w:val="en-US" w:eastAsia="zh-CN"/>
        </w:rPr>
      </w:pPr>
      <w:bookmarkStart w:id="2" w:name="_Toc13582_WPSOffice_Level1"/>
      <w:r>
        <w:rPr>
          <w:rFonts w:hint="eastAsia"/>
          <w:color w:val="auto"/>
          <w:highlight w:val="none"/>
          <w:lang w:val="en-US" w:eastAsia="zh-CN"/>
        </w:rPr>
        <w:t>（二）政策、项目支出和使用情况</w:t>
      </w:r>
    </w:p>
    <w:p w14:paraId="547FB5C2">
      <w:pPr>
        <w:bidi w:val="0"/>
        <w:rPr>
          <w:rFonts w:hint="eastAsia"/>
          <w:color w:val="auto"/>
          <w:highlight w:val="none"/>
          <w:lang w:val="en-US" w:eastAsia="zh-CN"/>
        </w:rPr>
      </w:pPr>
      <w:r>
        <w:rPr>
          <w:rFonts w:hint="eastAsia"/>
          <w:color w:val="auto"/>
          <w:highlight w:val="none"/>
          <w:lang w:val="en-US" w:eastAsia="zh-CN"/>
        </w:rPr>
        <w:t>我单位2023年度没有安排具体的项目支出，各职能部门按期完成了党中央、自治区、自治州、县委关于机构编制工作新部署、新要求，对标“组织口”标准、培育“组织口”作风，以改革促发展，以发展求实效，攻坚克难、破局开篇，推动各项工作取得新进展、新成效和</w:t>
      </w:r>
      <w:bookmarkStart w:id="5" w:name="_GoBack"/>
      <w:bookmarkEnd w:id="5"/>
      <w:r>
        <w:rPr>
          <w:rFonts w:hint="eastAsia"/>
          <w:color w:val="auto"/>
          <w:highlight w:val="none"/>
          <w:lang w:val="en-US" w:eastAsia="zh-CN"/>
        </w:rPr>
        <w:t>重点工作。</w:t>
      </w:r>
    </w:p>
    <w:p w14:paraId="19E6CA3D">
      <w:pPr>
        <w:pStyle w:val="3"/>
        <w:bidi w:val="0"/>
        <w:rPr>
          <w:rFonts w:hint="eastAsia" w:eastAsia="黑体"/>
          <w:color w:val="auto"/>
          <w:highlight w:val="none"/>
          <w:lang w:val="en-US" w:eastAsia="zh-CN"/>
        </w:rPr>
      </w:pPr>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439FAB08">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3</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592F44A">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一）公共预算基本支出预算执行率</w:t>
      </w:r>
      <w:r>
        <w:rPr>
          <w:rFonts w:hint="eastAsia"/>
          <w:color w:val="auto"/>
          <w:highlight w:val="none"/>
        </w:rPr>
        <w:t>指标完成情况分析</w:t>
      </w:r>
    </w:p>
    <w:p w14:paraId="500FDC7E">
      <w:pPr>
        <w:bidi w:val="0"/>
        <w:rPr>
          <w:rFonts w:hint="eastAsia"/>
          <w:color w:val="auto"/>
          <w:highlight w:val="none"/>
          <w:lang w:val="en-US" w:eastAsia="zh-CN"/>
        </w:rPr>
      </w:pPr>
      <w:r>
        <w:rPr>
          <w:rFonts w:hint="eastAsia"/>
          <w:color w:val="auto"/>
          <w:highlight w:val="none"/>
          <w:lang w:val="en-US" w:eastAsia="zh-CN"/>
        </w:rPr>
        <w:t>公共预算基本支出预算执行率指标年初设定目标是&gt;=90%，年中绩效运行监控时完成值57.25%，年终实际完成值是100%，指标完成率是100%，满足了单位基本需求，提供了基础服务，保障单位各项工作正常运转。偏差原因：无偏差。</w:t>
      </w:r>
    </w:p>
    <w:p w14:paraId="5694B617">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0501407A">
      <w:pPr>
        <w:bidi w:val="0"/>
        <w:rPr>
          <w:rFonts w:hint="eastAsia"/>
          <w:color w:val="auto"/>
          <w:highlight w:val="none"/>
          <w:lang w:val="en-US" w:eastAsia="zh-CN"/>
        </w:rPr>
      </w:pPr>
      <w:r>
        <w:rPr>
          <w:rFonts w:hint="eastAsia"/>
          <w:color w:val="auto"/>
          <w:highlight w:val="none"/>
          <w:lang w:val="en-US" w:eastAsia="zh-CN"/>
        </w:rPr>
        <w:t>“三公经费”控制率指标年初设定目标是&gt;=90%，年中绩效运行监控时完成值100%，年终实际完成值是100%，指标完成率是100%，严格按照“三公经费”预算执行，杜绝超标准、超范围、超限额支出，提高经费使用效率，确保经费用在刀刃上，不浪费。偏差原因：无偏差。</w:t>
      </w:r>
    </w:p>
    <w:p w14:paraId="7C9E14C8">
      <w:pPr>
        <w:pStyle w:val="4"/>
        <w:bidi w:val="0"/>
        <w:rPr>
          <w:rFonts w:hint="eastAsia"/>
          <w:color w:val="auto"/>
          <w:highlight w:val="none"/>
          <w:lang w:val="en-US" w:eastAsia="zh-CN"/>
        </w:rPr>
      </w:pPr>
      <w:r>
        <w:rPr>
          <w:rFonts w:hint="eastAsia"/>
          <w:color w:val="auto"/>
          <w:highlight w:val="none"/>
          <w:lang w:val="en-US" w:eastAsia="zh-CN"/>
        </w:rPr>
        <w:t>（三）机构编制法规制度等业务培训次数指标完成情况分析</w:t>
      </w:r>
    </w:p>
    <w:p w14:paraId="779A47E1">
      <w:pPr>
        <w:bidi w:val="0"/>
        <w:rPr>
          <w:rFonts w:hint="eastAsia"/>
          <w:color w:val="auto"/>
          <w:highlight w:val="none"/>
          <w:lang w:eastAsia="zh-CN"/>
        </w:rPr>
      </w:pPr>
      <w:r>
        <w:rPr>
          <w:rFonts w:hint="eastAsia"/>
          <w:color w:val="auto"/>
          <w:highlight w:val="none"/>
          <w:lang w:val="en-US" w:eastAsia="zh-CN"/>
        </w:rPr>
        <w:t>机构编制法规制度等业务培训次数指标年初设定目标是&gt;=4次，年中绩效运行监控时完成值2次，年终实际完成值是4次，指标完成率是100%，开展党员干部机构编制政策法规测试，确保机构编制工作方向不偏。偏差原因：无偏差。</w:t>
      </w:r>
    </w:p>
    <w:p w14:paraId="3CA933D2">
      <w:pPr>
        <w:pStyle w:val="4"/>
        <w:bidi w:val="0"/>
        <w:rPr>
          <w:rFonts w:hint="eastAsia"/>
          <w:color w:val="auto"/>
          <w:highlight w:val="none"/>
          <w:lang w:val="en-US" w:eastAsia="zh-CN"/>
        </w:rPr>
      </w:pPr>
      <w:r>
        <w:rPr>
          <w:rFonts w:hint="eastAsia"/>
          <w:color w:val="auto"/>
          <w:highlight w:val="none"/>
          <w:lang w:val="en-US" w:eastAsia="zh-CN"/>
        </w:rPr>
        <w:t>（四）全县机构编制监督检查抽查率指标完成情况分析</w:t>
      </w:r>
    </w:p>
    <w:p w14:paraId="1C3EA4BC">
      <w:pPr>
        <w:bidi w:val="0"/>
        <w:rPr>
          <w:rFonts w:hint="eastAsia"/>
          <w:color w:val="auto"/>
          <w:highlight w:val="none"/>
          <w:lang w:eastAsia="zh-CN"/>
        </w:rPr>
      </w:pPr>
      <w:r>
        <w:rPr>
          <w:rFonts w:hint="eastAsia"/>
          <w:color w:val="auto"/>
          <w:highlight w:val="none"/>
          <w:lang w:val="en-US" w:eastAsia="zh-CN"/>
        </w:rPr>
        <w:t>全县机构编制监督检查抽查率指标年初设定目标是&gt;=20%，年中绩效运行监控时完成值12%，年终实际完成值是20%，指标完成率是100%，为机构改革前期准备工作打下良好的基础。偏差原因：无偏差。</w:t>
      </w:r>
    </w:p>
    <w:p w14:paraId="4FFB9875">
      <w:pPr>
        <w:pStyle w:val="4"/>
        <w:bidi w:val="0"/>
        <w:rPr>
          <w:rFonts w:hint="eastAsia"/>
          <w:color w:val="auto"/>
          <w:highlight w:val="none"/>
          <w:lang w:val="en-US" w:eastAsia="zh-CN"/>
        </w:rPr>
      </w:pPr>
      <w:r>
        <w:rPr>
          <w:rFonts w:hint="eastAsia"/>
          <w:color w:val="auto"/>
          <w:highlight w:val="none"/>
          <w:lang w:val="en-US" w:eastAsia="zh-CN"/>
        </w:rPr>
        <w:t>（五）事业单位法人年度报告公示工作按期完成率指标完成情况分析</w:t>
      </w:r>
    </w:p>
    <w:p w14:paraId="2DD6417F">
      <w:pPr>
        <w:bidi w:val="0"/>
        <w:rPr>
          <w:rFonts w:hint="eastAsia"/>
          <w:color w:val="auto"/>
          <w:highlight w:val="none"/>
          <w:lang w:eastAsia="zh-CN"/>
        </w:rPr>
      </w:pPr>
      <w:r>
        <w:rPr>
          <w:rFonts w:hint="eastAsia"/>
          <w:color w:val="auto"/>
          <w:highlight w:val="none"/>
          <w:lang w:val="en-US" w:eastAsia="zh-CN"/>
        </w:rPr>
        <w:t>事业单位法人年度报告公示工作按期完成率指标年初设定目标是&gt;=90%，年中绩效运行监控时完成值100%，年终实际完成值是100%，指标完成率是100%，严格按照事业单位法人登记受理、审核、核准、发证等程序予以办理，规范法人登记工作。偏差原因：无偏差。</w:t>
      </w:r>
    </w:p>
    <w:p w14:paraId="0239F504">
      <w:pPr>
        <w:pStyle w:val="4"/>
        <w:bidi w:val="0"/>
        <w:rPr>
          <w:rFonts w:hint="eastAsia"/>
          <w:color w:val="auto"/>
          <w:highlight w:val="none"/>
          <w:lang w:val="en-US" w:eastAsia="zh-CN"/>
        </w:rPr>
      </w:pPr>
      <w:r>
        <w:rPr>
          <w:rFonts w:hint="eastAsia"/>
          <w:color w:val="auto"/>
          <w:highlight w:val="none"/>
          <w:lang w:val="en-US" w:eastAsia="zh-CN"/>
        </w:rPr>
        <w:t>（六）全县编制内干部发挥岗位作用精准率指标完成情况分析</w:t>
      </w:r>
    </w:p>
    <w:p w14:paraId="1D5F1A6E">
      <w:pPr>
        <w:bidi w:val="0"/>
        <w:rPr>
          <w:rFonts w:hint="eastAsia"/>
          <w:color w:val="auto"/>
          <w:highlight w:val="none"/>
          <w:lang w:eastAsia="zh-CN"/>
        </w:rPr>
      </w:pPr>
      <w:r>
        <w:rPr>
          <w:rFonts w:hint="eastAsia"/>
          <w:color w:val="auto"/>
          <w:highlight w:val="none"/>
          <w:lang w:val="en-US" w:eastAsia="zh-CN"/>
        </w:rPr>
        <w:t>全县编制内干部发挥岗位作用精准率指标年初设定目标是&gt;=90%，年中绩效运行监控时完成值70%，年终实际完成值是90%，指标完成率是100%，进一步提升全县编制内干部的政治觉悟和政治能力。偏差原因：无偏差。</w:t>
      </w:r>
    </w:p>
    <w:p w14:paraId="567F5578">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61517A18">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0958B0C">
      <w:pPr>
        <w:numPr>
          <w:ilvl w:val="0"/>
          <w:numId w:val="1"/>
        </w:num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积极与组织、人社部门对接，及时上报每年招录招聘计划。坚持“空编进人”原则，提前掌握有关单位人员断层、退休等实际情况，在确保不产生新的超编前提下，为全县招录公务员24名，招聘事业编人员153名；加强人才编制保障工作，引进研究生人才12名，一定程度上解决了乡镇、基层人员不足的问题</w:t>
      </w:r>
    </w:p>
    <w:p w14:paraId="39B1FF52">
      <w:pPr>
        <w:numPr>
          <w:ilvl w:val="0"/>
          <w:numId w:val="0"/>
        </w:numPr>
        <w:bidi w:val="0"/>
        <w:ind w:firstLine="560" w:firstLineChars="200"/>
        <w:rPr>
          <w:rFonts w:hint="eastAsia" w:eastAsia="仿宋"/>
          <w:color w:val="auto"/>
          <w:highlight w:val="none"/>
          <w:lang w:eastAsia="zh-CN"/>
        </w:rPr>
      </w:pPr>
      <w:r>
        <w:rPr>
          <w:rFonts w:hint="eastAsia" w:ascii="Times New Roman" w:hAnsi="Times New Roman" w:cs="Times New Roman"/>
          <w:color w:val="auto"/>
          <w:highlight w:val="none"/>
          <w:lang w:val="en-US" w:eastAsia="zh-CN"/>
        </w:rPr>
        <w:t>2.规范管理，加强法人登记工作。注销登记事业单位2家，变更登记事业单位共计62家，对我县已登记的114家单位进行了事业单位年检，年检完成率100％</w:t>
      </w:r>
      <w:r>
        <w:rPr>
          <w:rFonts w:hint="eastAsia" w:ascii="Times New Roman" w:hAnsi="Times New Roman" w:cs="Times New Roman"/>
          <w:color w:val="auto"/>
          <w:highlight w:val="none"/>
          <w:lang w:eastAsia="zh-CN"/>
        </w:rPr>
        <w:t>。</w:t>
      </w:r>
    </w:p>
    <w:p w14:paraId="5F8271DF">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4C9429C8">
      <w:pPr>
        <w:bidi w:val="0"/>
        <w:rPr>
          <w:rFonts w:hint="eastAsia"/>
          <w:color w:val="auto"/>
          <w:highlight w:val="none"/>
          <w:lang w:val="en-US" w:eastAsia="zh-CN"/>
        </w:rPr>
      </w:pPr>
      <w:r>
        <w:rPr>
          <w:rFonts w:hint="eastAsia"/>
          <w:color w:val="auto"/>
          <w:highlight w:val="none"/>
          <w:lang w:val="en-US" w:eastAsia="zh-CN"/>
        </w:rPr>
        <w:t>1.推进机构编制法定化建设有待加强。一些部门单位对《中国共产党机构编制工作条例》及配套法规政策学习不够重视，没有站在党管机构编制、“编制就是法制”的高度去认识机构编制工作，对机构编制监督检查工作重要性的认识还不到位，对机构编制纪律相关规定认识不够清晰、理解存在偏差，对机构编制监督检查的相关要求知之不多、知之不深。究其原因，我办在宣传《中国共产党机构编制工作条例》还需进一步加大力度、创新方式，在机构编制法规政策的学习、宣传教育、重点领域改革、监督检查上下功夫，持续推进机构编制法定化，推动工作提质增效。</w:t>
      </w:r>
    </w:p>
    <w:p w14:paraId="5C10C461">
      <w:pPr>
        <w:bidi w:val="0"/>
        <w:rPr>
          <w:rFonts w:hint="eastAsia"/>
          <w:color w:val="auto"/>
          <w:highlight w:val="none"/>
          <w:lang w:val="en-US" w:eastAsia="zh-CN"/>
        </w:rPr>
      </w:pPr>
      <w:r>
        <w:rPr>
          <w:rFonts w:hint="eastAsia"/>
          <w:color w:val="auto"/>
          <w:highlight w:val="none"/>
          <w:lang w:val="en-US" w:eastAsia="zh-CN"/>
        </w:rPr>
        <w:t>2.深入调研及开展机构编制监督检查力度不够。机构编制监督检查工作按上级部署要求被动开展督查多，主动和自发开展调研及督查较少；对机构编制纪律规定执行情况关注得多，但对机构编制使用效益问题关注得少；针对机构编制重点工作开展阶段性督查多，对部门落实机构编制管理规定情况经常性督查少。在督查方式上，大多停留在听取汇报、检查台账等常规性的面上检查，对一些内在的、深层的问题没有进行重点专项督查，特别是把不易“量化”的部门履职情况纳入督查范围后，对人员工作量、饱和度等机构编制资源使用效益的评估等问题，尚未根据工作需要创新方式方法，科学地开展监督检查。</w:t>
      </w:r>
    </w:p>
    <w:p w14:paraId="4E9F225B">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14:paraId="3A53CA45">
      <w:pPr>
        <w:bidi w:val="0"/>
        <w:rPr>
          <w:rFonts w:hint="eastAsia"/>
          <w:color w:val="auto"/>
          <w:highlight w:val="none"/>
          <w:lang w:val="en-US" w:eastAsia="zh-CN"/>
        </w:rPr>
      </w:pPr>
      <w:r>
        <w:rPr>
          <w:rFonts w:hint="eastAsia"/>
          <w:color w:val="auto"/>
          <w:highlight w:val="none"/>
          <w:lang w:val="en-US" w:eastAsia="zh-CN"/>
        </w:rPr>
        <w:t>1.持续加大宣传机构编制政策法规力度。进一步加大对《中国共产党机构编制工作条例》及配套法规政策制度的宣传力度，认真宣传贯彻机构改革相关政策，更好地指导机构编制部门开展各项改革工作。坚持编委成员带头学，编办人员深入学，党政领导重点学，关键少数专题学。将《条例》相关内容纳入党政领导干部培训学习内容，通过举办研讨班、培训班等形式，加大宣传学习力度，提高各级领导班子做好机构编制工作的能力水平。</w:t>
      </w:r>
    </w:p>
    <w:p w14:paraId="68DE53B6">
      <w:pPr>
        <w:bidi w:val="0"/>
        <w:rPr>
          <w:rFonts w:hint="default"/>
          <w:color w:val="auto"/>
          <w:highlight w:val="none"/>
          <w:lang w:val="en-US" w:eastAsia="zh-CN"/>
        </w:rPr>
      </w:pPr>
      <w:r>
        <w:rPr>
          <w:rFonts w:hint="eastAsia"/>
          <w:color w:val="auto"/>
          <w:highlight w:val="none"/>
          <w:lang w:val="en-US" w:eastAsia="zh-CN"/>
        </w:rPr>
        <w:t>2.做好机构编制执行情况和使用效益评估工作。主动对标自治州党委编办部署要求，把评估工作作为加强机构编制管理、提升资源配置效益的重要举措，按时间节点精心组织实施，高标准部署推进，落实工作方案，提前确定评估对象，研究制定出台《关于开展机构编制执行情况和使用效益评估工作的通知》并下发，强化目标导向，规范评估内容，明确方法步骤，力求通过评估试点，探索路径，总结经验，强化跟踪问效，客观评价机构编制资源投入与产出效益，完善机构编制闭环管理，推动形成机构配置合理、编制使用高效的良性机制。</w:t>
      </w:r>
    </w:p>
    <w:p w14:paraId="44A7D6B6">
      <w:pPr>
        <w:pStyle w:val="3"/>
        <w:bidi w:val="0"/>
        <w:rPr>
          <w:rFonts w:hint="default"/>
          <w:color w:val="auto"/>
          <w:highlight w:val="none"/>
          <w:lang w:val="en-US" w:eastAsia="zh-CN"/>
        </w:rPr>
      </w:pPr>
      <w:r>
        <w:rPr>
          <w:rFonts w:hint="eastAsia"/>
          <w:color w:val="auto"/>
          <w:highlight w:val="none"/>
          <w:lang w:val="en-US" w:eastAsia="zh-CN"/>
        </w:rPr>
        <w:t>七、附件上传</w:t>
      </w:r>
    </w:p>
    <w:p w14:paraId="63F235E9">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088E5">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2960BC40">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24053"/>
    <w:multiLevelType w:val="singleLevel"/>
    <w:tmpl w:val="D932405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CD36CB"/>
    <w:rsid w:val="19F83E30"/>
    <w:rsid w:val="1B403139"/>
    <w:rsid w:val="1C6D319F"/>
    <w:rsid w:val="1D384A93"/>
    <w:rsid w:val="1D4D74D6"/>
    <w:rsid w:val="1DD04F5D"/>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0FF0D34"/>
    <w:rsid w:val="313A1C72"/>
    <w:rsid w:val="31927D00"/>
    <w:rsid w:val="31AE39CE"/>
    <w:rsid w:val="31B83F5F"/>
    <w:rsid w:val="325430D3"/>
    <w:rsid w:val="328E2AB6"/>
    <w:rsid w:val="329B12EA"/>
    <w:rsid w:val="32FB1A54"/>
    <w:rsid w:val="33291F9F"/>
    <w:rsid w:val="333443C0"/>
    <w:rsid w:val="336A0FE1"/>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25C6139"/>
    <w:rsid w:val="533A7469"/>
    <w:rsid w:val="53526129"/>
    <w:rsid w:val="538B4CD8"/>
    <w:rsid w:val="53A21BCD"/>
    <w:rsid w:val="54394F3D"/>
    <w:rsid w:val="565F61A9"/>
    <w:rsid w:val="56AD4B11"/>
    <w:rsid w:val="57232FC4"/>
    <w:rsid w:val="572D2326"/>
    <w:rsid w:val="57365691"/>
    <w:rsid w:val="59EE1E48"/>
    <w:rsid w:val="5A490F5C"/>
    <w:rsid w:val="5B3820DA"/>
    <w:rsid w:val="5B805E16"/>
    <w:rsid w:val="5BD21464"/>
    <w:rsid w:val="5BDE2B83"/>
    <w:rsid w:val="5C777282"/>
    <w:rsid w:val="5E0C7560"/>
    <w:rsid w:val="5EF3368C"/>
    <w:rsid w:val="61635F72"/>
    <w:rsid w:val="618606C5"/>
    <w:rsid w:val="6224402D"/>
    <w:rsid w:val="6384067A"/>
    <w:rsid w:val="638D125E"/>
    <w:rsid w:val="6396333E"/>
    <w:rsid w:val="63E114D3"/>
    <w:rsid w:val="65AB6DC2"/>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7064FA6"/>
    <w:rsid w:val="78061A79"/>
    <w:rsid w:val="79181486"/>
    <w:rsid w:val="79E617B2"/>
    <w:rsid w:val="7AFE508C"/>
    <w:rsid w:val="7B2561EC"/>
    <w:rsid w:val="7B6853DA"/>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itle"/>
    <w:basedOn w:val="1"/>
    <w:qFormat/>
    <w:uiPriority w:val="0"/>
    <w:pPr>
      <w:spacing w:before="240" w:after="60"/>
      <w:jc w:val="center"/>
      <w:outlineLvl w:val="0"/>
    </w:pPr>
    <w:rPr>
      <w:rFonts w:ascii="Arial" w:hAnsi="Arial" w:eastAsia="宋体" w:cs="黑体"/>
      <w:b/>
      <w:sz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next w:val="10"/>
    <w:qFormat/>
    <w:uiPriority w:val="0"/>
    <w:pPr>
      <w:spacing w:before="240" w:after="240" w:line="360" w:lineRule="auto"/>
      <w:jc w:val="center"/>
    </w:pPr>
    <w:rPr>
      <w:b/>
      <w:sz w:val="44"/>
    </w:rPr>
  </w:style>
  <w:style w:type="paragraph" w:styleId="10">
    <w:name w:val="Body Text First Indent"/>
    <w:basedOn w:val="9"/>
    <w:qFormat/>
    <w:uiPriority w:val="0"/>
    <w:pPr>
      <w:spacing w:after="0"/>
      <w:ind w:left="100" w:firstLine="420" w:firstLineChars="100"/>
    </w:pPr>
    <w:rPr>
      <w:rFonts w:ascii="Calibri" w:hAnsi="Calibri"/>
      <w:bCs/>
      <w:sz w:val="32"/>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4066</Words>
  <Characters>4276</Characters>
  <Lines>7</Lines>
  <Paragraphs>2</Paragraphs>
  <TotalTime>1</TotalTime>
  <ScaleCrop>false</ScaleCrop>
  <LinksUpToDate>false</LinksUpToDate>
  <CharactersWithSpaces>4300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2024-11-21T02:56:39Z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