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202C0">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66B7CDFE">
      <w:pPr>
        <w:pStyle w:val="4"/>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67EF1059">
      <w:pPr>
        <w:pStyle w:val="5"/>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3001EFD2">
      <w:pPr>
        <w:pStyle w:val="6"/>
        <w:bidi w:val="0"/>
        <w:rPr>
          <w:rFonts w:hint="eastAsia"/>
          <w:color w:val="auto"/>
          <w:highlight w:val="none"/>
          <w:lang w:val="en-US" w:eastAsia="zh-CN"/>
        </w:rPr>
      </w:pPr>
      <w:r>
        <w:rPr>
          <w:rFonts w:hint="eastAsia"/>
          <w:color w:val="auto"/>
          <w:highlight w:val="none"/>
          <w:lang w:val="en-US" w:eastAsia="zh-CN"/>
        </w:rPr>
        <w:t>1.部门主要职能</w:t>
      </w:r>
    </w:p>
    <w:p w14:paraId="2D7851FB">
      <w:pPr>
        <w:pStyle w:val="6"/>
        <w:ind w:firstLine="562"/>
        <w:rPr>
          <w:rFonts w:hint="eastAsia"/>
          <w:color w:val="auto"/>
          <w:highlight w:val="none"/>
        </w:rPr>
      </w:pPr>
      <w:r>
        <w:rPr>
          <w:rFonts w:hint="eastAsia"/>
          <w:color w:val="auto"/>
          <w:szCs w:val="28"/>
          <w:highlight w:val="none"/>
        </w:rPr>
        <w:t>1、部门职责</w:t>
      </w:r>
    </w:p>
    <w:p w14:paraId="7CA83A0D">
      <w:pPr>
        <w:ind w:firstLine="560"/>
        <w:rPr>
          <w:color w:val="auto"/>
          <w:highlight w:val="none"/>
        </w:rPr>
      </w:pPr>
      <w:r>
        <w:rPr>
          <w:rFonts w:hint="eastAsia"/>
          <w:color w:val="auto"/>
          <w:highlight w:val="none"/>
        </w:rPr>
        <w:t>和静县本级</w:t>
      </w:r>
      <w:r>
        <w:rPr>
          <w:rFonts w:hint="eastAsia"/>
          <w:color w:val="auto"/>
          <w:highlight w:val="none"/>
          <w:lang w:val="en-US" w:eastAsia="zh-CN"/>
        </w:rPr>
        <w:t>巴伦台</w:t>
      </w:r>
      <w:r>
        <w:rPr>
          <w:rFonts w:hint="eastAsia"/>
          <w:color w:val="auto"/>
          <w:highlight w:val="none"/>
        </w:rPr>
        <w:t>镇人民政府（单位名称）为参照公务员管理的正科级单位，主要职责是：</w:t>
      </w:r>
    </w:p>
    <w:p w14:paraId="3AE25D68">
      <w:pPr>
        <w:snapToGrid w:val="0"/>
        <w:spacing w:line="600" w:lineRule="exact"/>
        <w:ind w:firstLine="560"/>
        <w:rPr>
          <w:color w:val="auto"/>
          <w:highlight w:val="none"/>
        </w:rPr>
      </w:pPr>
      <w:r>
        <w:rPr>
          <w:rFonts w:hint="eastAsia"/>
          <w:color w:val="auto"/>
          <w:highlight w:val="none"/>
        </w:rPr>
        <w:t>（1）执行本级人民代表大会的决议和上级国家行政机关的决定和命令，发布决定和命令。</w:t>
      </w:r>
    </w:p>
    <w:p w14:paraId="3EF5528F">
      <w:pPr>
        <w:snapToGrid w:val="0"/>
        <w:spacing w:line="600" w:lineRule="exact"/>
        <w:ind w:firstLine="560"/>
        <w:rPr>
          <w:color w:val="auto"/>
          <w:highlight w:val="none"/>
        </w:rPr>
      </w:pPr>
      <w:r>
        <w:rPr>
          <w:rFonts w:hint="eastAsia"/>
          <w:color w:val="auto"/>
          <w:highlight w:val="none"/>
        </w:rPr>
        <w:t>（2）执行本行政区域内的经济和社会发展计划、预算，管理本行政区域内的经济、教育、科学、文化、卫生、体育事业、财政、民政、司法行政、计划生育等行政工作。</w:t>
      </w:r>
    </w:p>
    <w:p w14:paraId="6E4FEA16">
      <w:pPr>
        <w:snapToGrid w:val="0"/>
        <w:spacing w:line="600" w:lineRule="exact"/>
        <w:ind w:firstLine="560"/>
        <w:rPr>
          <w:color w:val="auto"/>
          <w:highlight w:val="none"/>
        </w:rPr>
      </w:pPr>
      <w:r>
        <w:rPr>
          <w:rFonts w:hint="eastAsia"/>
          <w:color w:val="auto"/>
          <w:highlight w:val="none"/>
        </w:rPr>
        <w:t>（3）保护社会主义的全民所有的财产和劳动群众集体所有的财产，保护公民私人所有的合法财产，维护社会秩序，保障公民的人身权利、民主权利和其他权利。</w:t>
      </w:r>
    </w:p>
    <w:p w14:paraId="1E2120B1">
      <w:pPr>
        <w:snapToGrid w:val="0"/>
        <w:spacing w:line="600" w:lineRule="exact"/>
        <w:ind w:firstLine="560"/>
        <w:rPr>
          <w:color w:val="auto"/>
          <w:highlight w:val="none"/>
        </w:rPr>
      </w:pPr>
      <w:r>
        <w:rPr>
          <w:rFonts w:hint="eastAsia"/>
          <w:color w:val="auto"/>
          <w:highlight w:val="none"/>
        </w:rPr>
        <w:t>（4）保护各种经济组织的合法权益。</w:t>
      </w:r>
    </w:p>
    <w:p w14:paraId="3A9F4AB5">
      <w:pPr>
        <w:snapToGrid w:val="0"/>
        <w:spacing w:line="600" w:lineRule="exact"/>
        <w:ind w:firstLine="560"/>
        <w:rPr>
          <w:color w:val="auto"/>
          <w:highlight w:val="none"/>
        </w:rPr>
      </w:pPr>
      <w:r>
        <w:rPr>
          <w:rFonts w:hint="eastAsia"/>
          <w:color w:val="auto"/>
          <w:highlight w:val="none"/>
        </w:rPr>
        <w:t>（5）保障少数民族的权利和尊重少数民族的风俗习惯。</w:t>
      </w:r>
    </w:p>
    <w:p w14:paraId="0816183C">
      <w:pPr>
        <w:snapToGrid w:val="0"/>
        <w:spacing w:line="600" w:lineRule="exact"/>
        <w:ind w:firstLine="560"/>
        <w:rPr>
          <w:color w:val="auto"/>
          <w:highlight w:val="none"/>
        </w:rPr>
      </w:pPr>
      <w:r>
        <w:rPr>
          <w:rFonts w:hint="eastAsia"/>
          <w:color w:val="auto"/>
          <w:highlight w:val="none"/>
        </w:rPr>
        <w:t>（6）保障宪法和法律赋予妇女的男女平等、同工同酬和婚姻自由等各项权利。</w:t>
      </w:r>
    </w:p>
    <w:p w14:paraId="1D773935">
      <w:pPr>
        <w:snapToGrid w:val="0"/>
        <w:spacing w:line="600" w:lineRule="exact"/>
        <w:ind w:firstLine="560"/>
        <w:rPr>
          <w:color w:val="auto"/>
          <w:highlight w:val="none"/>
        </w:rPr>
      </w:pPr>
      <w:r>
        <w:rPr>
          <w:rFonts w:hint="eastAsia"/>
          <w:color w:val="auto"/>
          <w:highlight w:val="none"/>
        </w:rPr>
        <w:t>（7）办理上级人民政府交办的其他事项。</w:t>
      </w:r>
    </w:p>
    <w:p w14:paraId="051601E8">
      <w:pPr>
        <w:pStyle w:val="6"/>
        <w:bidi w:val="0"/>
        <w:rPr>
          <w:rFonts w:hint="eastAsia"/>
          <w:color w:val="auto"/>
          <w:highlight w:val="none"/>
          <w:lang w:val="en-US" w:eastAsia="zh-CN"/>
        </w:rPr>
      </w:pPr>
      <w:r>
        <w:rPr>
          <w:rFonts w:hint="eastAsia"/>
          <w:color w:val="auto"/>
          <w:highlight w:val="none"/>
          <w:lang w:val="en-US" w:eastAsia="zh-CN"/>
        </w:rPr>
        <w:t>2.部门机构设置及人员构成</w:t>
      </w:r>
    </w:p>
    <w:p w14:paraId="401CF0B1">
      <w:pPr>
        <w:ind w:firstLine="560"/>
        <w:rPr>
          <w:rFonts w:hint="eastAsia"/>
          <w:color w:val="auto"/>
          <w:highlight w:val="none"/>
          <w:lang w:val="en-US" w:eastAsia="zh-CN"/>
        </w:rPr>
      </w:pPr>
      <w:r>
        <w:rPr>
          <w:rFonts w:hint="eastAsia"/>
          <w:color w:val="auto"/>
          <w:highlight w:val="none"/>
          <w:lang w:val="en-US" w:eastAsia="zh-CN"/>
        </w:rPr>
        <w:t>根据上述职责，和静县巴伦台镇人民政府和静县巴伦台镇人民政府无下属预算单位，下设 2 个科 室，分别是：和静县巴伦台镇党政办、和静县巴伦台镇计划生育办公室；下设 6 个中心、所，分别是：和静县巴伦台镇财政所、和静县巴伦台镇农牧业发展服务中心、和静县巴伦台镇民政社会保障服务中心、和静县巴伦台镇社区事业服务中心、和静县巴伦台镇文体广电服务中心、和静县巴伦台镇村镇规划建设发展服务中心。</w:t>
      </w:r>
    </w:p>
    <w:p w14:paraId="02E1A94D">
      <w:pPr>
        <w:ind w:firstLine="560"/>
        <w:rPr>
          <w:color w:val="auto"/>
          <w:highlight w:val="none"/>
        </w:rPr>
      </w:pPr>
      <w:r>
        <w:rPr>
          <w:rFonts w:hint="eastAsia"/>
          <w:color w:val="auto"/>
          <w:highlight w:val="none"/>
        </w:rPr>
        <w:t>和静县</w:t>
      </w:r>
      <w:r>
        <w:rPr>
          <w:rFonts w:hint="eastAsia"/>
          <w:color w:val="auto"/>
          <w:highlight w:val="none"/>
          <w:lang w:val="en-US" w:eastAsia="zh-CN"/>
        </w:rPr>
        <w:t>巴伦台镇</w:t>
      </w:r>
      <w:r>
        <w:rPr>
          <w:rFonts w:hint="eastAsia"/>
          <w:color w:val="auto"/>
          <w:highlight w:val="none"/>
        </w:rPr>
        <w:t>人民政府人员</w:t>
      </w:r>
      <w:r>
        <w:rPr>
          <w:rFonts w:hint="eastAsia"/>
          <w:color w:val="auto"/>
          <w:highlight w:val="none"/>
          <w:lang w:val="en-US" w:eastAsia="zh-CN"/>
        </w:rPr>
        <w:t>64</w:t>
      </w:r>
      <w:r>
        <w:rPr>
          <w:rFonts w:hint="eastAsia"/>
          <w:color w:val="auto"/>
          <w:highlight w:val="none"/>
        </w:rPr>
        <w:t>人，其中：行政编制</w:t>
      </w:r>
      <w:r>
        <w:rPr>
          <w:rFonts w:hint="eastAsia"/>
          <w:color w:val="auto"/>
          <w:highlight w:val="none"/>
          <w:lang w:val="en-US" w:eastAsia="zh-CN"/>
        </w:rPr>
        <w:t>29</w:t>
      </w:r>
      <w:r>
        <w:rPr>
          <w:rFonts w:hint="eastAsia"/>
          <w:color w:val="auto"/>
          <w:highlight w:val="none"/>
        </w:rPr>
        <w:t>人，事业编制</w:t>
      </w:r>
      <w:r>
        <w:rPr>
          <w:rFonts w:hint="eastAsia"/>
          <w:color w:val="auto"/>
          <w:highlight w:val="none"/>
          <w:lang w:val="en-US" w:eastAsia="zh-CN"/>
        </w:rPr>
        <w:t>34</w:t>
      </w:r>
      <w:r>
        <w:rPr>
          <w:rFonts w:hint="eastAsia"/>
          <w:color w:val="auto"/>
          <w:highlight w:val="none"/>
        </w:rPr>
        <w:t>人，工勤</w:t>
      </w:r>
      <w:r>
        <w:rPr>
          <w:rFonts w:hint="eastAsia"/>
          <w:color w:val="auto"/>
          <w:highlight w:val="none"/>
          <w:lang w:val="en-US" w:eastAsia="zh-CN"/>
        </w:rPr>
        <w:t>1</w:t>
      </w:r>
      <w:r>
        <w:rPr>
          <w:rFonts w:hint="eastAsia"/>
          <w:color w:val="auto"/>
          <w:highlight w:val="none"/>
        </w:rPr>
        <w:t>人。年初预算实有在职人员</w:t>
      </w:r>
      <w:r>
        <w:rPr>
          <w:rFonts w:hint="eastAsia"/>
          <w:color w:val="auto"/>
          <w:highlight w:val="none"/>
          <w:lang w:val="en-US" w:eastAsia="zh-CN"/>
        </w:rPr>
        <w:t>64</w:t>
      </w:r>
      <w:r>
        <w:rPr>
          <w:rFonts w:hint="eastAsia"/>
          <w:color w:val="auto"/>
          <w:highlight w:val="none"/>
        </w:rPr>
        <w:t>人，退休人员</w:t>
      </w:r>
      <w:r>
        <w:rPr>
          <w:rFonts w:hint="eastAsia"/>
          <w:color w:val="auto"/>
          <w:highlight w:val="none"/>
          <w:lang w:val="en-US" w:eastAsia="zh-CN"/>
        </w:rPr>
        <w:t>20</w:t>
      </w:r>
      <w:r>
        <w:rPr>
          <w:rFonts w:hint="eastAsia"/>
          <w:color w:val="auto"/>
          <w:highlight w:val="none"/>
        </w:rPr>
        <w:t>人。年末实有在职人数</w:t>
      </w:r>
      <w:r>
        <w:rPr>
          <w:rFonts w:hint="eastAsia"/>
          <w:color w:val="auto"/>
          <w:highlight w:val="none"/>
          <w:lang w:val="en-US" w:eastAsia="zh-CN"/>
        </w:rPr>
        <w:t>64</w:t>
      </w:r>
      <w:r>
        <w:rPr>
          <w:rFonts w:hint="eastAsia"/>
          <w:color w:val="auto"/>
          <w:highlight w:val="none"/>
        </w:rPr>
        <w:t>人，临时工0人，退休人员</w:t>
      </w:r>
      <w:r>
        <w:rPr>
          <w:rFonts w:hint="eastAsia"/>
          <w:color w:val="auto"/>
          <w:highlight w:val="none"/>
          <w:lang w:val="en-US" w:eastAsia="zh-CN"/>
        </w:rPr>
        <w:t>21</w:t>
      </w:r>
      <w:r>
        <w:rPr>
          <w:rFonts w:hint="eastAsia"/>
          <w:color w:val="auto"/>
          <w:highlight w:val="none"/>
        </w:rPr>
        <w:t>人。</w:t>
      </w:r>
    </w:p>
    <w:p w14:paraId="6D466411">
      <w:pPr>
        <w:pStyle w:val="5"/>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7B9CB019">
      <w:pPr>
        <w:ind w:firstLine="560"/>
        <w:rPr>
          <w:rFonts w:hint="eastAsia"/>
          <w:color w:val="auto"/>
          <w:highlight w:val="none"/>
          <w:lang w:val="en-US" w:eastAsia="zh-CN"/>
        </w:rPr>
      </w:pPr>
      <w:r>
        <w:rPr>
          <w:rFonts w:hint="eastAsia"/>
          <w:color w:val="auto"/>
          <w:highlight w:val="none"/>
          <w:lang w:val="en-US" w:eastAsia="zh-CN"/>
        </w:rPr>
        <w:t>一</w:t>
      </w:r>
      <w:r>
        <w:rPr>
          <w:rFonts w:hint="default"/>
          <w:color w:val="auto"/>
          <w:highlight w:val="none"/>
          <w:lang w:val="en-US" w:eastAsia="zh-CN"/>
        </w:rPr>
        <w:t>是</w:t>
      </w:r>
      <w:r>
        <w:rPr>
          <w:rFonts w:hint="eastAsia"/>
          <w:color w:val="auto"/>
          <w:highlight w:val="none"/>
          <w:lang w:val="en-US" w:eastAsia="zh-CN"/>
        </w:rPr>
        <w:t>稳步</w:t>
      </w:r>
      <w:r>
        <w:rPr>
          <w:rFonts w:hint="default"/>
          <w:color w:val="auto"/>
          <w:highlight w:val="none"/>
          <w:lang w:val="en-US" w:eastAsia="zh-CN"/>
        </w:rPr>
        <w:t>化解矛盾纠纷。加大摸排辖区“家庭婚姻、劳资合同、</w:t>
      </w:r>
      <w:r>
        <w:rPr>
          <w:rFonts w:hint="eastAsia"/>
          <w:color w:val="auto"/>
          <w:highlight w:val="none"/>
          <w:lang w:val="en-US" w:eastAsia="zh-CN"/>
        </w:rPr>
        <w:t>财产纠纷、经济纠纷</w:t>
      </w:r>
      <w:r>
        <w:rPr>
          <w:rFonts w:hint="default"/>
          <w:color w:val="auto"/>
          <w:highlight w:val="none"/>
          <w:lang w:val="en-US" w:eastAsia="zh-CN"/>
        </w:rPr>
        <w:t>”等</w:t>
      </w:r>
      <w:r>
        <w:rPr>
          <w:rFonts w:hint="eastAsia"/>
          <w:color w:val="auto"/>
          <w:highlight w:val="none"/>
          <w:lang w:val="en-US" w:eastAsia="zh-CN"/>
        </w:rPr>
        <w:t>各类</w:t>
      </w:r>
      <w:r>
        <w:rPr>
          <w:rFonts w:hint="default"/>
          <w:color w:val="auto"/>
          <w:highlight w:val="none"/>
          <w:lang w:val="en-US" w:eastAsia="zh-CN"/>
        </w:rPr>
        <w:t>矛盾纠纷。针对辖区不放心的人和社会领域开展风险隐患大排查大化解行动，严防矛盾相互传导、发酵升级。</w:t>
      </w:r>
      <w:r>
        <w:rPr>
          <w:rFonts w:hint="eastAsia"/>
          <w:color w:val="auto"/>
          <w:highlight w:val="none"/>
          <w:lang w:val="en-US" w:eastAsia="zh-CN"/>
        </w:rPr>
        <w:t>今年以来</w:t>
      </w:r>
      <w:r>
        <w:rPr>
          <w:rFonts w:hint="default"/>
          <w:color w:val="auto"/>
          <w:highlight w:val="none"/>
          <w:lang w:val="en-US" w:eastAsia="zh-CN"/>
        </w:rPr>
        <w:t>摸排群众困难诉求</w:t>
      </w:r>
      <w:r>
        <w:rPr>
          <w:rFonts w:hint="eastAsia"/>
          <w:color w:val="auto"/>
          <w:highlight w:val="none"/>
          <w:lang w:val="en-US" w:eastAsia="zh-CN"/>
        </w:rPr>
        <w:t>2458</w:t>
      </w:r>
      <w:r>
        <w:rPr>
          <w:rFonts w:hint="default"/>
          <w:color w:val="auto"/>
          <w:highlight w:val="none"/>
          <w:lang w:val="en-US" w:eastAsia="zh-CN"/>
        </w:rPr>
        <w:t>条，目前已解决</w:t>
      </w:r>
      <w:r>
        <w:rPr>
          <w:rFonts w:hint="eastAsia"/>
          <w:color w:val="auto"/>
          <w:highlight w:val="none"/>
          <w:lang w:val="en-US" w:eastAsia="zh-CN"/>
        </w:rPr>
        <w:t>2458</w:t>
      </w:r>
      <w:r>
        <w:rPr>
          <w:rFonts w:hint="default"/>
          <w:color w:val="auto"/>
          <w:highlight w:val="none"/>
          <w:lang w:val="en-US" w:eastAsia="zh-CN"/>
        </w:rPr>
        <w:t>条；摸排</w:t>
      </w:r>
      <w:r>
        <w:rPr>
          <w:rFonts w:hint="eastAsia"/>
          <w:color w:val="auto"/>
          <w:highlight w:val="none"/>
          <w:lang w:val="en-US" w:eastAsia="zh-CN"/>
        </w:rPr>
        <w:t>化解矛盾纠纷244</w:t>
      </w:r>
      <w:r>
        <w:rPr>
          <w:rFonts w:hint="default"/>
          <w:color w:val="auto"/>
          <w:highlight w:val="none"/>
          <w:lang w:val="en-US" w:eastAsia="zh-CN"/>
        </w:rPr>
        <w:t>条</w:t>
      </w:r>
      <w:r>
        <w:rPr>
          <w:rFonts w:hint="eastAsia"/>
          <w:color w:val="auto"/>
          <w:highlight w:val="none"/>
          <w:lang w:val="en-US" w:eastAsia="zh-CN"/>
        </w:rPr>
        <w:t>，化解率100%</w:t>
      </w:r>
      <w:r>
        <w:rPr>
          <w:rFonts w:hint="default"/>
          <w:color w:val="auto"/>
          <w:highlight w:val="none"/>
          <w:lang w:val="en-US" w:eastAsia="zh-CN"/>
        </w:rPr>
        <w:t>。部职工参加自治区“法治讲堂·逢九必讲”法治讲座</w:t>
      </w:r>
      <w:r>
        <w:rPr>
          <w:rFonts w:hint="eastAsia"/>
          <w:color w:val="auto"/>
          <w:highlight w:val="none"/>
          <w:lang w:val="en-US" w:eastAsia="zh-CN"/>
        </w:rPr>
        <w:t>6</w:t>
      </w:r>
      <w:r>
        <w:rPr>
          <w:rFonts w:hint="default"/>
          <w:color w:val="auto"/>
          <w:highlight w:val="none"/>
          <w:lang w:val="en-US" w:eastAsia="zh-CN"/>
        </w:rPr>
        <w:t>场次，开展法治宣讲14次，法宣在线考试合格率100%；</w:t>
      </w:r>
      <w:r>
        <w:rPr>
          <w:rFonts w:hint="eastAsia"/>
          <w:color w:val="auto"/>
          <w:highlight w:val="none"/>
          <w:lang w:val="en-US" w:eastAsia="zh-CN"/>
        </w:rPr>
        <w:t>二是不断优化政务服务，助力法治政府建设。</w:t>
      </w:r>
      <w:r>
        <w:rPr>
          <w:rFonts w:hint="default"/>
          <w:color w:val="auto"/>
          <w:highlight w:val="none"/>
          <w:lang w:val="en-US" w:eastAsia="zh-CN"/>
        </w:rPr>
        <w:t>政务服务信息公开内容19条，发布乡镇级政务服务事项108条，村级104条，12345便民热线解决群众“急难愁盼”</w:t>
      </w:r>
      <w:r>
        <w:rPr>
          <w:rFonts w:hint="eastAsia"/>
          <w:color w:val="auto"/>
          <w:highlight w:val="none"/>
          <w:lang w:val="en-US" w:eastAsia="zh-CN"/>
        </w:rPr>
        <w:t>25</w:t>
      </w:r>
      <w:r>
        <w:rPr>
          <w:rFonts w:hint="default"/>
          <w:color w:val="auto"/>
          <w:highlight w:val="none"/>
          <w:lang w:val="en-US" w:eastAsia="zh-CN"/>
        </w:rPr>
        <w:t>件，办结率100%，坚持不懈让政府在法制的轨道上运行</w:t>
      </w:r>
      <w:r>
        <w:rPr>
          <w:rFonts w:hint="eastAsia"/>
          <w:color w:val="auto"/>
          <w:highlight w:val="none"/>
          <w:lang w:val="en-US" w:eastAsia="zh-CN"/>
        </w:rPr>
        <w:t>。 三是</w:t>
      </w:r>
      <w:r>
        <w:rPr>
          <w:rFonts w:hint="default"/>
          <w:color w:val="auto"/>
          <w:highlight w:val="none"/>
          <w:lang w:val="en-US" w:eastAsia="zh-CN"/>
        </w:rPr>
        <w:t>强化社会保障力度。</w:t>
      </w:r>
      <w:r>
        <w:rPr>
          <w:rFonts w:hint="eastAsia"/>
          <w:color w:val="auto"/>
          <w:highlight w:val="none"/>
          <w:lang w:val="en-US" w:eastAsia="zh-CN"/>
        </w:rPr>
        <w:t>持续</w:t>
      </w:r>
      <w:r>
        <w:rPr>
          <w:rFonts w:hint="default"/>
          <w:color w:val="auto"/>
          <w:highlight w:val="none"/>
          <w:lang w:val="en-US" w:eastAsia="zh-CN"/>
        </w:rPr>
        <w:t>稳步推进参保扩面工作，扎实推进全民参保计划认真做好城乡居民医疗保险、城乡居民养老保险工作，目前居民养老保险参保缴费1102人。医保一般户1221人，已完成缴费957人，</w:t>
      </w:r>
      <w:r>
        <w:rPr>
          <w:rFonts w:hint="eastAsia"/>
          <w:color w:val="auto"/>
          <w:highlight w:val="none"/>
          <w:lang w:val="en-US" w:eastAsia="zh-CN"/>
        </w:rPr>
        <w:t>核减264人，</w:t>
      </w:r>
      <w:r>
        <w:rPr>
          <w:rFonts w:hint="default"/>
          <w:color w:val="auto"/>
          <w:highlight w:val="none"/>
          <w:lang w:val="en-US" w:eastAsia="zh-CN"/>
        </w:rPr>
        <w:t>缴费进度为100%。做好城乡低保对象应保尽保工作，加强低保对象、农村五保户和困难弱势群体城乡居民基本医疗保险和“一站式”救助工作，加强临时救助，增强救助工作实效。发放农村低保</w:t>
      </w:r>
      <w:r>
        <w:rPr>
          <w:rFonts w:hint="eastAsia"/>
          <w:color w:val="auto"/>
          <w:highlight w:val="none"/>
          <w:lang w:val="en-US" w:eastAsia="zh-CN"/>
        </w:rPr>
        <w:t>31.96</w:t>
      </w:r>
      <w:r>
        <w:rPr>
          <w:rFonts w:hint="default"/>
          <w:color w:val="auto"/>
          <w:highlight w:val="none"/>
          <w:lang w:val="en-US" w:eastAsia="zh-CN"/>
        </w:rPr>
        <w:t>万元、城市低保</w:t>
      </w:r>
      <w:r>
        <w:rPr>
          <w:rFonts w:hint="eastAsia"/>
          <w:color w:val="auto"/>
          <w:highlight w:val="none"/>
          <w:lang w:val="en-US" w:eastAsia="zh-CN"/>
        </w:rPr>
        <w:t>25.49</w:t>
      </w:r>
      <w:r>
        <w:rPr>
          <w:rFonts w:hint="default"/>
          <w:color w:val="auto"/>
          <w:highlight w:val="none"/>
          <w:lang w:val="en-US" w:eastAsia="zh-CN"/>
        </w:rPr>
        <w:t>万元，共计</w:t>
      </w:r>
      <w:r>
        <w:rPr>
          <w:rFonts w:hint="eastAsia"/>
          <w:color w:val="auto"/>
          <w:highlight w:val="none"/>
          <w:lang w:val="en-US" w:eastAsia="zh-CN"/>
        </w:rPr>
        <w:t>57.45</w:t>
      </w:r>
      <w:r>
        <w:rPr>
          <w:rFonts w:hint="default"/>
          <w:color w:val="auto"/>
          <w:highlight w:val="none"/>
          <w:lang w:val="en-US" w:eastAsia="zh-CN"/>
        </w:rPr>
        <w:t>万元；发放高龄津贴</w:t>
      </w:r>
      <w:r>
        <w:rPr>
          <w:rFonts w:hint="eastAsia"/>
          <w:color w:val="auto"/>
          <w:highlight w:val="none"/>
          <w:lang w:val="en-US" w:eastAsia="zh-CN"/>
        </w:rPr>
        <w:t>13.42</w:t>
      </w:r>
      <w:r>
        <w:rPr>
          <w:rFonts w:hint="default"/>
          <w:color w:val="auto"/>
          <w:highlight w:val="none"/>
          <w:lang w:val="en-US" w:eastAsia="zh-CN"/>
        </w:rPr>
        <w:t>万元，特困供养资金</w:t>
      </w:r>
      <w:r>
        <w:rPr>
          <w:rFonts w:hint="eastAsia"/>
          <w:color w:val="auto"/>
          <w:highlight w:val="none"/>
          <w:lang w:val="en-US" w:eastAsia="zh-CN"/>
        </w:rPr>
        <w:t>3.81</w:t>
      </w:r>
      <w:r>
        <w:rPr>
          <w:rFonts w:hint="default"/>
          <w:color w:val="auto"/>
          <w:highlight w:val="none"/>
          <w:lang w:val="en-US" w:eastAsia="zh-CN"/>
        </w:rPr>
        <w:t>万元，残疾人两项补贴资金</w:t>
      </w:r>
      <w:r>
        <w:rPr>
          <w:rFonts w:hint="eastAsia"/>
          <w:color w:val="auto"/>
          <w:highlight w:val="none"/>
          <w:lang w:val="en-US" w:eastAsia="zh-CN"/>
        </w:rPr>
        <w:t>12.37</w:t>
      </w:r>
      <w:r>
        <w:rPr>
          <w:rFonts w:hint="default"/>
          <w:color w:val="auto"/>
          <w:highlight w:val="none"/>
          <w:lang w:val="en-US" w:eastAsia="zh-CN"/>
        </w:rPr>
        <w:t>万元，临时救助1</w:t>
      </w:r>
      <w:r>
        <w:rPr>
          <w:rFonts w:hint="eastAsia"/>
          <w:color w:val="auto"/>
          <w:highlight w:val="none"/>
          <w:lang w:val="en-US" w:eastAsia="zh-CN"/>
        </w:rPr>
        <w:t>.6</w:t>
      </w:r>
      <w:r>
        <w:rPr>
          <w:rFonts w:hint="default"/>
          <w:color w:val="auto"/>
          <w:highlight w:val="none"/>
          <w:lang w:val="en-US" w:eastAsia="zh-CN"/>
        </w:rPr>
        <w:t>万元。</w:t>
      </w:r>
      <w:r>
        <w:rPr>
          <w:rFonts w:hint="eastAsia"/>
          <w:color w:val="auto"/>
          <w:highlight w:val="none"/>
          <w:lang w:val="en-US" w:eastAsia="zh-CN"/>
        </w:rPr>
        <w:t>三是</w:t>
      </w:r>
      <w:r>
        <w:rPr>
          <w:rFonts w:hint="default"/>
          <w:color w:val="auto"/>
          <w:highlight w:val="none"/>
          <w:lang w:val="en-US" w:eastAsia="zh-CN"/>
        </w:rPr>
        <w:t>着力发展教育事业。义务教育稳步推进，</w:t>
      </w:r>
      <w:r>
        <w:rPr>
          <w:rFonts w:hint="eastAsia"/>
          <w:color w:val="auto"/>
          <w:highlight w:val="none"/>
          <w:lang w:val="en-US" w:eastAsia="zh-CN"/>
        </w:rPr>
        <w:t>签订控辍保学责任书一份，</w:t>
      </w:r>
      <w:r>
        <w:rPr>
          <w:rFonts w:hint="default"/>
          <w:color w:val="auto"/>
          <w:highlight w:val="none"/>
          <w:lang w:val="en-US" w:eastAsia="zh-CN"/>
        </w:rPr>
        <w:t>巩固农村学前教育发展成果，农村</w:t>
      </w:r>
      <w:r>
        <w:rPr>
          <w:rFonts w:hint="eastAsia"/>
          <w:color w:val="auto"/>
          <w:highlight w:val="none"/>
          <w:lang w:val="en-US" w:eastAsia="zh-CN"/>
        </w:rPr>
        <w:t>90名</w:t>
      </w:r>
      <w:r>
        <w:rPr>
          <w:rFonts w:hint="default"/>
          <w:color w:val="auto"/>
          <w:highlight w:val="none"/>
          <w:lang w:val="en-US" w:eastAsia="zh-CN"/>
        </w:rPr>
        <w:t>4-6岁儿童实现幼儿园免费入园“应入尽入”，实现</w:t>
      </w:r>
      <w:r>
        <w:rPr>
          <w:rFonts w:hint="eastAsia"/>
          <w:color w:val="auto"/>
          <w:highlight w:val="none"/>
          <w:lang w:val="en-US" w:eastAsia="zh-CN"/>
        </w:rPr>
        <w:t>279</w:t>
      </w:r>
      <w:r>
        <w:rPr>
          <w:rFonts w:hint="default"/>
          <w:color w:val="auto"/>
          <w:highlight w:val="none"/>
          <w:lang w:val="en-US" w:eastAsia="zh-CN"/>
        </w:rPr>
        <w:t>名农村适龄儿童青少年就学全覆盖，国家通用语言文字教学全覆盖</w:t>
      </w:r>
      <w:r>
        <w:rPr>
          <w:rFonts w:hint="eastAsia"/>
          <w:color w:val="auto"/>
          <w:highlight w:val="none"/>
          <w:lang w:val="en-US" w:eastAsia="zh-CN"/>
        </w:rPr>
        <w:t>，累计为12名疆内大学生发放助学金48000元，17名疆外大学生发放援疆助学金102000元，为33名大学生发放雨露计划助学金99000元，</w:t>
      </w:r>
      <w:r>
        <w:rPr>
          <w:rFonts w:hint="default"/>
          <w:color w:val="auto"/>
          <w:highlight w:val="none"/>
          <w:lang w:val="en-US" w:eastAsia="zh-CN"/>
        </w:rPr>
        <w:t>教育质量不断提升</w:t>
      </w:r>
      <w:r>
        <w:rPr>
          <w:rFonts w:hint="eastAsia"/>
          <w:color w:val="auto"/>
          <w:highlight w:val="none"/>
          <w:lang w:val="en-US" w:eastAsia="zh-CN"/>
        </w:rPr>
        <w:t>。</w:t>
      </w:r>
      <w:r>
        <w:rPr>
          <w:rFonts w:hint="default"/>
          <w:color w:val="auto"/>
          <w:highlight w:val="none"/>
          <w:lang w:val="en-US" w:eastAsia="zh-CN"/>
        </w:rPr>
        <w:t>救助资金15000元，累计帮助困难妇女儿童10人</w:t>
      </w:r>
      <w:r>
        <w:rPr>
          <w:rFonts w:hint="eastAsia"/>
          <w:color w:val="auto"/>
          <w:highlight w:val="none"/>
          <w:lang w:val="en-US" w:eastAsia="zh-CN"/>
        </w:rPr>
        <w:t>。</w:t>
      </w:r>
    </w:p>
    <w:p w14:paraId="416CB84D">
      <w:pPr>
        <w:pStyle w:val="5"/>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5C74B750">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7BE59432">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（1）年初预算执行情况</w:t>
      </w:r>
    </w:p>
    <w:p w14:paraId="5F7F33C2">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我单位年初预算数为2148.36万元，实际预算执行数2102.95万元，预算执行率为97.89%。</w:t>
      </w:r>
    </w:p>
    <w:p w14:paraId="06048342">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（2）全年预算执行情况</w:t>
      </w:r>
    </w:p>
    <w:p w14:paraId="735EAE19">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全年预算数为2102.95万元，全年实际支出资金2102.95万元，预算执行率为100%。</w:t>
      </w:r>
    </w:p>
    <w:p w14:paraId="6B1DE525">
      <w:pPr>
        <w:pStyle w:val="6"/>
        <w:bidi w:val="0"/>
        <w:rPr>
          <w:rFonts w:hint="eastAsia"/>
          <w:color w:val="auto"/>
          <w:highlight w:val="none"/>
          <w:lang w:val="en-US" w:eastAsia="zh-CN"/>
        </w:rPr>
      </w:pPr>
      <w:r>
        <w:rPr>
          <w:rFonts w:hint="eastAsia"/>
          <w:color w:val="auto"/>
          <w:highlight w:val="none"/>
          <w:lang w:val="en-US" w:eastAsia="zh-CN"/>
        </w:rPr>
        <w:t>2.预算调整（追加减）情况</w:t>
      </w:r>
    </w:p>
    <w:p w14:paraId="1CECE04C">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我单位年初批复预算数2148.36万元，年中调整数45.41万元，调整后全年预算数2102.95万元，预算调整率2.11%。（预算调整率=调整数/年初预算数*100%=2.11%。）</w:t>
      </w:r>
    </w:p>
    <w:p w14:paraId="457CF152">
      <w:pPr>
        <w:pStyle w:val="6"/>
        <w:rPr>
          <w:rFonts w:hint="default"/>
          <w:color w:val="auto"/>
          <w:highlight w:val="none"/>
          <w:lang w:val="en-US" w:eastAsia="zh-CN"/>
        </w:rPr>
      </w:pPr>
      <w:r>
        <w:rPr>
          <w:rFonts w:hint="default"/>
          <w:color w:val="auto"/>
          <w:highlight w:val="none"/>
          <w:lang w:val="en-US" w:eastAsia="zh-CN"/>
        </w:rPr>
        <w:t>3.资金使用主要内容、涉及的范围</w:t>
      </w:r>
    </w:p>
    <w:p w14:paraId="4C1C02F9">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2102.96</w:t>
      </w:r>
      <w:r>
        <w:rPr>
          <w:rFonts w:hint="default"/>
          <w:color w:val="auto"/>
          <w:highlight w:val="none"/>
          <w:lang w:val="en-US" w:eastAsia="zh-CN"/>
        </w:rPr>
        <w:t>万元，其中：</w:t>
      </w:r>
    </w:p>
    <w:p w14:paraId="25DC4921">
      <w:pPr>
        <w:snapToGrid w:val="0"/>
        <w:spacing w:line="600" w:lineRule="exact"/>
        <w:ind w:firstLine="56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1744.73</w:t>
      </w:r>
      <w:r>
        <w:rPr>
          <w:rFonts w:hint="default"/>
          <w:color w:val="auto"/>
          <w:highlight w:val="none"/>
          <w:lang w:val="en-US" w:eastAsia="zh-CN"/>
        </w:rPr>
        <w:t>万元，资金的使用方向为我单位机关人员经费支出</w:t>
      </w:r>
      <w:r>
        <w:rPr>
          <w:rFonts w:hint="eastAsia"/>
          <w:color w:val="auto"/>
          <w:highlight w:val="none"/>
          <w:lang w:val="en-US" w:eastAsia="zh-CN"/>
        </w:rPr>
        <w:t>1071.37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72.22</w:t>
      </w:r>
      <w:r>
        <w:rPr>
          <w:rFonts w:hint="default"/>
          <w:color w:val="auto"/>
          <w:highlight w:val="none"/>
          <w:lang w:val="en-US" w:eastAsia="zh-CN"/>
        </w:rPr>
        <w:t>万元</w:t>
      </w:r>
      <w:r>
        <w:rPr>
          <w:rFonts w:hint="eastAsia"/>
          <w:color w:val="auto"/>
          <w:highlight w:val="none"/>
          <w:lang w:val="en-US" w:eastAsia="zh-CN"/>
        </w:rPr>
        <w:t>，对个人和家庭补助支出601.13万元，主要用于保障人员工资及人员医保、社保、住房公积金等缴费，单位办公用品购买及车辆燃油费及维修等方面支出。</w:t>
      </w:r>
    </w:p>
    <w:p w14:paraId="2795678B">
      <w:pPr>
        <w:snapToGrid w:val="0"/>
        <w:spacing w:line="600" w:lineRule="exact"/>
        <w:ind w:firstLine="56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358.23</w:t>
      </w:r>
      <w:r>
        <w:rPr>
          <w:rFonts w:hint="default"/>
          <w:color w:val="auto"/>
          <w:highlight w:val="none"/>
          <w:lang w:val="en-US" w:eastAsia="zh-CN"/>
        </w:rPr>
        <w:t>万元，主要用于保障</w:t>
      </w:r>
      <w:r>
        <w:rPr>
          <w:rFonts w:hint="eastAsia"/>
          <w:color w:val="auto"/>
          <w:highlight w:val="none"/>
          <w:lang w:val="en-US" w:eastAsia="zh-CN"/>
        </w:rPr>
        <w:t>中央政法纪检监察转移支付资金</w:t>
      </w:r>
      <w:r>
        <w:rPr>
          <w:rFonts w:hint="default"/>
          <w:color w:val="auto"/>
          <w:highlight w:val="none"/>
          <w:lang w:val="en-US" w:eastAsia="zh-CN"/>
        </w:rPr>
        <w:t>项目、</w:t>
      </w:r>
      <w:r>
        <w:rPr>
          <w:rFonts w:hint="eastAsia"/>
          <w:color w:val="auto"/>
          <w:highlight w:val="none"/>
          <w:lang w:val="en-US" w:eastAsia="zh-CN"/>
        </w:rPr>
        <w:t>自治区国有企业改革成本</w:t>
      </w:r>
      <w:r>
        <w:rPr>
          <w:rFonts w:hint="default"/>
          <w:color w:val="auto"/>
          <w:highlight w:val="none"/>
          <w:lang w:val="en-US" w:eastAsia="zh-CN"/>
        </w:rPr>
        <w:t>项目</w:t>
      </w:r>
      <w:r>
        <w:rPr>
          <w:rFonts w:hint="eastAsia"/>
          <w:color w:val="auto"/>
          <w:highlight w:val="none"/>
          <w:lang w:val="en-US" w:eastAsia="zh-CN"/>
        </w:rPr>
        <w:t>、2023年包格旦郭勒村牧道建设</w:t>
      </w:r>
      <w:r>
        <w:rPr>
          <w:rFonts w:hint="default"/>
          <w:color w:val="auto"/>
          <w:highlight w:val="none"/>
          <w:lang w:val="en-US" w:eastAsia="zh-CN"/>
        </w:rPr>
        <w:t>项目</w:t>
      </w:r>
      <w:r>
        <w:rPr>
          <w:rFonts w:hint="eastAsia"/>
          <w:color w:val="auto"/>
          <w:highlight w:val="none"/>
          <w:lang w:val="en-US" w:eastAsia="zh-CN"/>
        </w:rPr>
        <w:t>、巴伦台镇2013年干部周转宿舍建设项目（南桥社区））</w:t>
      </w:r>
      <w:r>
        <w:rPr>
          <w:rFonts w:hint="default"/>
          <w:color w:val="auto"/>
          <w:highlight w:val="none"/>
          <w:lang w:val="en-US" w:eastAsia="zh-CN"/>
        </w:rPr>
        <w:t>等项目支出。</w:t>
      </w:r>
    </w:p>
    <w:p w14:paraId="52B6D8B0">
      <w:pPr>
        <w:pStyle w:val="4"/>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44B9165A">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（一）基本支出和使用情况</w:t>
      </w:r>
    </w:p>
    <w:p w14:paraId="65B45358">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2102.96万元，全年实际支出2102.96万元，资金执行率100%。基本支出严格按照财务管理制度执行，其中：</w:t>
      </w:r>
    </w:p>
    <w:p w14:paraId="4C7705B6">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人员经费支出1672.5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278D7C10">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公用经费支出72.22万元，主要包括：办公费、印刷费、水费、电费、邮电费、取暖费、物业管理费、差旅费、培训费、公务接待费、工会经费、福利费、公务用车运行维护费、其他交通费用、其他商品和服务支出。</w:t>
      </w:r>
    </w:p>
    <w:p w14:paraId="58FB87F8">
      <w:pPr>
        <w:pStyle w:val="5"/>
        <w:bidi w:val="0"/>
        <w:rPr>
          <w:rFonts w:hint="eastAsia"/>
          <w:color w:val="auto"/>
          <w:highlight w:val="none"/>
          <w:lang w:val="en-US" w:eastAsia="zh-CN"/>
        </w:rPr>
      </w:pPr>
      <w:r>
        <w:rPr>
          <w:rFonts w:hint="eastAsia"/>
          <w:color w:val="auto"/>
          <w:highlight w:val="none"/>
          <w:lang w:val="en-US" w:eastAsia="zh-CN"/>
        </w:rPr>
        <w:t>（二）政策、项目支出和使用情况</w:t>
      </w:r>
    </w:p>
    <w:p w14:paraId="466AB99F">
      <w:pPr>
        <w:pStyle w:val="6"/>
        <w:bidi w:val="0"/>
        <w:rPr>
          <w:rFonts w:hint="eastAsia"/>
          <w:color w:val="auto"/>
          <w:highlight w:val="none"/>
          <w:lang w:val="en-US" w:eastAsia="zh-CN"/>
        </w:rPr>
      </w:pPr>
      <w:r>
        <w:rPr>
          <w:rFonts w:hint="eastAsia"/>
          <w:color w:val="auto"/>
          <w:highlight w:val="none"/>
          <w:lang w:val="en-US" w:eastAsia="zh-CN"/>
        </w:rPr>
        <w:t>1.政策、项目支出的投入情况分析</w:t>
      </w:r>
    </w:p>
    <w:p w14:paraId="5B9197C1">
      <w:pPr>
        <w:snapToGrid w:val="0"/>
        <w:spacing w:line="600" w:lineRule="exact"/>
        <w:ind w:firstLine="560"/>
        <w:rPr>
          <w:rFonts w:hint="eastAsia"/>
          <w:color w:val="auto"/>
          <w:highlight w:val="none"/>
          <w:lang w:eastAsia="zh-CN"/>
        </w:rPr>
      </w:pPr>
      <w:r>
        <w:rPr>
          <w:rFonts w:hint="eastAsia"/>
          <w:color w:val="auto"/>
          <w:highlight w:val="none"/>
          <w:lang w:val="en-US" w:eastAsia="zh-CN"/>
        </w:rPr>
        <w:t>我单位2023年度共安排项目支出预算358.23万元，其中：上级专项资金185.63万元，本级财政资金172.6万元。</w:t>
      </w:r>
    </w:p>
    <w:p w14:paraId="7C120133">
      <w:pPr>
        <w:pStyle w:val="6"/>
        <w:bidi w:val="0"/>
        <w:rPr>
          <w:rFonts w:hint="eastAsia"/>
          <w:color w:val="auto"/>
          <w:highlight w:val="none"/>
          <w:lang w:val="en-US" w:eastAsia="zh-CN"/>
        </w:rPr>
      </w:pPr>
      <w:r>
        <w:rPr>
          <w:rFonts w:hint="eastAsia"/>
          <w:color w:val="auto"/>
          <w:highlight w:val="none"/>
          <w:lang w:val="en-US" w:eastAsia="zh-CN"/>
        </w:rPr>
        <w:t>2.政策、项目支出管理情况</w:t>
      </w:r>
    </w:p>
    <w:p w14:paraId="2F7D08B9">
      <w:pPr>
        <w:ind w:firstLine="560"/>
        <w:rPr>
          <w:rFonts w:hint="eastAsia" w:ascii="仿宋_GB2312" w:hAnsi="仿宋" w:cs="仿宋_GB2312"/>
          <w:b w:val="0"/>
          <w:bCs w:val="0"/>
          <w:color w:val="auto"/>
          <w:sz w:val="28"/>
          <w:szCs w:val="28"/>
          <w:highlight w:val="none"/>
          <w:rtl w:val="0"/>
          <w:lang w:val="en-US" w:eastAsia="zh-CN"/>
        </w:rPr>
      </w:pPr>
      <w:r>
        <w:rPr>
          <w:rFonts w:hint="eastAsia" w:ascii="仿宋_GB2312" w:hAnsi="仿宋" w:cs="仿宋_GB2312"/>
          <w:b w:val="0"/>
          <w:bCs w:val="0"/>
          <w:color w:val="auto"/>
          <w:sz w:val="28"/>
          <w:szCs w:val="28"/>
          <w:highlight w:val="none"/>
          <w:rtl w:val="0"/>
          <w:lang w:val="en-US" w:eastAsia="zh-CN"/>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hAnsi="仿宋" w:cs="仿宋_GB2312"/>
          <w:b w:val="0"/>
          <w:bCs w:val="0"/>
          <w:color w:val="auto"/>
          <w:sz w:val="28"/>
          <w:szCs w:val="28"/>
          <w:highlight w:val="none"/>
          <w:rtl w:val="0"/>
          <w:lang w:val="en-US" w:eastAsia="zh-CN"/>
        </w:rPr>
        <w:t>专账</w:t>
      </w:r>
      <w:r>
        <w:rPr>
          <w:rFonts w:hint="eastAsia" w:ascii="仿宋_GB2312" w:hAnsi="仿宋" w:cs="仿宋_GB2312"/>
          <w:b w:val="0"/>
          <w:bCs w:val="0"/>
          <w:color w:val="auto"/>
          <w:sz w:val="28"/>
          <w:szCs w:val="28"/>
          <w:highlight w:val="none"/>
          <w:rtl w:val="0"/>
          <w:lang w:val="en-US" w:eastAsia="zh-CN"/>
        </w:rPr>
        <w:t>，严格实行专款专用，保证资金及时足额用到项目中。2023年上级财政下达我单位专项资金</w:t>
      </w:r>
      <w:r>
        <w:rPr>
          <w:rFonts w:hint="eastAsia" w:hAnsi="仿宋" w:cs="仿宋_GB2312"/>
          <w:b w:val="0"/>
          <w:bCs w:val="0"/>
          <w:color w:val="auto"/>
          <w:sz w:val="28"/>
          <w:szCs w:val="28"/>
          <w:highlight w:val="none"/>
          <w:rtl w:val="0"/>
          <w:lang w:val="en-US" w:eastAsia="zh-CN"/>
        </w:rPr>
        <w:t>358.32</w:t>
      </w:r>
      <w:r>
        <w:rPr>
          <w:rFonts w:hint="eastAsia" w:ascii="仿宋_GB2312" w:hAnsi="仿宋" w:cs="仿宋_GB2312"/>
          <w:b w:val="0"/>
          <w:bCs w:val="0"/>
          <w:color w:val="auto"/>
          <w:sz w:val="28"/>
          <w:szCs w:val="28"/>
          <w:highlight w:val="none"/>
          <w:rtl w:val="0"/>
          <w:lang w:val="en-US" w:eastAsia="zh-CN"/>
        </w:rPr>
        <w:t>万元，2023年和静县巴伦台镇包格旦郭勒村牧道建设项目资金全部通过财政国库集中支付方式直接拨给项目实施单位。</w:t>
      </w:r>
      <w:r>
        <w:rPr>
          <w:rFonts w:hint="eastAsia"/>
          <w:color w:val="auto"/>
          <w:highlight w:val="none"/>
          <w:lang w:val="en-US" w:eastAsia="zh-CN"/>
        </w:rPr>
        <w:t>2023年巴伦台镇中央政法纪检监察支付资金0.58万元。全部通过财政国库集中支付方式直接拨给项目实施单位。自治区国有企业改革成本</w:t>
      </w:r>
      <w:r>
        <w:rPr>
          <w:rFonts w:hint="default"/>
          <w:color w:val="auto"/>
          <w:highlight w:val="none"/>
          <w:lang w:val="en-US" w:eastAsia="zh-CN"/>
        </w:rPr>
        <w:t>项目</w:t>
      </w:r>
      <w:r>
        <w:rPr>
          <w:rFonts w:hint="eastAsia"/>
          <w:color w:val="auto"/>
          <w:highlight w:val="none"/>
          <w:lang w:val="en-US" w:eastAsia="zh-CN"/>
        </w:rPr>
        <w:t>94.49万元，全部通过财政国库集中支付方式直接拨给企业退休职工、2023年包格旦郭勒村牧道建设</w:t>
      </w:r>
      <w:r>
        <w:rPr>
          <w:rFonts w:hint="default"/>
          <w:color w:val="auto"/>
          <w:highlight w:val="none"/>
          <w:lang w:val="en-US" w:eastAsia="zh-CN"/>
        </w:rPr>
        <w:t>项目</w:t>
      </w:r>
      <w:r>
        <w:rPr>
          <w:rFonts w:hint="eastAsia"/>
          <w:color w:val="auto"/>
          <w:highlight w:val="none"/>
          <w:lang w:val="en-US" w:eastAsia="zh-CN"/>
        </w:rPr>
        <w:t>185.05万元，全部通过财政国库集中支付方式直接拨给项目实施单位、巴伦台镇2013年干部周转宿舍建设项目（南桥社区）20万元，全部通过财政国库集中支付方式直接拨给项目实施单位。</w:t>
      </w:r>
    </w:p>
    <w:p w14:paraId="4AC82BC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560" w:firstLineChars="200"/>
        <w:textAlignment w:val="auto"/>
        <w:rPr>
          <w:rFonts w:hint="eastAsia"/>
          <w:color w:val="auto"/>
          <w:highlight w:val="none"/>
          <w:lang w:val="en-US" w:eastAsia="zh-CN"/>
        </w:rPr>
      </w:pPr>
      <w:r>
        <w:rPr>
          <w:rFonts w:hint="eastAsia" w:ascii="仿宋_GB2312" w:hAnsi="仿宋" w:cs="仿宋_GB2312"/>
          <w:b w:val="0"/>
          <w:bCs w:val="0"/>
          <w:color w:val="auto"/>
          <w:sz w:val="28"/>
          <w:szCs w:val="28"/>
          <w:highlight w:val="none"/>
          <w:rtl w:val="0"/>
          <w:lang w:val="en-US" w:eastAsia="zh-CN"/>
        </w:rPr>
        <w:t>（2）项目实施组织管理情况。我单位项目实施和资金使用分配坚持集体决策。通过该项目的实施，方便牧民出行、改善牧民牲畜转场、运输等条件，降低转场成本，提升转场时效，提高调节草场的使用率，有效防止草场过度放牧产生退化的现象，解决12户脱贫户牲畜安全转场和出行问题</w:t>
      </w:r>
      <w:r>
        <w:rPr>
          <w:rFonts w:hint="eastAsia" w:hAnsi="仿宋" w:cs="仿宋_GB2312"/>
          <w:b w:val="0"/>
          <w:bCs w:val="0"/>
          <w:color w:val="auto"/>
          <w:sz w:val="28"/>
          <w:szCs w:val="28"/>
          <w:highlight w:val="none"/>
          <w:rtl w:val="0"/>
          <w:lang w:val="en-US" w:eastAsia="zh-CN"/>
        </w:rPr>
        <w:t>，</w:t>
      </w:r>
      <w:r>
        <w:rPr>
          <w:rFonts w:hint="eastAsia"/>
          <w:color w:val="auto"/>
          <w:highlight w:val="none"/>
          <w:lang w:val="en-US" w:eastAsia="zh-CN"/>
        </w:rPr>
        <w:t>工作中突出重点，高标准规划、精细设计，抓好财政改革，进一步完善财政体制一是完成了乡财政体制建议方案，完善了我乡财务各项规章制度，进一步规范财政资金的使用，组织全乡机关、村、社区干部开展了财政相关法规、制度及2023年村</w:t>
      </w:r>
      <w:bookmarkStart w:id="6" w:name="_GoBack"/>
      <w:bookmarkEnd w:id="6"/>
      <w:r>
        <w:rPr>
          <w:rFonts w:hint="eastAsia"/>
          <w:color w:val="auto"/>
          <w:highlight w:val="none"/>
          <w:lang w:val="en-US" w:eastAsia="zh-CN"/>
        </w:rPr>
        <w:t>资金专题培训工作。二是加大内部监督力度，对我镇两个社区2023年1月-2023年10月财务收支及村级公共服务专项资金和2023年涉农资金进行监督检查。</w:t>
      </w:r>
      <w:r>
        <w:rPr>
          <w:rFonts w:hint="default"/>
          <w:color w:val="auto"/>
          <w:highlight w:val="none"/>
          <w:lang w:val="en-US" w:eastAsia="zh-CN"/>
        </w:rPr>
        <w:t>发放农村低保</w:t>
      </w:r>
      <w:r>
        <w:rPr>
          <w:rFonts w:hint="eastAsia"/>
          <w:color w:val="auto"/>
          <w:highlight w:val="none"/>
          <w:lang w:val="en-US" w:eastAsia="zh-CN"/>
        </w:rPr>
        <w:t>31.96</w:t>
      </w:r>
      <w:r>
        <w:rPr>
          <w:rFonts w:hint="default"/>
          <w:color w:val="auto"/>
          <w:highlight w:val="none"/>
          <w:lang w:val="en-US" w:eastAsia="zh-CN"/>
        </w:rPr>
        <w:t>万元、城市低保</w:t>
      </w:r>
      <w:r>
        <w:rPr>
          <w:rFonts w:hint="eastAsia"/>
          <w:color w:val="auto"/>
          <w:highlight w:val="none"/>
          <w:lang w:val="en-US" w:eastAsia="zh-CN"/>
        </w:rPr>
        <w:t>25.49</w:t>
      </w:r>
      <w:r>
        <w:rPr>
          <w:rFonts w:hint="default"/>
          <w:color w:val="auto"/>
          <w:highlight w:val="none"/>
          <w:lang w:val="en-US" w:eastAsia="zh-CN"/>
        </w:rPr>
        <w:t>万元，共计</w:t>
      </w:r>
      <w:r>
        <w:rPr>
          <w:rFonts w:hint="eastAsia"/>
          <w:color w:val="auto"/>
          <w:highlight w:val="none"/>
          <w:lang w:val="en-US" w:eastAsia="zh-CN"/>
        </w:rPr>
        <w:t>57.45</w:t>
      </w:r>
      <w:r>
        <w:rPr>
          <w:rFonts w:hint="default"/>
          <w:color w:val="auto"/>
          <w:highlight w:val="none"/>
          <w:lang w:val="en-US" w:eastAsia="zh-CN"/>
        </w:rPr>
        <w:t>万元；发放高龄津贴</w:t>
      </w:r>
      <w:r>
        <w:rPr>
          <w:rFonts w:hint="eastAsia"/>
          <w:color w:val="auto"/>
          <w:highlight w:val="none"/>
          <w:lang w:val="en-US" w:eastAsia="zh-CN"/>
        </w:rPr>
        <w:t>13.42</w:t>
      </w:r>
      <w:r>
        <w:rPr>
          <w:rFonts w:hint="default"/>
          <w:color w:val="auto"/>
          <w:highlight w:val="none"/>
          <w:lang w:val="en-US" w:eastAsia="zh-CN"/>
        </w:rPr>
        <w:t>万元，特困供养资金</w:t>
      </w:r>
      <w:r>
        <w:rPr>
          <w:rFonts w:hint="eastAsia"/>
          <w:color w:val="auto"/>
          <w:highlight w:val="none"/>
          <w:lang w:val="en-US" w:eastAsia="zh-CN"/>
        </w:rPr>
        <w:t>3.81</w:t>
      </w:r>
      <w:r>
        <w:rPr>
          <w:rFonts w:hint="default"/>
          <w:color w:val="auto"/>
          <w:highlight w:val="none"/>
          <w:lang w:val="en-US" w:eastAsia="zh-CN"/>
        </w:rPr>
        <w:t>万元，残疾人两项补贴资金</w:t>
      </w:r>
      <w:r>
        <w:rPr>
          <w:rFonts w:hint="eastAsia"/>
          <w:color w:val="auto"/>
          <w:highlight w:val="none"/>
          <w:lang w:val="en-US" w:eastAsia="zh-CN"/>
        </w:rPr>
        <w:t>12.37</w:t>
      </w:r>
      <w:r>
        <w:rPr>
          <w:rFonts w:hint="default"/>
          <w:color w:val="auto"/>
          <w:highlight w:val="none"/>
          <w:lang w:val="en-US" w:eastAsia="zh-CN"/>
        </w:rPr>
        <w:t>万元，临时救助1</w:t>
      </w:r>
      <w:r>
        <w:rPr>
          <w:rFonts w:hint="eastAsia"/>
          <w:color w:val="auto"/>
          <w:highlight w:val="none"/>
          <w:lang w:val="en-US" w:eastAsia="zh-CN"/>
        </w:rPr>
        <w:t>.6</w:t>
      </w:r>
      <w:r>
        <w:rPr>
          <w:rFonts w:hint="default"/>
          <w:color w:val="auto"/>
          <w:highlight w:val="none"/>
          <w:lang w:val="en-US" w:eastAsia="zh-CN"/>
        </w:rPr>
        <w:t>万元。</w:t>
      </w:r>
    </w:p>
    <w:p w14:paraId="6F580AC8">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3.政策、项目支出总体实际使用情况</w:t>
      </w:r>
    </w:p>
    <w:p w14:paraId="0C9CE96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560" w:firstLineChars="200"/>
        <w:textAlignment w:val="auto"/>
        <w:rPr>
          <w:rFonts w:hint="eastAsia" w:ascii="仿宋_GB2312" w:hAnsi="仿宋" w:cs="仿宋_GB2312"/>
          <w:b w:val="0"/>
          <w:bCs w:val="0"/>
          <w:color w:val="auto"/>
          <w:sz w:val="28"/>
          <w:szCs w:val="28"/>
          <w:highlight w:val="none"/>
          <w:rtl w:val="0"/>
          <w:lang w:val="en-US" w:eastAsia="zh-CN"/>
        </w:rPr>
      </w:pPr>
      <w:r>
        <w:rPr>
          <w:rFonts w:hint="eastAsia" w:ascii="仿宋_GB2312" w:hAnsi="仿宋" w:cs="仿宋_GB2312"/>
          <w:b w:val="0"/>
          <w:bCs w:val="0"/>
          <w:color w:val="auto"/>
          <w:sz w:val="28"/>
          <w:szCs w:val="28"/>
          <w:highlight w:val="none"/>
          <w:rtl w:val="0"/>
          <w:lang w:val="en-US" w:eastAsia="zh-CN"/>
        </w:rPr>
        <w:t>我单位2023年度安排项目支出资金358.23万元，实际支出358.23万元</w:t>
      </w:r>
      <w:r>
        <w:rPr>
          <w:rFonts w:hint="eastAsia" w:hAnsi="仿宋" w:cs="仿宋_GB2312"/>
          <w:b w:val="0"/>
          <w:bCs w:val="0"/>
          <w:color w:val="auto"/>
          <w:sz w:val="28"/>
          <w:szCs w:val="28"/>
          <w:highlight w:val="none"/>
          <w:rtl w:val="0"/>
          <w:lang w:val="en-US" w:eastAsia="zh-CN"/>
        </w:rPr>
        <w:t>，</w:t>
      </w:r>
      <w:r>
        <w:rPr>
          <w:rFonts w:hint="eastAsia" w:ascii="仿宋_GB2312" w:hAnsi="仿宋" w:cs="仿宋_GB2312"/>
          <w:b w:val="0"/>
          <w:bCs w:val="0"/>
          <w:color w:val="auto"/>
          <w:sz w:val="28"/>
          <w:szCs w:val="28"/>
          <w:highlight w:val="none"/>
          <w:rtl w:val="0"/>
          <w:lang w:val="en-US" w:eastAsia="zh-CN"/>
        </w:rPr>
        <w:t>其中：上级专项资金支出</w:t>
      </w:r>
      <w:r>
        <w:rPr>
          <w:rFonts w:hint="eastAsia" w:hAnsi="仿宋" w:cs="仿宋_GB2312"/>
          <w:b w:val="0"/>
          <w:bCs w:val="0"/>
          <w:color w:val="auto"/>
          <w:sz w:val="28"/>
          <w:szCs w:val="28"/>
          <w:highlight w:val="none"/>
          <w:rtl w:val="0"/>
          <w:lang w:val="en-US" w:eastAsia="zh-CN"/>
        </w:rPr>
        <w:t>185.63</w:t>
      </w:r>
      <w:r>
        <w:rPr>
          <w:rFonts w:hint="eastAsia" w:ascii="仿宋_GB2312" w:hAnsi="仿宋" w:cs="仿宋_GB2312"/>
          <w:b w:val="0"/>
          <w:bCs w:val="0"/>
          <w:color w:val="auto"/>
          <w:sz w:val="28"/>
          <w:szCs w:val="28"/>
          <w:highlight w:val="none"/>
          <w:rtl w:val="0"/>
          <w:lang w:val="en-US" w:eastAsia="zh-CN"/>
        </w:rPr>
        <w:t>万元，本级财政安排项目资金支出</w:t>
      </w:r>
      <w:r>
        <w:rPr>
          <w:rFonts w:hint="eastAsia" w:hAnsi="仿宋" w:cs="仿宋_GB2312"/>
          <w:b w:val="0"/>
          <w:bCs w:val="0"/>
          <w:color w:val="auto"/>
          <w:sz w:val="28"/>
          <w:szCs w:val="28"/>
          <w:highlight w:val="none"/>
          <w:rtl w:val="0"/>
          <w:lang w:val="en-US" w:eastAsia="zh-CN"/>
        </w:rPr>
        <w:t>172.6</w:t>
      </w:r>
      <w:r>
        <w:rPr>
          <w:rFonts w:hint="eastAsia" w:ascii="仿宋_GB2312" w:hAnsi="仿宋" w:cs="仿宋_GB2312"/>
          <w:b w:val="0"/>
          <w:bCs w:val="0"/>
          <w:color w:val="auto"/>
          <w:sz w:val="28"/>
          <w:szCs w:val="28"/>
          <w:highlight w:val="none"/>
          <w:rtl w:val="0"/>
          <w:lang w:val="en-US" w:eastAsia="zh-CN"/>
        </w:rPr>
        <w:t>万元，项目预算资金执行率100%。</w:t>
      </w:r>
      <w:bookmarkStart w:id="2" w:name="_Toc1734_WPSOffice_Level1"/>
    </w:p>
    <w:bookmarkEnd w:id="2"/>
    <w:p w14:paraId="1BEF903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560" w:firstLineChars="200"/>
        <w:textAlignment w:val="auto"/>
        <w:rPr>
          <w:rFonts w:hint="eastAsia"/>
          <w:color w:val="auto"/>
          <w:highlight w:val="none"/>
        </w:rPr>
      </w:pPr>
      <w:bookmarkStart w:id="3" w:name="_Toc13582_WPSOffice_Level1"/>
      <w:r>
        <w:rPr>
          <w:rFonts w:hint="eastAsia" w:ascii="仿宋_GB2312" w:hAnsi="仿宋" w:cs="仿宋_GB2312"/>
          <w:b w:val="0"/>
          <w:bCs w:val="0"/>
          <w:color w:val="auto"/>
          <w:sz w:val="28"/>
          <w:szCs w:val="28"/>
          <w:highlight w:val="none"/>
          <w:rtl w:val="0"/>
          <w:lang w:val="en-US" w:eastAsia="zh-CN"/>
        </w:rPr>
        <w:t>我单位2023年度支出主要内容</w:t>
      </w:r>
      <w:r>
        <w:rPr>
          <w:rFonts w:hint="eastAsia" w:hAnsi="仿宋" w:cs="仿宋_GB2312"/>
          <w:b w:val="0"/>
          <w:bCs w:val="0"/>
          <w:color w:val="auto"/>
          <w:sz w:val="28"/>
          <w:szCs w:val="28"/>
          <w:highlight w:val="none"/>
          <w:rtl w:val="0"/>
          <w:lang w:val="en-US" w:eastAsia="zh-CN"/>
        </w:rPr>
        <w:t>（</w:t>
      </w:r>
      <w:r>
        <w:rPr>
          <w:rFonts w:hint="eastAsia" w:ascii="仿宋_GB2312" w:hAnsi="仿宋" w:cs="仿宋_GB2312"/>
          <w:b w:val="0"/>
          <w:bCs w:val="0"/>
          <w:color w:val="auto"/>
          <w:sz w:val="28"/>
          <w:szCs w:val="28"/>
          <w:highlight w:val="none"/>
          <w:rtl w:val="0"/>
          <w:lang w:val="en-US" w:eastAsia="zh-CN"/>
        </w:rPr>
        <w:t>按功能分类</w:t>
      </w:r>
      <w:r>
        <w:rPr>
          <w:rFonts w:hint="eastAsia" w:hAnsi="仿宋" w:cs="仿宋_GB2312"/>
          <w:b w:val="0"/>
          <w:bCs w:val="0"/>
          <w:color w:val="auto"/>
          <w:sz w:val="28"/>
          <w:szCs w:val="28"/>
          <w:highlight w:val="none"/>
          <w:rtl w:val="0"/>
          <w:lang w:val="en-US" w:eastAsia="zh-CN"/>
        </w:rPr>
        <w:t>）：</w:t>
      </w:r>
      <w:r>
        <w:rPr>
          <w:rFonts w:hint="eastAsia" w:ascii="仿宋_GB2312" w:hAnsi="仿宋" w:cs="仿宋_GB2312"/>
          <w:b w:val="0"/>
          <w:bCs w:val="0"/>
          <w:color w:val="auto"/>
          <w:sz w:val="28"/>
          <w:szCs w:val="28"/>
          <w:highlight w:val="none"/>
          <w:rtl w:val="0"/>
          <w:lang w:val="en-US" w:eastAsia="zh-CN"/>
        </w:rPr>
        <w:t>2011199其他纪检监察事务支出0.58万元，2070199其他文化和旅游</w:t>
      </w:r>
      <w:r>
        <w:rPr>
          <w:rFonts w:hint="eastAsia"/>
          <w:color w:val="auto"/>
          <w:highlight w:val="none"/>
        </w:rPr>
        <w:t>支出3.98万元， 2130505生产发展</w:t>
      </w:r>
      <w:r>
        <w:rPr>
          <w:rFonts w:hint="eastAsia"/>
          <w:color w:val="auto"/>
          <w:highlight w:val="none"/>
          <w:lang w:val="en-US" w:eastAsia="zh-CN"/>
        </w:rPr>
        <w:t>支出185.05万元，2130705农村综合改革支出58.11万元，2080699其他企业改革发展帮助94.49万元，2130199其他农业农村支出20万元</w:t>
      </w:r>
      <w:r>
        <w:rPr>
          <w:rFonts w:hint="eastAsia"/>
          <w:color w:val="auto"/>
          <w:highlight w:val="none"/>
        </w:rPr>
        <w:t>。</w:t>
      </w:r>
    </w:p>
    <w:p w14:paraId="189E8539">
      <w:pPr>
        <w:pStyle w:val="4"/>
        <w:bidi w:val="0"/>
        <w:rPr>
          <w:rFonts w:hint="eastAsia" w:eastAsia="黑体"/>
          <w:color w:val="auto"/>
          <w:highlight w:val="none"/>
          <w:lang w:val="en-US" w:eastAsia="zh-CN"/>
        </w:rPr>
      </w:pPr>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40D07C00">
      <w:pPr>
        <w:ind w:firstLine="560"/>
        <w:rPr>
          <w:color w:val="auto"/>
          <w:highlight w:val="none"/>
        </w:rPr>
      </w:pPr>
      <w:r>
        <w:rPr>
          <w:rFonts w:hint="eastAsia"/>
          <w:color w:val="auto"/>
          <w:highlight w:val="none"/>
        </w:rPr>
        <w:t>我单位2023年度部门整体支出绩效目标，共设置一级指标5个，二级指标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个，其中已完成三级指标7个，指标完成率为100%。部门整体支出绩效情况如下：</w:t>
      </w:r>
    </w:p>
    <w:p w14:paraId="692E89BC">
      <w:pPr>
        <w:pStyle w:val="5"/>
        <w:spacing w:before="156"/>
        <w:ind w:firstLine="643"/>
        <w:rPr>
          <w:color w:val="auto"/>
          <w:highlight w:val="none"/>
        </w:rPr>
      </w:pPr>
      <w:r>
        <w:rPr>
          <w:rFonts w:hint="eastAsia"/>
          <w:color w:val="auto"/>
          <w:highlight w:val="none"/>
        </w:rPr>
        <w:t>（一）项目支出预算执行率指标完成情况分析</w:t>
      </w:r>
    </w:p>
    <w:p w14:paraId="31BC36C4">
      <w:pPr>
        <w:ind w:firstLine="560"/>
        <w:rPr>
          <w:color w:val="auto"/>
          <w:highlight w:val="none"/>
        </w:rPr>
      </w:pPr>
      <w:r>
        <w:rPr>
          <w:rFonts w:hint="eastAsia"/>
          <w:color w:val="auto"/>
          <w:highlight w:val="none"/>
        </w:rPr>
        <w:t>项目支出预算执行率指标年初设定目标是=100%，年中绩效运行监控时完成值</w:t>
      </w:r>
      <w:r>
        <w:rPr>
          <w:rFonts w:hint="eastAsia"/>
          <w:color w:val="auto"/>
          <w:highlight w:val="none"/>
          <w:lang w:val="en-US" w:eastAsia="zh-CN"/>
        </w:rPr>
        <w:t>76.69</w:t>
      </w:r>
      <w:r>
        <w:rPr>
          <w:rFonts w:hint="eastAsia"/>
          <w:color w:val="auto"/>
          <w:highlight w:val="none"/>
        </w:rPr>
        <w:t>%，年终实际完成值是100%，指标完成率是100%，</w:t>
      </w:r>
      <w:r>
        <w:rPr>
          <w:rFonts w:hint="eastAsia"/>
          <w:color w:val="auto"/>
          <w:highlight w:val="none"/>
          <w:lang w:val="en-US" w:eastAsia="zh-CN"/>
        </w:rPr>
        <w:t>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w:t>
      </w:r>
      <w:r>
        <w:rPr>
          <w:rFonts w:hint="eastAsia"/>
          <w:color w:val="auto"/>
          <w:highlight w:val="none"/>
        </w:rPr>
        <w:t>。偏差原因：无偏差。</w:t>
      </w:r>
    </w:p>
    <w:p w14:paraId="44CFADA8">
      <w:pPr>
        <w:pStyle w:val="5"/>
        <w:spacing w:before="156"/>
        <w:ind w:firstLine="643"/>
        <w:rPr>
          <w:color w:val="auto"/>
          <w:highlight w:val="none"/>
        </w:rPr>
      </w:pPr>
      <w:r>
        <w:rPr>
          <w:rFonts w:hint="eastAsia"/>
          <w:color w:val="auto"/>
          <w:highlight w:val="none"/>
        </w:rPr>
        <w:t>（</w:t>
      </w:r>
      <w:r>
        <w:rPr>
          <w:rFonts w:hint="eastAsia"/>
          <w:color w:val="auto"/>
          <w:highlight w:val="none"/>
          <w:lang w:val="en-US" w:eastAsia="zh-CN"/>
        </w:rPr>
        <w:t>二</w:t>
      </w:r>
      <w:r>
        <w:rPr>
          <w:rFonts w:hint="eastAsia"/>
          <w:color w:val="auto"/>
          <w:highlight w:val="none"/>
        </w:rPr>
        <w:t>）“三公经费”控制率指标完成情况分析</w:t>
      </w:r>
    </w:p>
    <w:p w14:paraId="0C8A47DA">
      <w:pPr>
        <w:ind w:firstLine="560"/>
        <w:rPr>
          <w:color w:val="auto"/>
          <w:highlight w:val="none"/>
        </w:rPr>
      </w:pPr>
      <w:r>
        <w:rPr>
          <w:rFonts w:hint="eastAsia"/>
          <w:color w:val="auto"/>
          <w:highlight w:val="none"/>
        </w:rPr>
        <w:t>“三公经费”控制率年初设定目标是=100%，年中绩效运行监控时完成值100，年终实际完成值是100%，指标完成率是100%，</w:t>
      </w:r>
      <w:r>
        <w:rPr>
          <w:rFonts w:hint="eastAsia"/>
          <w:color w:val="auto"/>
          <w:highlight w:val="none"/>
          <w:lang w:val="en-US" w:eastAsia="zh-CN"/>
        </w:rPr>
        <w:t>达到保障公车正常运转的预期目标</w:t>
      </w:r>
      <w:r>
        <w:rPr>
          <w:rFonts w:hint="eastAsia"/>
          <w:color w:val="auto"/>
          <w:highlight w:val="none"/>
        </w:rPr>
        <w:t>。偏差原因：无偏差。</w:t>
      </w:r>
    </w:p>
    <w:p w14:paraId="7EA260C4">
      <w:pPr>
        <w:pStyle w:val="5"/>
        <w:numPr>
          <w:ilvl w:val="0"/>
          <w:numId w:val="0"/>
        </w:numPr>
        <w:bidi w:val="0"/>
        <w:ind w:leftChars="200"/>
        <w:rPr>
          <w:color w:val="auto"/>
          <w:highlight w:val="none"/>
        </w:rPr>
      </w:pPr>
      <w:r>
        <w:rPr>
          <w:rFonts w:hint="eastAsia"/>
          <w:color w:val="auto"/>
          <w:highlight w:val="none"/>
          <w:lang w:eastAsia="zh-CN"/>
        </w:rPr>
        <w:t>（</w:t>
      </w:r>
      <w:r>
        <w:rPr>
          <w:rFonts w:hint="eastAsia"/>
          <w:color w:val="auto"/>
          <w:highlight w:val="none"/>
          <w:lang w:val="en-US" w:eastAsia="zh-CN"/>
        </w:rPr>
        <w:t>三）项目实施及时率指标完成情况分析</w:t>
      </w:r>
    </w:p>
    <w:p w14:paraId="251CCC61">
      <w:pPr>
        <w:ind w:firstLine="560"/>
        <w:rPr>
          <w:rFonts w:hint="eastAsia"/>
          <w:color w:val="auto"/>
          <w:highlight w:val="none"/>
        </w:rPr>
      </w:pPr>
      <w:r>
        <w:rPr>
          <w:rFonts w:hint="eastAsia"/>
          <w:color w:val="auto"/>
          <w:highlight w:val="none"/>
        </w:rPr>
        <w:t>项目实施及时率年初设定目标是≥95%，年中绩效运行监控时完成值95%，年终实际完成值是95%，指标完成率是100%，</w:t>
      </w:r>
      <w:r>
        <w:rPr>
          <w:rFonts w:hint="eastAsia"/>
          <w:color w:val="auto"/>
          <w:highlight w:val="none"/>
          <w:lang w:val="en-US" w:eastAsia="zh-CN"/>
        </w:rPr>
        <w:t>达到项目及时实施，能按期完成的预期目标</w:t>
      </w:r>
      <w:r>
        <w:rPr>
          <w:rFonts w:hint="eastAsia"/>
          <w:color w:val="auto"/>
          <w:highlight w:val="none"/>
        </w:rPr>
        <w:t>。偏差原因：无偏差。</w:t>
      </w:r>
    </w:p>
    <w:p w14:paraId="1F71E4BD">
      <w:pPr>
        <w:ind w:firstLine="56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四）保障职工数量指标完成</w:t>
      </w:r>
      <w:r>
        <w:rPr>
          <w:rFonts w:hint="eastAsia" w:ascii="楷体_GB2312" w:hAnsi="楷体_GB2312" w:eastAsia="楷体_GB2312" w:cs="楷体_GB2312"/>
          <w:b/>
          <w:bCs/>
          <w:color w:val="auto"/>
          <w:sz w:val="32"/>
          <w:szCs w:val="32"/>
          <w:highlight w:val="none"/>
        </w:rPr>
        <w:t>情况分析</w:t>
      </w:r>
    </w:p>
    <w:p w14:paraId="1F4DF872">
      <w:pPr>
        <w:ind w:firstLine="560"/>
        <w:rPr>
          <w:rFonts w:hint="eastAsia"/>
          <w:bCs/>
          <w:color w:val="auto"/>
          <w:highlight w:val="none"/>
        </w:rPr>
      </w:pPr>
      <w:r>
        <w:rPr>
          <w:rFonts w:hint="eastAsia"/>
          <w:bCs/>
          <w:color w:val="auto"/>
          <w:highlight w:val="none"/>
        </w:rPr>
        <w:t>保障职工数量年初设定目标是≤</w:t>
      </w:r>
      <w:r>
        <w:rPr>
          <w:rFonts w:hint="eastAsia"/>
          <w:bCs/>
          <w:color w:val="auto"/>
          <w:highlight w:val="none"/>
          <w:lang w:val="en-US" w:eastAsia="zh-CN"/>
        </w:rPr>
        <w:t>400</w:t>
      </w:r>
      <w:r>
        <w:rPr>
          <w:rFonts w:hint="eastAsia"/>
          <w:bCs/>
          <w:color w:val="auto"/>
          <w:highlight w:val="none"/>
        </w:rPr>
        <w:t>人，年中绩效运行监控时完成值</w:t>
      </w:r>
      <w:r>
        <w:rPr>
          <w:rFonts w:hint="eastAsia"/>
          <w:bCs/>
          <w:color w:val="auto"/>
          <w:highlight w:val="none"/>
          <w:lang w:val="en-US" w:eastAsia="zh-CN"/>
        </w:rPr>
        <w:t>400</w:t>
      </w:r>
      <w:r>
        <w:rPr>
          <w:rFonts w:hint="eastAsia"/>
          <w:bCs/>
          <w:color w:val="auto"/>
          <w:highlight w:val="none"/>
        </w:rPr>
        <w:t>人，年终实际完成值是</w:t>
      </w:r>
      <w:r>
        <w:rPr>
          <w:rFonts w:hint="eastAsia"/>
          <w:bCs/>
          <w:color w:val="auto"/>
          <w:highlight w:val="none"/>
          <w:lang w:val="en-US" w:eastAsia="zh-CN"/>
        </w:rPr>
        <w:t>400</w:t>
      </w:r>
      <w:r>
        <w:rPr>
          <w:rFonts w:hint="eastAsia"/>
          <w:bCs/>
          <w:color w:val="auto"/>
          <w:highlight w:val="none"/>
        </w:rPr>
        <w:t>人，指标完成率是100%，</w:t>
      </w:r>
      <w:r>
        <w:rPr>
          <w:rFonts w:hint="eastAsia"/>
          <w:color w:val="auto"/>
          <w:highlight w:val="none"/>
          <w:lang w:val="en-US" w:eastAsia="zh-CN"/>
        </w:rPr>
        <w:t>达到了单位在职职工工资的按时足额发放，单位的正常运转，广大干部职工工作积极性提高的预期目标</w:t>
      </w:r>
      <w:r>
        <w:rPr>
          <w:rFonts w:hint="eastAsia"/>
          <w:bCs/>
          <w:color w:val="auto"/>
          <w:highlight w:val="none"/>
        </w:rPr>
        <w:t>。偏差原因：无偏差。</w:t>
      </w:r>
    </w:p>
    <w:p w14:paraId="740B922C">
      <w:pPr>
        <w:pStyle w:val="5"/>
        <w:numPr>
          <w:ilvl w:val="0"/>
          <w:numId w:val="0"/>
        </w:numPr>
        <w:bidi w:val="0"/>
        <w:ind w:leftChars="200"/>
        <w:rPr>
          <w:rFonts w:hint="default" w:eastAsia="仿宋"/>
          <w:color w:val="auto"/>
          <w:highlight w:val="none"/>
          <w:lang w:val="en-US" w:eastAsia="zh-CN"/>
        </w:rPr>
      </w:pPr>
      <w:r>
        <w:rPr>
          <w:rFonts w:hint="eastAsia"/>
          <w:bCs/>
          <w:color w:val="auto"/>
          <w:highlight w:val="none"/>
          <w:lang w:eastAsia="zh-CN"/>
        </w:rPr>
        <w:t>（</w:t>
      </w:r>
      <w:r>
        <w:rPr>
          <w:rFonts w:hint="eastAsia"/>
          <w:bCs/>
          <w:color w:val="auto"/>
          <w:highlight w:val="none"/>
          <w:lang w:val="en-US" w:eastAsia="zh-CN"/>
        </w:rPr>
        <w:t>五）</w:t>
      </w:r>
      <w:r>
        <w:rPr>
          <w:rFonts w:hint="eastAsia"/>
          <w:color w:val="auto"/>
          <w:highlight w:val="none"/>
          <w:lang w:val="en-US" w:eastAsia="zh-CN"/>
        </w:rPr>
        <w:t>为民办实事件事指标完成情况分析</w:t>
      </w:r>
    </w:p>
    <w:p w14:paraId="2CAD6C34">
      <w:pPr>
        <w:ind w:firstLine="560"/>
        <w:rPr>
          <w:bCs/>
          <w:color w:val="auto"/>
          <w:highlight w:val="none"/>
        </w:rPr>
      </w:pPr>
      <w:r>
        <w:rPr>
          <w:rFonts w:hint="eastAsia"/>
          <w:bCs/>
          <w:color w:val="auto"/>
          <w:highlight w:val="none"/>
        </w:rPr>
        <w:t>为民</w:t>
      </w:r>
      <w:r>
        <w:rPr>
          <w:rFonts w:hint="eastAsia"/>
          <w:bCs/>
          <w:color w:val="auto"/>
          <w:highlight w:val="none"/>
          <w:lang w:eastAsia="zh-CN"/>
        </w:rPr>
        <w:t>办实事</w:t>
      </w:r>
      <w:r>
        <w:rPr>
          <w:rFonts w:hint="eastAsia"/>
          <w:bCs/>
          <w:color w:val="auto"/>
          <w:highlight w:val="none"/>
        </w:rPr>
        <w:t>数量年初设定目标是≥2</w:t>
      </w:r>
      <w:r>
        <w:rPr>
          <w:rFonts w:hint="eastAsia"/>
          <w:bCs/>
          <w:color w:val="auto"/>
          <w:highlight w:val="none"/>
          <w:lang w:val="en-US" w:eastAsia="zh-CN"/>
        </w:rPr>
        <w:t>0</w:t>
      </w:r>
      <w:r>
        <w:rPr>
          <w:rFonts w:hint="eastAsia"/>
          <w:bCs/>
          <w:color w:val="auto"/>
          <w:highlight w:val="none"/>
        </w:rPr>
        <w:t>件，年中绩效运行监控时完成值10件，年终实际完成值是</w:t>
      </w:r>
      <w:r>
        <w:rPr>
          <w:rFonts w:hint="eastAsia"/>
          <w:bCs/>
          <w:color w:val="auto"/>
          <w:highlight w:val="none"/>
          <w:lang w:val="en-US" w:eastAsia="zh-CN"/>
        </w:rPr>
        <w:t>20</w:t>
      </w:r>
      <w:r>
        <w:rPr>
          <w:rFonts w:hint="eastAsia"/>
          <w:bCs/>
          <w:color w:val="auto"/>
          <w:highlight w:val="none"/>
        </w:rPr>
        <w:t>件，指标完成率是</w:t>
      </w:r>
      <w:r>
        <w:rPr>
          <w:rFonts w:hint="eastAsia"/>
          <w:bCs/>
          <w:color w:val="auto"/>
          <w:highlight w:val="none"/>
          <w:lang w:val="en-US" w:eastAsia="zh-CN"/>
        </w:rPr>
        <w:t>100</w:t>
      </w:r>
      <w:r>
        <w:rPr>
          <w:rFonts w:hint="eastAsia"/>
          <w:bCs/>
          <w:color w:val="auto"/>
          <w:highlight w:val="none"/>
        </w:rPr>
        <w:t>%，</w:t>
      </w:r>
      <w:r>
        <w:rPr>
          <w:rFonts w:hint="eastAsia"/>
          <w:b w:val="0"/>
          <w:bCs w:val="0"/>
          <w:color w:val="auto"/>
          <w:highlight w:val="none"/>
          <w:lang w:val="en-US" w:eastAsia="zh-CN"/>
        </w:rPr>
        <w:t>达到了提升村、社区党组织服务群众能力，减轻农民负担</w:t>
      </w:r>
      <w:r>
        <w:rPr>
          <w:rFonts w:hint="eastAsia"/>
          <w:color w:val="auto"/>
          <w:highlight w:val="none"/>
          <w:lang w:val="en-US" w:eastAsia="zh-CN"/>
        </w:rPr>
        <w:t>预期目标</w:t>
      </w:r>
      <w:r>
        <w:rPr>
          <w:rFonts w:hint="eastAsia"/>
          <w:bCs/>
          <w:color w:val="auto"/>
          <w:highlight w:val="none"/>
        </w:rPr>
        <w:t>。偏差原因：无偏差。</w:t>
      </w:r>
    </w:p>
    <w:p w14:paraId="74778EC2">
      <w:pPr>
        <w:numPr>
          <w:ilvl w:val="0"/>
          <w:numId w:val="0"/>
        </w:numPr>
        <w:ind w:firstLine="643" w:firstLineChars="20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六）</w:t>
      </w:r>
      <w:r>
        <w:rPr>
          <w:rFonts w:hint="eastAsia" w:ascii="楷体_GB2312" w:hAnsi="楷体_GB2312" w:eastAsia="楷体_GB2312" w:cs="楷体_GB2312"/>
          <w:b/>
          <w:bCs/>
          <w:color w:val="auto"/>
          <w:sz w:val="32"/>
          <w:szCs w:val="32"/>
          <w:highlight w:val="none"/>
        </w:rPr>
        <w:t>农牧民夜校受益人数指标完成情况分析</w:t>
      </w:r>
    </w:p>
    <w:p w14:paraId="70EA60D5">
      <w:pPr>
        <w:ind w:firstLine="560"/>
        <w:rPr>
          <w:bCs/>
          <w:color w:val="auto"/>
          <w:highlight w:val="none"/>
        </w:rPr>
      </w:pPr>
      <w:r>
        <w:rPr>
          <w:rFonts w:hint="eastAsia"/>
          <w:bCs/>
          <w:color w:val="auto"/>
          <w:highlight w:val="none"/>
        </w:rPr>
        <w:t>农牧民夜校受益人数年初设定目标是≥</w:t>
      </w:r>
      <w:r>
        <w:rPr>
          <w:rFonts w:hint="eastAsia"/>
          <w:bCs/>
          <w:color w:val="auto"/>
          <w:highlight w:val="none"/>
          <w:lang w:val="en-US" w:eastAsia="zh-CN"/>
        </w:rPr>
        <w:t>240</w:t>
      </w:r>
      <w:r>
        <w:rPr>
          <w:rFonts w:hint="eastAsia"/>
          <w:bCs/>
          <w:color w:val="auto"/>
          <w:highlight w:val="none"/>
        </w:rPr>
        <w:t>人，年中绩效运行监控时完成值</w:t>
      </w:r>
      <w:r>
        <w:rPr>
          <w:rFonts w:hint="eastAsia"/>
          <w:bCs/>
          <w:color w:val="auto"/>
          <w:highlight w:val="none"/>
          <w:lang w:val="en-US" w:eastAsia="zh-CN"/>
        </w:rPr>
        <w:t>140</w:t>
      </w:r>
      <w:r>
        <w:rPr>
          <w:rFonts w:hint="eastAsia"/>
          <w:bCs/>
          <w:color w:val="auto"/>
          <w:highlight w:val="none"/>
        </w:rPr>
        <w:t>人，年终实际完成值是</w:t>
      </w:r>
      <w:r>
        <w:rPr>
          <w:rFonts w:hint="eastAsia"/>
          <w:bCs/>
          <w:color w:val="auto"/>
          <w:highlight w:val="none"/>
          <w:lang w:val="en-US" w:eastAsia="zh-CN"/>
        </w:rPr>
        <w:t>240</w:t>
      </w:r>
      <w:r>
        <w:rPr>
          <w:rFonts w:hint="eastAsia"/>
          <w:bCs/>
          <w:color w:val="auto"/>
          <w:highlight w:val="none"/>
        </w:rPr>
        <w:t>人，指标完成率是100%，达到</w:t>
      </w:r>
      <w:r>
        <w:rPr>
          <w:rFonts w:hint="eastAsia"/>
          <w:bCs/>
          <w:color w:val="auto"/>
          <w:highlight w:val="none"/>
          <w:lang w:val="en-US" w:eastAsia="zh-CN"/>
        </w:rPr>
        <w:t>牧民国语水平提高，法律意识，自我保护意识增强的</w:t>
      </w:r>
      <w:r>
        <w:rPr>
          <w:rFonts w:hint="eastAsia"/>
          <w:bCs/>
          <w:color w:val="auto"/>
          <w:highlight w:val="none"/>
        </w:rPr>
        <w:t>目标。偏差原因：无偏差。</w:t>
      </w:r>
    </w:p>
    <w:p w14:paraId="3F663017">
      <w:pPr>
        <w:pStyle w:val="5"/>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（七）干部职工满意度指标完成情况分析</w:t>
      </w:r>
    </w:p>
    <w:p w14:paraId="347F083B">
      <w:pPr>
        <w:ind w:firstLine="560"/>
        <w:rPr>
          <w:bCs/>
          <w:color w:val="auto"/>
          <w:highlight w:val="none"/>
        </w:rPr>
      </w:pPr>
      <w:r>
        <w:rPr>
          <w:rFonts w:hint="eastAsia"/>
          <w:bCs/>
          <w:color w:val="auto"/>
          <w:highlight w:val="none"/>
        </w:rPr>
        <w:t>干部职工满意度年初设定目标是≥95%，年中绩效运行监控时完成值未达监控节点，年终实际完成值是95%，指标完成率是100%，</w:t>
      </w:r>
      <w:r>
        <w:rPr>
          <w:rFonts w:hint="eastAsia"/>
          <w:color w:val="auto"/>
          <w:highlight w:val="none"/>
          <w:lang w:val="en-US" w:eastAsia="zh-CN"/>
        </w:rPr>
        <w:t>达到提高干部职工满意度，调动干部职工积极性预期目标</w:t>
      </w:r>
      <w:r>
        <w:rPr>
          <w:rFonts w:hint="eastAsia"/>
          <w:bCs/>
          <w:color w:val="auto"/>
          <w:highlight w:val="none"/>
        </w:rPr>
        <w:t>。偏差原因：无偏差。</w:t>
      </w:r>
    </w:p>
    <w:p w14:paraId="749D1926">
      <w:pPr>
        <w:pStyle w:val="4"/>
        <w:ind w:left="560" w:leftChars="200" w:firstLine="0" w:firstLineChars="0"/>
        <w:rPr>
          <w:color w:val="auto"/>
          <w:highlight w:val="none"/>
        </w:rPr>
      </w:pPr>
      <w:r>
        <w:rPr>
          <w:rFonts w:hint="eastAsia"/>
          <w:color w:val="auto"/>
          <w:highlight w:val="none"/>
        </w:rPr>
        <w:t>四、评价结论</w:t>
      </w:r>
    </w:p>
    <w:p w14:paraId="0CF63E44">
      <w:pPr>
        <w:ind w:firstLine="560"/>
        <w:rPr>
          <w:rFonts w:ascii="Times New Roman" w:hAnsi="Times New Roman" w:cs="Times New Roman"/>
          <w:color w:val="auto"/>
          <w:highlight w:val="none"/>
        </w:rPr>
      </w:pPr>
      <w:r>
        <w:rPr>
          <w:rFonts w:hint="eastAsia"/>
          <w:color w:val="auto"/>
          <w:highlight w:val="none"/>
        </w:rPr>
        <w:t>我单位2023年度部门整体支出绩效自评综合得分100分，评价结果为“优”。</w:t>
      </w:r>
      <w:r>
        <w:rPr>
          <w:rFonts w:hint="eastAsia" w:ascii="Times New Roman" w:hAnsi="Times New Roman" w:cs="Times New Roman"/>
          <w:color w:val="auto"/>
          <w:highlight w:val="none"/>
        </w:rPr>
        <w:t>我</w:t>
      </w:r>
      <w:r>
        <w:rPr>
          <w:rFonts w:ascii="Times New Roman" w:hAnsi="Times New Roman" w:cs="Times New Roman"/>
          <w:color w:val="auto"/>
          <w:highlight w:val="none"/>
        </w:rPr>
        <w:t>单位202</w:t>
      </w:r>
      <w:r>
        <w:rPr>
          <w:rFonts w:hint="eastAsia" w:ascii="Times New Roman" w:hAnsi="Times New Roman" w:cs="Times New Roman"/>
          <w:color w:val="auto"/>
          <w:highlight w:val="none"/>
        </w:rPr>
        <w:t>3</w:t>
      </w:r>
      <w:r>
        <w:rPr>
          <w:rFonts w:ascii="Times New Roman" w:hAnsi="Times New Roman" w:cs="Times New Roman"/>
          <w:color w:val="auto"/>
          <w:highlight w:val="none"/>
        </w:rPr>
        <w:t>年部门履职效果良好，</w:t>
      </w:r>
      <w:r>
        <w:rPr>
          <w:rFonts w:hint="eastAsia" w:ascii="Times New Roman" w:hAnsi="Times New Roman" w:cs="Times New Roman"/>
          <w:color w:val="auto"/>
          <w:highlight w:val="none"/>
        </w:rPr>
        <w:t>主要体现在：</w:t>
      </w:r>
    </w:p>
    <w:p w14:paraId="51ED371E">
      <w:pPr>
        <w:ind w:firstLine="560"/>
        <w:rPr>
          <w:rFonts w:hint="eastAsia"/>
          <w:bCs/>
          <w:color w:val="auto"/>
          <w:highlight w:val="none"/>
          <w:lang w:val="en-US" w:eastAsia="zh-CN"/>
        </w:rPr>
      </w:pPr>
      <w:bookmarkStart w:id="4" w:name="_Toc22800_WPSOffice_Level1"/>
      <w:r>
        <w:rPr>
          <w:rFonts w:hint="eastAsia"/>
          <w:bCs/>
          <w:color w:val="auto"/>
          <w:highlight w:val="none"/>
          <w:lang w:val="en-US" w:eastAsia="zh-CN"/>
        </w:rPr>
        <w:t>一是</w:t>
      </w:r>
      <w:r>
        <w:rPr>
          <w:rFonts w:hint="default"/>
          <w:bCs/>
          <w:color w:val="auto"/>
          <w:highlight w:val="none"/>
          <w:lang w:val="en-US" w:eastAsia="zh-CN"/>
        </w:rPr>
        <w:t>强化稳岗就业支持。突出抓好农村劳动力、就业困难人员等群体性就业，用好就业扶持政策，实现农村富余劳动力的有效转移</w:t>
      </w:r>
      <w:r>
        <w:rPr>
          <w:rFonts w:hint="eastAsia"/>
          <w:bCs/>
          <w:color w:val="auto"/>
          <w:highlight w:val="none"/>
          <w:lang w:val="en-US" w:eastAsia="zh-CN"/>
        </w:rPr>
        <w:t>。</w:t>
      </w:r>
      <w:r>
        <w:rPr>
          <w:rFonts w:hint="default"/>
          <w:bCs/>
          <w:color w:val="auto"/>
          <w:highlight w:val="none"/>
          <w:lang w:val="en-US" w:eastAsia="zh-CN"/>
        </w:rPr>
        <w:t>引导大中专毕业生就业和自主创业，加大就业培训力度，举办实用技术培训班培训乡村人口1</w:t>
      </w:r>
      <w:r>
        <w:rPr>
          <w:rFonts w:hint="eastAsia"/>
          <w:bCs/>
          <w:color w:val="auto"/>
          <w:highlight w:val="none"/>
          <w:lang w:val="en-US" w:eastAsia="zh-CN"/>
        </w:rPr>
        <w:t>79</w:t>
      </w:r>
      <w:r>
        <w:rPr>
          <w:rFonts w:hint="default"/>
          <w:bCs/>
          <w:color w:val="auto"/>
          <w:highlight w:val="none"/>
          <w:lang w:val="en-US" w:eastAsia="zh-CN"/>
        </w:rPr>
        <w:t>人，实现就业人员1419人</w:t>
      </w:r>
      <w:r>
        <w:rPr>
          <w:rFonts w:hint="eastAsia"/>
          <w:bCs/>
          <w:color w:val="auto"/>
          <w:highlight w:val="none"/>
          <w:lang w:val="en-US" w:eastAsia="zh-CN"/>
        </w:rPr>
        <w:t>，开展就业知识宣传</w:t>
      </w:r>
      <w:r>
        <w:rPr>
          <w:rFonts w:hint="default"/>
          <w:bCs/>
          <w:color w:val="auto"/>
          <w:highlight w:val="none"/>
          <w:lang w:val="en-US" w:eastAsia="zh-CN"/>
        </w:rPr>
        <w:t>60余次，</w:t>
      </w:r>
      <w:r>
        <w:rPr>
          <w:rFonts w:hint="eastAsia"/>
          <w:bCs/>
          <w:color w:val="auto"/>
          <w:highlight w:val="none"/>
          <w:lang w:val="en-US" w:eastAsia="zh-CN"/>
        </w:rPr>
        <w:t>发放</w:t>
      </w:r>
      <w:r>
        <w:rPr>
          <w:rFonts w:hint="default"/>
          <w:bCs/>
          <w:color w:val="auto"/>
          <w:highlight w:val="none"/>
          <w:lang w:val="en-US" w:eastAsia="zh-CN"/>
        </w:rPr>
        <w:t>宣传资料400余份</w:t>
      </w:r>
      <w:r>
        <w:rPr>
          <w:rFonts w:hint="eastAsia"/>
          <w:bCs/>
          <w:color w:val="auto"/>
          <w:highlight w:val="none"/>
          <w:lang w:val="en-US" w:eastAsia="zh-CN"/>
        </w:rPr>
        <w:t>，</w:t>
      </w:r>
      <w:r>
        <w:rPr>
          <w:rFonts w:hint="default"/>
          <w:bCs/>
          <w:color w:val="auto"/>
          <w:highlight w:val="none"/>
          <w:lang w:val="en-US" w:eastAsia="zh-CN"/>
        </w:rPr>
        <w:t>就业人员补贴26369.4元</w:t>
      </w:r>
      <w:r>
        <w:rPr>
          <w:rFonts w:hint="eastAsia"/>
          <w:bCs/>
          <w:color w:val="auto"/>
          <w:highlight w:val="none"/>
          <w:lang w:val="en-US" w:eastAsia="zh-CN"/>
        </w:rPr>
        <w:t>，</w:t>
      </w:r>
      <w:r>
        <w:rPr>
          <w:rFonts w:hint="default"/>
          <w:bCs/>
          <w:color w:val="auto"/>
          <w:highlight w:val="none"/>
          <w:lang w:val="en-US" w:eastAsia="zh-CN"/>
        </w:rPr>
        <w:t>就业援助金5000元</w:t>
      </w:r>
      <w:r>
        <w:rPr>
          <w:rFonts w:hint="eastAsia"/>
          <w:bCs/>
          <w:color w:val="auto"/>
          <w:highlight w:val="none"/>
          <w:lang w:val="en-US" w:eastAsia="zh-CN"/>
        </w:rPr>
        <w:t>，</w:t>
      </w:r>
      <w:r>
        <w:rPr>
          <w:rFonts w:hint="default"/>
          <w:bCs/>
          <w:color w:val="auto"/>
          <w:highlight w:val="none"/>
          <w:lang w:val="en-US" w:eastAsia="zh-CN"/>
        </w:rPr>
        <w:t>就业形势总体保持稳定。</w:t>
      </w:r>
      <w:r>
        <w:rPr>
          <w:rFonts w:hint="eastAsia"/>
          <w:bCs/>
          <w:color w:val="auto"/>
          <w:highlight w:val="none"/>
          <w:lang w:val="en-US" w:eastAsia="zh-CN"/>
        </w:rPr>
        <w:t>二是</w:t>
      </w:r>
      <w:r>
        <w:rPr>
          <w:rFonts w:hint="default"/>
          <w:bCs/>
          <w:color w:val="auto"/>
          <w:highlight w:val="none"/>
          <w:lang w:val="en-US" w:eastAsia="zh-CN"/>
        </w:rPr>
        <w:t>强化社会保障力度。</w:t>
      </w:r>
      <w:r>
        <w:rPr>
          <w:rFonts w:hint="eastAsia"/>
          <w:bCs/>
          <w:color w:val="auto"/>
          <w:highlight w:val="none"/>
          <w:lang w:val="en-US" w:eastAsia="zh-CN"/>
        </w:rPr>
        <w:t>持续</w:t>
      </w:r>
      <w:r>
        <w:rPr>
          <w:rFonts w:hint="default"/>
          <w:bCs/>
          <w:color w:val="auto"/>
          <w:highlight w:val="none"/>
          <w:lang w:val="en-US" w:eastAsia="zh-CN"/>
        </w:rPr>
        <w:t>稳步推进参保扩面工作，扎实推进全民参保计划认真做好城乡居民医疗保险、城乡居民养老保险工作，目前居民养老保险参保缴费1102人。医保一般户1221人，已完成缴费957人，</w:t>
      </w:r>
      <w:r>
        <w:rPr>
          <w:rFonts w:hint="eastAsia"/>
          <w:bCs/>
          <w:color w:val="auto"/>
          <w:highlight w:val="none"/>
          <w:lang w:val="en-US" w:eastAsia="zh-CN"/>
        </w:rPr>
        <w:t>核减264人，</w:t>
      </w:r>
      <w:r>
        <w:rPr>
          <w:rFonts w:hint="default"/>
          <w:bCs/>
          <w:color w:val="auto"/>
          <w:highlight w:val="none"/>
          <w:lang w:val="en-US" w:eastAsia="zh-CN"/>
        </w:rPr>
        <w:t>缴费进度为100%。做好城乡低保对象应保尽保工作，加强低保对象、农村五保户和困难弱势群体城乡居民基本医疗保险和“一站式”救助工作，加强临时救助，增强救助工作实效。发放农村低保</w:t>
      </w:r>
      <w:r>
        <w:rPr>
          <w:rFonts w:hint="eastAsia"/>
          <w:bCs/>
          <w:color w:val="auto"/>
          <w:highlight w:val="none"/>
          <w:lang w:val="en-US" w:eastAsia="zh-CN"/>
        </w:rPr>
        <w:t>31.96</w:t>
      </w:r>
      <w:r>
        <w:rPr>
          <w:rFonts w:hint="default"/>
          <w:bCs/>
          <w:color w:val="auto"/>
          <w:highlight w:val="none"/>
          <w:lang w:val="en-US" w:eastAsia="zh-CN"/>
        </w:rPr>
        <w:t>万元、城市低保</w:t>
      </w:r>
      <w:r>
        <w:rPr>
          <w:rFonts w:hint="eastAsia"/>
          <w:bCs/>
          <w:color w:val="auto"/>
          <w:highlight w:val="none"/>
          <w:lang w:val="en-US" w:eastAsia="zh-CN"/>
        </w:rPr>
        <w:t>25.49</w:t>
      </w:r>
      <w:r>
        <w:rPr>
          <w:rFonts w:hint="default"/>
          <w:bCs/>
          <w:color w:val="auto"/>
          <w:highlight w:val="none"/>
          <w:lang w:val="en-US" w:eastAsia="zh-CN"/>
        </w:rPr>
        <w:t>万元，共计</w:t>
      </w:r>
      <w:r>
        <w:rPr>
          <w:rFonts w:hint="eastAsia"/>
          <w:bCs/>
          <w:color w:val="auto"/>
          <w:highlight w:val="none"/>
          <w:lang w:val="en-US" w:eastAsia="zh-CN"/>
        </w:rPr>
        <w:t>57.45</w:t>
      </w:r>
      <w:r>
        <w:rPr>
          <w:rFonts w:hint="default"/>
          <w:bCs/>
          <w:color w:val="auto"/>
          <w:highlight w:val="none"/>
          <w:lang w:val="en-US" w:eastAsia="zh-CN"/>
        </w:rPr>
        <w:t>万元；发放高龄津贴</w:t>
      </w:r>
      <w:r>
        <w:rPr>
          <w:rFonts w:hint="eastAsia"/>
          <w:bCs/>
          <w:color w:val="auto"/>
          <w:highlight w:val="none"/>
          <w:lang w:val="en-US" w:eastAsia="zh-CN"/>
        </w:rPr>
        <w:t>13.42</w:t>
      </w:r>
      <w:r>
        <w:rPr>
          <w:rFonts w:hint="default"/>
          <w:bCs/>
          <w:color w:val="auto"/>
          <w:highlight w:val="none"/>
          <w:lang w:val="en-US" w:eastAsia="zh-CN"/>
        </w:rPr>
        <w:t>万元，特困供养资金</w:t>
      </w:r>
      <w:r>
        <w:rPr>
          <w:rFonts w:hint="eastAsia"/>
          <w:bCs/>
          <w:color w:val="auto"/>
          <w:highlight w:val="none"/>
          <w:lang w:val="en-US" w:eastAsia="zh-CN"/>
        </w:rPr>
        <w:t>3.81</w:t>
      </w:r>
      <w:r>
        <w:rPr>
          <w:rFonts w:hint="default"/>
          <w:bCs/>
          <w:color w:val="auto"/>
          <w:highlight w:val="none"/>
          <w:lang w:val="en-US" w:eastAsia="zh-CN"/>
        </w:rPr>
        <w:t>万元，残疾人两项补贴资金</w:t>
      </w:r>
      <w:r>
        <w:rPr>
          <w:rFonts w:hint="eastAsia"/>
          <w:bCs/>
          <w:color w:val="auto"/>
          <w:highlight w:val="none"/>
          <w:lang w:val="en-US" w:eastAsia="zh-CN"/>
        </w:rPr>
        <w:t>12.37</w:t>
      </w:r>
      <w:r>
        <w:rPr>
          <w:rFonts w:hint="default"/>
          <w:bCs/>
          <w:color w:val="auto"/>
          <w:highlight w:val="none"/>
          <w:lang w:val="en-US" w:eastAsia="zh-CN"/>
        </w:rPr>
        <w:t>万元，临时救助1</w:t>
      </w:r>
      <w:r>
        <w:rPr>
          <w:rFonts w:hint="eastAsia"/>
          <w:bCs/>
          <w:color w:val="auto"/>
          <w:highlight w:val="none"/>
          <w:lang w:val="en-US" w:eastAsia="zh-CN"/>
        </w:rPr>
        <w:t>.6</w:t>
      </w:r>
      <w:r>
        <w:rPr>
          <w:rFonts w:hint="default"/>
          <w:bCs/>
          <w:color w:val="auto"/>
          <w:highlight w:val="none"/>
          <w:lang w:val="en-US" w:eastAsia="zh-CN"/>
        </w:rPr>
        <w:t>万元。</w:t>
      </w:r>
      <w:r>
        <w:rPr>
          <w:rFonts w:hint="eastAsia"/>
          <w:bCs/>
          <w:color w:val="auto"/>
          <w:highlight w:val="none"/>
          <w:lang w:val="en-US" w:eastAsia="zh-CN"/>
        </w:rPr>
        <w:t>三是</w:t>
      </w:r>
      <w:r>
        <w:rPr>
          <w:rFonts w:hint="default"/>
          <w:bCs/>
          <w:color w:val="auto"/>
          <w:highlight w:val="none"/>
          <w:lang w:val="en-US" w:eastAsia="zh-CN"/>
        </w:rPr>
        <w:t>着力发展教育事业。义务教育稳步推进，</w:t>
      </w:r>
      <w:r>
        <w:rPr>
          <w:rFonts w:hint="eastAsia"/>
          <w:bCs/>
          <w:color w:val="auto"/>
          <w:highlight w:val="none"/>
          <w:lang w:val="en-US" w:eastAsia="zh-CN"/>
        </w:rPr>
        <w:t>签订控辍保学责任书一份，</w:t>
      </w:r>
      <w:r>
        <w:rPr>
          <w:rFonts w:hint="default"/>
          <w:bCs/>
          <w:color w:val="auto"/>
          <w:highlight w:val="none"/>
          <w:lang w:val="en-US" w:eastAsia="zh-CN"/>
        </w:rPr>
        <w:t>巩固农村学前教育发展成果，农村</w:t>
      </w:r>
      <w:r>
        <w:rPr>
          <w:rFonts w:hint="eastAsia"/>
          <w:bCs/>
          <w:color w:val="auto"/>
          <w:highlight w:val="none"/>
          <w:lang w:val="en-US" w:eastAsia="zh-CN"/>
        </w:rPr>
        <w:t>90名</w:t>
      </w:r>
      <w:r>
        <w:rPr>
          <w:rFonts w:hint="default"/>
          <w:bCs/>
          <w:color w:val="auto"/>
          <w:highlight w:val="none"/>
          <w:lang w:val="en-US" w:eastAsia="zh-CN"/>
        </w:rPr>
        <w:t>4-6岁儿童实现幼儿园免费入园“应入尽入”，实现</w:t>
      </w:r>
      <w:r>
        <w:rPr>
          <w:rFonts w:hint="eastAsia"/>
          <w:bCs/>
          <w:color w:val="auto"/>
          <w:highlight w:val="none"/>
          <w:lang w:val="en-US" w:eastAsia="zh-CN"/>
        </w:rPr>
        <w:t>279</w:t>
      </w:r>
      <w:r>
        <w:rPr>
          <w:rFonts w:hint="default"/>
          <w:bCs/>
          <w:color w:val="auto"/>
          <w:highlight w:val="none"/>
          <w:lang w:val="en-US" w:eastAsia="zh-CN"/>
        </w:rPr>
        <w:t>名农村适龄儿童青少年就学全覆盖，国家通用语言文字教学全覆盖</w:t>
      </w:r>
      <w:r>
        <w:rPr>
          <w:rFonts w:hint="eastAsia"/>
          <w:bCs/>
          <w:color w:val="auto"/>
          <w:highlight w:val="none"/>
          <w:lang w:val="en-US" w:eastAsia="zh-CN"/>
        </w:rPr>
        <w:t>，累计为12名疆内大学生发放助学金48000元，17名疆外大学生发放援疆助学金102000元，为33名大学生发放雨露计划助学金99000元，</w:t>
      </w:r>
      <w:r>
        <w:rPr>
          <w:rFonts w:hint="default"/>
          <w:bCs/>
          <w:color w:val="auto"/>
          <w:highlight w:val="none"/>
          <w:lang w:val="en-US" w:eastAsia="zh-CN"/>
        </w:rPr>
        <w:t>教育质量不断提升</w:t>
      </w:r>
      <w:r>
        <w:rPr>
          <w:rFonts w:hint="eastAsia"/>
          <w:bCs/>
          <w:color w:val="auto"/>
          <w:highlight w:val="none"/>
          <w:lang w:val="en-US" w:eastAsia="zh-CN"/>
        </w:rPr>
        <w:t>。</w:t>
      </w:r>
      <w:r>
        <w:rPr>
          <w:rFonts w:hint="default"/>
          <w:bCs/>
          <w:color w:val="auto"/>
          <w:highlight w:val="none"/>
          <w:lang w:val="en-US" w:eastAsia="zh-CN"/>
        </w:rPr>
        <w:t>救助资金15000元，累计帮助困难妇女儿童10人</w:t>
      </w:r>
      <w:r>
        <w:rPr>
          <w:rFonts w:hint="eastAsia"/>
          <w:bCs/>
          <w:color w:val="auto"/>
          <w:highlight w:val="none"/>
          <w:lang w:val="en-US" w:eastAsia="zh-CN"/>
        </w:rPr>
        <w:t>。四是</w:t>
      </w:r>
      <w:r>
        <w:rPr>
          <w:rFonts w:hint="default"/>
          <w:bCs/>
          <w:color w:val="auto"/>
          <w:highlight w:val="none"/>
          <w:lang w:val="en-US" w:eastAsia="zh-CN"/>
        </w:rPr>
        <w:t>着力提升疾病预警。持续开展城乡居民免费健康体检</w:t>
      </w:r>
      <w:r>
        <w:rPr>
          <w:rFonts w:hint="eastAsia"/>
          <w:bCs/>
          <w:color w:val="auto"/>
          <w:highlight w:val="none"/>
          <w:lang w:val="en-US" w:eastAsia="zh-CN"/>
        </w:rPr>
        <w:t>工作</w:t>
      </w:r>
      <w:r>
        <w:rPr>
          <w:rFonts w:hint="default"/>
          <w:bCs/>
          <w:color w:val="auto"/>
          <w:highlight w:val="none"/>
          <w:lang w:val="en-US" w:eastAsia="zh-CN"/>
        </w:rPr>
        <w:t>，</w:t>
      </w:r>
      <w:r>
        <w:rPr>
          <w:rFonts w:hint="eastAsia"/>
          <w:bCs/>
          <w:color w:val="auto"/>
          <w:highlight w:val="none"/>
          <w:lang w:val="en-US" w:eastAsia="zh-CN"/>
        </w:rPr>
        <w:t>积极动员辖区人口开展体检，</w:t>
      </w:r>
      <w:r>
        <w:rPr>
          <w:rFonts w:hint="default"/>
          <w:bCs/>
          <w:color w:val="auto"/>
          <w:highlight w:val="none"/>
          <w:lang w:val="en-US" w:eastAsia="zh-CN"/>
        </w:rPr>
        <w:t>体检人数</w:t>
      </w:r>
      <w:r>
        <w:rPr>
          <w:rFonts w:hint="eastAsia"/>
          <w:bCs/>
          <w:color w:val="auto"/>
          <w:highlight w:val="none"/>
          <w:lang w:val="en-US" w:eastAsia="zh-CN"/>
        </w:rPr>
        <w:t>2575</w:t>
      </w:r>
      <w:r>
        <w:rPr>
          <w:rFonts w:hint="default"/>
          <w:bCs/>
          <w:color w:val="auto"/>
          <w:highlight w:val="none"/>
          <w:lang w:val="en-US" w:eastAsia="zh-CN"/>
        </w:rPr>
        <w:t>人次，</w:t>
      </w:r>
      <w:r>
        <w:rPr>
          <w:rFonts w:hint="eastAsia"/>
          <w:bCs/>
          <w:color w:val="auto"/>
          <w:highlight w:val="none"/>
          <w:lang w:val="en-US" w:eastAsia="zh-CN"/>
        </w:rPr>
        <w:t>体检完成率85%，做到了</w:t>
      </w:r>
      <w:r>
        <w:rPr>
          <w:rFonts w:hint="default"/>
          <w:bCs/>
          <w:color w:val="auto"/>
          <w:highlight w:val="none"/>
          <w:lang w:val="en-US" w:eastAsia="zh-CN"/>
        </w:rPr>
        <w:t>对危害群众健康的各类疾病做到“早发现、早诊断、早预防、早治疗”。</w:t>
      </w:r>
      <w:r>
        <w:rPr>
          <w:rFonts w:hint="eastAsia"/>
          <w:bCs/>
          <w:color w:val="auto"/>
          <w:highlight w:val="none"/>
          <w:lang w:val="en-US" w:eastAsia="zh-CN"/>
        </w:rPr>
        <w:t>五是深入推进文化润心活动。镇机关及各村（社区）8支文艺小分队共计96人开展大型文体活动5场次（春晚、元宵社火、趣味运动会、那达慕大会、百日广场文化活动），惠及群众达4259余人次。村（社区）文化活动站开展活动72场次、群众2768余人。组织参加自治区长调培训2人次，更进一步加强了群众对非遗文化的传承和认同。开展“我们的中国梦·文化进万家”红色电影放映活动全镇共计放映24场次，惠及群众达504余人次。常态化开展阅读活动68场次，参与人数614余人次，惠及群众2492人次。六是持续做好草原奖补资金后续工作。积极引导辖区农牧民将草原生态奖补资金用于改善自身生产条件，落实草原生态补助奖励资金管理后续工作，切实858.58发挥资金使用效益。</w:t>
      </w:r>
    </w:p>
    <w:p w14:paraId="4EC1923D">
      <w:pPr>
        <w:ind w:firstLine="56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五、存在的主要问题</w:t>
      </w:r>
      <w:bookmarkEnd w:id="4"/>
      <w:r>
        <w:rPr>
          <w:rFonts w:hint="eastAsia" w:ascii="宋体" w:hAnsi="宋体" w:eastAsia="黑体" w:cs="仿宋_GB2312"/>
          <w:bCs/>
          <w:color w:val="auto"/>
          <w:kern w:val="44"/>
          <w:sz w:val="32"/>
          <w:szCs w:val="44"/>
          <w:highlight w:val="none"/>
          <w:lang w:val="en-US" w:eastAsia="zh-CN" w:bidi="ar-SA"/>
        </w:rPr>
        <w:t>及原因分析</w:t>
      </w:r>
    </w:p>
    <w:p w14:paraId="6526CB43">
      <w:pPr>
        <w:bidi w:val="0"/>
        <w:rPr>
          <w:rFonts w:hint="eastAsia"/>
          <w:color w:val="auto"/>
          <w:highlight w:val="none"/>
          <w:lang w:val="en-US" w:eastAsia="zh-CN"/>
        </w:rPr>
      </w:pPr>
      <w:bookmarkStart w:id="5" w:name="_Toc29546_WPSOffice_Level1"/>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14:paraId="7A6D501C">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6F61C3FE">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5"/>
    </w:p>
    <w:p w14:paraId="6127AB25">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533D7ECB">
      <w:pPr>
        <w:bidi w:val="0"/>
        <w:rPr>
          <w:rFonts w:hint="default"/>
          <w:color w:val="auto"/>
          <w:highlight w:val="none"/>
          <w:lang w:val="en-US" w:eastAsia="zh-CN"/>
        </w:rPr>
      </w:pPr>
      <w:r>
        <w:rPr>
          <w:rFonts w:hint="eastAsia"/>
          <w:color w:val="auto"/>
          <w:highlight w:val="none"/>
          <w:lang w:val="en-US" w:eastAsia="zh-CN"/>
        </w:rPr>
        <w:t>2、我单位严格遵守《中华人民共和国会计法》《中华人民共和国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14:paraId="3B09B570">
      <w:pPr>
        <w:pStyle w:val="4"/>
        <w:rPr>
          <w:color w:val="auto"/>
          <w:highlight w:val="none"/>
        </w:rPr>
      </w:pPr>
      <w:r>
        <w:rPr>
          <w:rFonts w:hint="eastAsia"/>
          <w:color w:val="auto"/>
          <w:highlight w:val="none"/>
        </w:rPr>
        <w:t>七、附件上传</w:t>
      </w:r>
    </w:p>
    <w:p w14:paraId="22ACFA43">
      <w:pPr>
        <w:ind w:firstLine="0" w:firstLineChars="0"/>
        <w:rPr>
          <w:color w:val="auto"/>
          <w:highlight w:val="none"/>
        </w:rPr>
      </w:pPr>
    </w:p>
    <w:p w14:paraId="4F0BC924">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F87BD">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1FE973DA">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1621358"/>
    <w:rsid w:val="134F7771"/>
    <w:rsid w:val="13E513B9"/>
    <w:rsid w:val="158C5316"/>
    <w:rsid w:val="15B904C0"/>
    <w:rsid w:val="165C118C"/>
    <w:rsid w:val="172D035F"/>
    <w:rsid w:val="175D58E3"/>
    <w:rsid w:val="17A05EE7"/>
    <w:rsid w:val="18061B60"/>
    <w:rsid w:val="190C3DF8"/>
    <w:rsid w:val="19AA4D08"/>
    <w:rsid w:val="19F83E30"/>
    <w:rsid w:val="1B403139"/>
    <w:rsid w:val="1C6D319F"/>
    <w:rsid w:val="1D384A93"/>
    <w:rsid w:val="1D4D74D6"/>
    <w:rsid w:val="1DE32CFD"/>
    <w:rsid w:val="1EC617DA"/>
    <w:rsid w:val="1F1A602A"/>
    <w:rsid w:val="1F2854B6"/>
    <w:rsid w:val="217D20CE"/>
    <w:rsid w:val="21C67E02"/>
    <w:rsid w:val="21C768CD"/>
    <w:rsid w:val="22E14253"/>
    <w:rsid w:val="23931BB2"/>
    <w:rsid w:val="23F209A3"/>
    <w:rsid w:val="2403516E"/>
    <w:rsid w:val="24E71FCC"/>
    <w:rsid w:val="256A2A9E"/>
    <w:rsid w:val="268967B9"/>
    <w:rsid w:val="27F7226E"/>
    <w:rsid w:val="2805537E"/>
    <w:rsid w:val="289437EE"/>
    <w:rsid w:val="297873DB"/>
    <w:rsid w:val="29F35E61"/>
    <w:rsid w:val="2A1323D3"/>
    <w:rsid w:val="2A285817"/>
    <w:rsid w:val="2B6F150A"/>
    <w:rsid w:val="2BB557CB"/>
    <w:rsid w:val="2BC51751"/>
    <w:rsid w:val="2C102145"/>
    <w:rsid w:val="2D166684"/>
    <w:rsid w:val="2EBF757D"/>
    <w:rsid w:val="2F9C0FE5"/>
    <w:rsid w:val="313A1C72"/>
    <w:rsid w:val="31927D00"/>
    <w:rsid w:val="31AE39CE"/>
    <w:rsid w:val="31B83F5F"/>
    <w:rsid w:val="328E2AB6"/>
    <w:rsid w:val="329B12EA"/>
    <w:rsid w:val="32FB1A54"/>
    <w:rsid w:val="33095634"/>
    <w:rsid w:val="331A3077"/>
    <w:rsid w:val="33291F9F"/>
    <w:rsid w:val="33A83F87"/>
    <w:rsid w:val="340D2D0F"/>
    <w:rsid w:val="348F1A9E"/>
    <w:rsid w:val="34E44F16"/>
    <w:rsid w:val="355C2B3F"/>
    <w:rsid w:val="356B4AF0"/>
    <w:rsid w:val="35F12468"/>
    <w:rsid w:val="36851B5C"/>
    <w:rsid w:val="37661A13"/>
    <w:rsid w:val="379871D0"/>
    <w:rsid w:val="37BA58BB"/>
    <w:rsid w:val="37D360CA"/>
    <w:rsid w:val="38925683"/>
    <w:rsid w:val="38CB5066"/>
    <w:rsid w:val="38E054C9"/>
    <w:rsid w:val="3A565DE9"/>
    <w:rsid w:val="3AC36A27"/>
    <w:rsid w:val="3B4A3407"/>
    <w:rsid w:val="3D0E4379"/>
    <w:rsid w:val="3D452349"/>
    <w:rsid w:val="3F301058"/>
    <w:rsid w:val="416C5B69"/>
    <w:rsid w:val="417A34F9"/>
    <w:rsid w:val="418810F4"/>
    <w:rsid w:val="41A37673"/>
    <w:rsid w:val="42503F5E"/>
    <w:rsid w:val="42C30950"/>
    <w:rsid w:val="43EF67C4"/>
    <w:rsid w:val="442F4F79"/>
    <w:rsid w:val="459B4F7E"/>
    <w:rsid w:val="45A65C7F"/>
    <w:rsid w:val="45F13359"/>
    <w:rsid w:val="468C2A4A"/>
    <w:rsid w:val="46AD2493"/>
    <w:rsid w:val="46EC7F14"/>
    <w:rsid w:val="47CA7D9C"/>
    <w:rsid w:val="47DB3D58"/>
    <w:rsid w:val="47ED63B7"/>
    <w:rsid w:val="480D0379"/>
    <w:rsid w:val="48194880"/>
    <w:rsid w:val="48AF4C7F"/>
    <w:rsid w:val="4A5B46DD"/>
    <w:rsid w:val="4A6F6A56"/>
    <w:rsid w:val="4A81677A"/>
    <w:rsid w:val="4B3B5348"/>
    <w:rsid w:val="4D87157C"/>
    <w:rsid w:val="4DA177B2"/>
    <w:rsid w:val="4DA370C6"/>
    <w:rsid w:val="4DF36D4F"/>
    <w:rsid w:val="501B7C76"/>
    <w:rsid w:val="504D5CCF"/>
    <w:rsid w:val="511A2CA6"/>
    <w:rsid w:val="52C2201C"/>
    <w:rsid w:val="5334256E"/>
    <w:rsid w:val="533A7469"/>
    <w:rsid w:val="53526129"/>
    <w:rsid w:val="538B4CD8"/>
    <w:rsid w:val="53A21BCD"/>
    <w:rsid w:val="54394F3D"/>
    <w:rsid w:val="565F61A9"/>
    <w:rsid w:val="56AD4B11"/>
    <w:rsid w:val="57232FC4"/>
    <w:rsid w:val="572D2326"/>
    <w:rsid w:val="57365691"/>
    <w:rsid w:val="58BF415E"/>
    <w:rsid w:val="58C435E9"/>
    <w:rsid w:val="59EE1E48"/>
    <w:rsid w:val="5A490F5C"/>
    <w:rsid w:val="5B805E16"/>
    <w:rsid w:val="5BD21464"/>
    <w:rsid w:val="5BDE2B83"/>
    <w:rsid w:val="5C777282"/>
    <w:rsid w:val="61635F72"/>
    <w:rsid w:val="618606C5"/>
    <w:rsid w:val="6224402D"/>
    <w:rsid w:val="6384067A"/>
    <w:rsid w:val="638D125E"/>
    <w:rsid w:val="6396333E"/>
    <w:rsid w:val="63E114D3"/>
    <w:rsid w:val="66344B68"/>
    <w:rsid w:val="6AD46D46"/>
    <w:rsid w:val="6B07083C"/>
    <w:rsid w:val="6B623CC4"/>
    <w:rsid w:val="6B6C65E0"/>
    <w:rsid w:val="6C2B67AC"/>
    <w:rsid w:val="6CB31465"/>
    <w:rsid w:val="6D7E3F36"/>
    <w:rsid w:val="6DE07909"/>
    <w:rsid w:val="6E58438A"/>
    <w:rsid w:val="6E7066F8"/>
    <w:rsid w:val="6E9D5508"/>
    <w:rsid w:val="6EC04139"/>
    <w:rsid w:val="6F871359"/>
    <w:rsid w:val="711B7F18"/>
    <w:rsid w:val="71EB22B3"/>
    <w:rsid w:val="72010FA6"/>
    <w:rsid w:val="733F48EB"/>
    <w:rsid w:val="73502B4A"/>
    <w:rsid w:val="73C44B02"/>
    <w:rsid w:val="74212849"/>
    <w:rsid w:val="744C1D4E"/>
    <w:rsid w:val="748A4F72"/>
    <w:rsid w:val="74961819"/>
    <w:rsid w:val="750202C6"/>
    <w:rsid w:val="75664078"/>
    <w:rsid w:val="761E4132"/>
    <w:rsid w:val="78061A79"/>
    <w:rsid w:val="79181486"/>
    <w:rsid w:val="7AF519FE"/>
    <w:rsid w:val="7AFE508C"/>
    <w:rsid w:val="7B2561EC"/>
    <w:rsid w:val="7BC003CA"/>
    <w:rsid w:val="7CBF4BB4"/>
    <w:rsid w:val="7DB23357"/>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200" w:firstLineChars="200"/>
    </w:pPr>
  </w:style>
  <w:style w:type="paragraph" w:styleId="3">
    <w:name w:val="Body Text"/>
    <w:basedOn w:val="1"/>
    <w:next w:val="2"/>
    <w:qFormat/>
    <w:uiPriority w:val="0"/>
    <w:pPr>
      <w:spacing w:before="240" w:after="240" w:line="360" w:lineRule="auto"/>
      <w:jc w:val="center"/>
    </w:pPr>
    <w:rPr>
      <w:b/>
      <w:sz w:val="44"/>
    </w:rPr>
  </w:style>
  <w:style w:type="paragraph" w:styleId="7">
    <w:name w:val="table of authorities"/>
    <w:basedOn w:val="1"/>
    <w:next w:val="1"/>
    <w:qFormat/>
    <w:uiPriority w:val="99"/>
    <w:pPr>
      <w:ind w:firstLine="640" w:firstLineChars="200"/>
    </w:pPr>
  </w:style>
  <w:style w:type="paragraph" w:styleId="8">
    <w:name w:val="Normal Indent"/>
    <w:basedOn w:val="1"/>
    <w:next w:val="9"/>
    <w:qFormat/>
    <w:uiPriority w:val="0"/>
    <w:pPr>
      <w:ind w:firstLine="420"/>
    </w:pPr>
    <w:rPr>
      <w:sz w:val="21"/>
    </w:rPr>
  </w:style>
  <w:style w:type="paragraph" w:styleId="9">
    <w:name w:val="toc 4"/>
    <w:basedOn w:val="1"/>
    <w:next w:val="1"/>
    <w:qFormat/>
    <w:uiPriority w:val="0"/>
    <w:pPr>
      <w:ind w:left="1260" w:leftChars="600"/>
    </w:pPr>
  </w:style>
  <w:style w:type="paragraph" w:styleId="10">
    <w:name w:val="annotation text"/>
    <w:basedOn w:val="1"/>
    <w:unhideWhenUsed/>
    <w:qFormat/>
    <w:uiPriority w:val="99"/>
    <w:pPr>
      <w:jc w:val="left"/>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1"/>
    <w:qFormat/>
    <w:uiPriority w:val="99"/>
    <w:rPr>
      <w:sz w:val="18"/>
      <w:szCs w:val="18"/>
    </w:rPr>
  </w:style>
  <w:style w:type="character" w:customStyle="1" w:styleId="25">
    <w:name w:val="页眉 字符"/>
    <w:basedOn w:val="20"/>
    <w:link w:val="12"/>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6056</Words>
  <Characters>6659</Characters>
  <Lines>7</Lines>
  <Paragraphs>2</Paragraphs>
  <TotalTime>39</TotalTime>
  <ScaleCrop>false</ScaleCrop>
  <LinksUpToDate>false</LinksUpToDate>
  <CharactersWithSpaces>6667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2024-11-22T04:30:11Z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2401C4138D9F4459A7CAEB61F9385C7E_13</vt:lpwstr>
  </property>
</Properties>
</file>