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798CDA">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14:paraId="4AB62BF2">
      <w:pPr>
        <w:pStyle w:val="2"/>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14:paraId="6FEA1BCC">
      <w:pPr>
        <w:pStyle w:val="3"/>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14:paraId="3890ED89">
      <w:pPr>
        <w:pStyle w:val="4"/>
        <w:bidi w:val="0"/>
        <w:rPr>
          <w:rFonts w:hint="eastAsia"/>
          <w:color w:val="auto"/>
          <w:highlight w:val="none"/>
          <w:lang w:val="en-US" w:eastAsia="zh-CN"/>
        </w:rPr>
      </w:pPr>
      <w:r>
        <w:rPr>
          <w:rFonts w:hint="eastAsia"/>
          <w:color w:val="auto"/>
          <w:highlight w:val="none"/>
          <w:lang w:val="en-US" w:eastAsia="zh-CN"/>
        </w:rPr>
        <w:t>1.部门主要职能</w:t>
      </w:r>
    </w:p>
    <w:p w14:paraId="2FF44295">
      <w:pPr>
        <w:pStyle w:val="15"/>
        <w:keepNext w:val="0"/>
        <w:keepLines w:val="0"/>
        <w:pageBreakBefore w:val="0"/>
        <w:widowControl/>
        <w:kinsoku/>
        <w:wordWrap/>
        <w:overflowPunct/>
        <w:topLinePunct w:val="0"/>
        <w:autoSpaceDE/>
        <w:autoSpaceDN/>
        <w:bidi w:val="0"/>
        <w:adjustRightInd/>
        <w:snapToGrid/>
        <w:spacing w:before="40" w:beforeAutospacing="0" w:after="0" w:afterAutospacing="0" w:line="560" w:lineRule="exact"/>
        <w:ind w:firstLine="560" w:firstLineChars="200"/>
        <w:jc w:val="both"/>
        <w:textAlignment w:val="auto"/>
        <w:rPr>
          <w:rFonts w:hint="eastAsia" w:ascii="仿宋_GB2312" w:hAnsi="仿宋_GB2312" w:eastAsia="仿宋" w:cs="仿宋_GB2312"/>
          <w:color w:val="auto"/>
          <w:kern w:val="2"/>
          <w:sz w:val="28"/>
          <w:szCs w:val="24"/>
          <w:highlight w:val="none"/>
          <w:lang w:val="en-US" w:eastAsia="zh-CN" w:bidi="ar-SA"/>
        </w:rPr>
      </w:pPr>
      <w:r>
        <w:rPr>
          <w:rFonts w:hint="eastAsia" w:ascii="仿宋_GB2312" w:hAnsi="仿宋_GB2312" w:eastAsia="仿宋" w:cs="仿宋_GB2312"/>
          <w:color w:val="auto"/>
          <w:kern w:val="2"/>
          <w:sz w:val="28"/>
          <w:szCs w:val="24"/>
          <w:highlight w:val="none"/>
          <w:lang w:val="en-US" w:eastAsia="zh-CN" w:bidi="ar-SA"/>
        </w:rPr>
        <w:t>和静县巴润哈尔莫敦镇人民政府在县委领导下，负责贯彻落实新时代党的组织路线</w:t>
      </w:r>
      <w:r>
        <w:rPr>
          <w:rFonts w:hint="eastAsia" w:cs="仿宋_GB2312"/>
          <w:color w:val="auto"/>
          <w:kern w:val="2"/>
          <w:sz w:val="28"/>
          <w:szCs w:val="24"/>
          <w:highlight w:val="none"/>
          <w:lang w:val="en-US" w:eastAsia="zh-CN" w:bidi="ar-SA"/>
        </w:rPr>
        <w:t>和以</w:t>
      </w:r>
      <w:r>
        <w:rPr>
          <w:rFonts w:hint="eastAsia" w:ascii="仿宋_GB2312" w:hAnsi="仿宋_GB2312" w:eastAsia="仿宋" w:cs="仿宋_GB2312"/>
          <w:color w:val="auto"/>
          <w:kern w:val="2"/>
          <w:sz w:val="28"/>
          <w:szCs w:val="24"/>
          <w:highlight w:val="none"/>
          <w:lang w:val="en-US" w:eastAsia="zh-CN" w:bidi="ar-SA"/>
        </w:rPr>
        <w:t>习近平同志为核心的党中央治疆方略、聚焦服务社会稳定和长治久安总目标，落实党中央、自治区党委、地委和县委关于组织体系、领导班子建设，领导干部队伍、公务员队伍、人才队伍、离退休干部建设的方针政策和决策部署。主要职责是：</w:t>
      </w:r>
    </w:p>
    <w:p w14:paraId="2D031DB4">
      <w:pPr>
        <w:pStyle w:val="15"/>
        <w:keepNext w:val="0"/>
        <w:keepLines w:val="0"/>
        <w:pageBreakBefore w:val="0"/>
        <w:widowControl/>
        <w:kinsoku/>
        <w:wordWrap/>
        <w:overflowPunct/>
        <w:topLinePunct w:val="0"/>
        <w:autoSpaceDE/>
        <w:autoSpaceDN/>
        <w:bidi w:val="0"/>
        <w:adjustRightInd/>
        <w:snapToGrid/>
        <w:spacing w:before="40" w:beforeAutospacing="0" w:after="0" w:afterAutospacing="0" w:line="560" w:lineRule="exact"/>
        <w:ind w:firstLine="560" w:firstLineChars="200"/>
        <w:jc w:val="both"/>
        <w:textAlignment w:val="auto"/>
        <w:rPr>
          <w:rFonts w:hint="eastAsia" w:ascii="仿宋_GB2312" w:hAnsi="仿宋_GB2312" w:eastAsia="仿宋" w:cs="仿宋_GB2312"/>
          <w:color w:val="auto"/>
          <w:kern w:val="2"/>
          <w:sz w:val="28"/>
          <w:szCs w:val="24"/>
          <w:highlight w:val="none"/>
          <w:lang w:val="en-US" w:eastAsia="zh-CN" w:bidi="ar-SA"/>
        </w:rPr>
      </w:pPr>
      <w:r>
        <w:rPr>
          <w:rFonts w:hint="eastAsia" w:ascii="仿宋_GB2312" w:hAnsi="仿宋_GB2312" w:eastAsia="仿宋" w:cs="仿宋_GB2312"/>
          <w:color w:val="auto"/>
          <w:kern w:val="2"/>
          <w:sz w:val="28"/>
          <w:szCs w:val="24"/>
          <w:highlight w:val="none"/>
          <w:lang w:val="en-US" w:eastAsia="zh-CN" w:bidi="ar-SA"/>
        </w:rPr>
        <w:t>（1）执行本级人民代表大会的决议和上级国家行政机关的决定和命令，发布决定和命令。</w:t>
      </w:r>
    </w:p>
    <w:p w14:paraId="0DFFD3B1">
      <w:pPr>
        <w:pStyle w:val="15"/>
        <w:keepNext w:val="0"/>
        <w:keepLines w:val="0"/>
        <w:pageBreakBefore w:val="0"/>
        <w:widowControl/>
        <w:kinsoku/>
        <w:wordWrap/>
        <w:overflowPunct/>
        <w:topLinePunct w:val="0"/>
        <w:autoSpaceDE/>
        <w:autoSpaceDN/>
        <w:bidi w:val="0"/>
        <w:adjustRightInd/>
        <w:snapToGrid/>
        <w:spacing w:before="40" w:beforeAutospacing="0" w:after="0" w:afterAutospacing="0" w:line="560" w:lineRule="exact"/>
        <w:ind w:firstLine="560" w:firstLineChars="200"/>
        <w:jc w:val="both"/>
        <w:textAlignment w:val="auto"/>
        <w:rPr>
          <w:rFonts w:hint="eastAsia" w:ascii="仿宋_GB2312" w:hAnsi="仿宋_GB2312" w:eastAsia="仿宋" w:cs="仿宋_GB2312"/>
          <w:color w:val="auto"/>
          <w:kern w:val="2"/>
          <w:sz w:val="28"/>
          <w:szCs w:val="24"/>
          <w:highlight w:val="none"/>
          <w:lang w:val="en-US" w:eastAsia="zh-CN" w:bidi="ar-SA"/>
        </w:rPr>
      </w:pPr>
      <w:r>
        <w:rPr>
          <w:rFonts w:hint="eastAsia" w:ascii="仿宋_GB2312" w:hAnsi="仿宋_GB2312" w:eastAsia="仿宋" w:cs="仿宋_GB2312"/>
          <w:color w:val="auto"/>
          <w:kern w:val="2"/>
          <w:sz w:val="28"/>
          <w:szCs w:val="24"/>
          <w:highlight w:val="none"/>
          <w:lang w:val="en-US" w:eastAsia="zh-CN" w:bidi="ar-SA"/>
        </w:rPr>
        <w:t>（2）执行本行政区域内的经济和社会发展计划，加强公共设施的建设和管理，发展各项服务事业。</w:t>
      </w:r>
    </w:p>
    <w:p w14:paraId="010971C9">
      <w:pPr>
        <w:pStyle w:val="15"/>
        <w:keepNext w:val="0"/>
        <w:keepLines w:val="0"/>
        <w:pageBreakBefore w:val="0"/>
        <w:widowControl/>
        <w:kinsoku/>
        <w:wordWrap/>
        <w:overflowPunct/>
        <w:topLinePunct w:val="0"/>
        <w:autoSpaceDE/>
        <w:autoSpaceDN/>
        <w:bidi w:val="0"/>
        <w:adjustRightInd/>
        <w:snapToGrid/>
        <w:spacing w:before="40" w:beforeAutospacing="0" w:after="0" w:afterAutospacing="0" w:line="560" w:lineRule="exact"/>
        <w:ind w:firstLine="560" w:firstLineChars="200"/>
        <w:jc w:val="both"/>
        <w:textAlignment w:val="auto"/>
        <w:rPr>
          <w:rFonts w:hint="eastAsia" w:ascii="仿宋_GB2312" w:hAnsi="仿宋_GB2312" w:eastAsia="仿宋" w:cs="仿宋_GB2312"/>
          <w:color w:val="auto"/>
          <w:kern w:val="2"/>
          <w:sz w:val="28"/>
          <w:szCs w:val="24"/>
          <w:highlight w:val="none"/>
          <w:lang w:val="en-US" w:eastAsia="zh-CN" w:bidi="ar-SA"/>
        </w:rPr>
      </w:pPr>
      <w:r>
        <w:rPr>
          <w:rFonts w:hint="eastAsia" w:ascii="仿宋_GB2312" w:hAnsi="仿宋_GB2312" w:eastAsia="仿宋" w:cs="仿宋_GB2312"/>
          <w:color w:val="auto"/>
          <w:kern w:val="2"/>
          <w:sz w:val="28"/>
          <w:szCs w:val="24"/>
          <w:highlight w:val="none"/>
          <w:lang w:val="en-US" w:eastAsia="zh-CN" w:bidi="ar-SA"/>
        </w:rPr>
        <w:t>（3）依法管理本级财政、执行本级预算。</w:t>
      </w:r>
    </w:p>
    <w:p w14:paraId="05CB7B75">
      <w:pPr>
        <w:pStyle w:val="15"/>
        <w:keepNext w:val="0"/>
        <w:keepLines w:val="0"/>
        <w:pageBreakBefore w:val="0"/>
        <w:widowControl/>
        <w:kinsoku/>
        <w:wordWrap/>
        <w:overflowPunct/>
        <w:topLinePunct w:val="0"/>
        <w:autoSpaceDE/>
        <w:autoSpaceDN/>
        <w:bidi w:val="0"/>
        <w:adjustRightInd/>
        <w:snapToGrid/>
        <w:spacing w:before="40" w:beforeAutospacing="0" w:after="0" w:afterAutospacing="0" w:line="560" w:lineRule="exact"/>
        <w:ind w:firstLine="560" w:firstLineChars="200"/>
        <w:jc w:val="both"/>
        <w:textAlignment w:val="auto"/>
        <w:rPr>
          <w:rFonts w:hint="eastAsia" w:ascii="仿宋_GB2312" w:hAnsi="仿宋_GB2312" w:eastAsia="仿宋" w:cs="仿宋_GB2312"/>
          <w:color w:val="auto"/>
          <w:kern w:val="2"/>
          <w:sz w:val="28"/>
          <w:szCs w:val="24"/>
          <w:highlight w:val="none"/>
          <w:lang w:val="en-US" w:eastAsia="zh-CN" w:bidi="ar-SA"/>
        </w:rPr>
      </w:pPr>
      <w:r>
        <w:rPr>
          <w:rFonts w:hint="eastAsia" w:ascii="仿宋_GB2312" w:hAnsi="仿宋_GB2312" w:eastAsia="仿宋" w:cs="仿宋_GB2312"/>
          <w:color w:val="auto"/>
          <w:kern w:val="2"/>
          <w:sz w:val="28"/>
          <w:szCs w:val="24"/>
          <w:highlight w:val="none"/>
          <w:lang w:val="en-US" w:eastAsia="zh-CN" w:bidi="ar-SA"/>
        </w:rPr>
        <w:t>（4）为农民提供有效的科技、教育、文化、信息、卫生、体育、医疗、人才开发、劳动就业、安全生产等方面的服务。</w:t>
      </w:r>
    </w:p>
    <w:p w14:paraId="64A4BC49">
      <w:pPr>
        <w:pStyle w:val="15"/>
        <w:keepNext w:val="0"/>
        <w:keepLines w:val="0"/>
        <w:pageBreakBefore w:val="0"/>
        <w:widowControl/>
        <w:kinsoku/>
        <w:wordWrap/>
        <w:overflowPunct/>
        <w:topLinePunct w:val="0"/>
        <w:autoSpaceDE/>
        <w:autoSpaceDN/>
        <w:bidi w:val="0"/>
        <w:adjustRightInd/>
        <w:snapToGrid/>
        <w:spacing w:before="40" w:beforeAutospacing="0" w:after="0" w:afterAutospacing="0" w:line="560" w:lineRule="exact"/>
        <w:ind w:firstLine="560" w:firstLineChars="200"/>
        <w:jc w:val="both"/>
        <w:textAlignment w:val="auto"/>
        <w:rPr>
          <w:rFonts w:hint="eastAsia" w:ascii="仿宋_GB2312" w:hAnsi="仿宋_GB2312" w:eastAsia="仿宋" w:cs="仿宋_GB2312"/>
          <w:color w:val="auto"/>
          <w:kern w:val="2"/>
          <w:sz w:val="28"/>
          <w:szCs w:val="24"/>
          <w:highlight w:val="none"/>
          <w:lang w:val="en-US" w:eastAsia="zh-CN" w:bidi="ar-SA"/>
        </w:rPr>
      </w:pPr>
      <w:r>
        <w:rPr>
          <w:rFonts w:hint="eastAsia" w:ascii="仿宋_GB2312" w:hAnsi="仿宋_GB2312" w:eastAsia="仿宋" w:cs="仿宋_GB2312"/>
          <w:color w:val="auto"/>
          <w:kern w:val="2"/>
          <w:sz w:val="28"/>
          <w:szCs w:val="24"/>
          <w:highlight w:val="none"/>
          <w:lang w:val="en-US" w:eastAsia="zh-CN" w:bidi="ar-SA"/>
        </w:rPr>
        <w:t>（5）保护国有资产和集体所有的财产，保护公民私人所有的合法财产、保障公民的人身权利、民主权利和其他权利，保护各种组织的合法权益。</w:t>
      </w:r>
    </w:p>
    <w:p w14:paraId="736373D0">
      <w:pPr>
        <w:pStyle w:val="15"/>
        <w:keepNext w:val="0"/>
        <w:keepLines w:val="0"/>
        <w:pageBreakBefore w:val="0"/>
        <w:widowControl/>
        <w:kinsoku/>
        <w:wordWrap/>
        <w:overflowPunct/>
        <w:topLinePunct w:val="0"/>
        <w:autoSpaceDE/>
        <w:autoSpaceDN/>
        <w:bidi w:val="0"/>
        <w:adjustRightInd/>
        <w:snapToGrid/>
        <w:spacing w:before="40" w:beforeAutospacing="0" w:after="0" w:afterAutospacing="0" w:line="560" w:lineRule="exact"/>
        <w:ind w:firstLine="560" w:firstLineChars="200"/>
        <w:jc w:val="both"/>
        <w:textAlignment w:val="auto"/>
        <w:rPr>
          <w:rFonts w:hint="eastAsia" w:ascii="仿宋_GB2312" w:hAnsi="仿宋_GB2312" w:eastAsia="仿宋" w:cs="仿宋_GB2312"/>
          <w:color w:val="auto"/>
          <w:kern w:val="2"/>
          <w:sz w:val="28"/>
          <w:szCs w:val="24"/>
          <w:highlight w:val="none"/>
          <w:lang w:val="en-US" w:eastAsia="zh-CN" w:bidi="ar-SA"/>
        </w:rPr>
      </w:pPr>
      <w:r>
        <w:rPr>
          <w:rFonts w:hint="eastAsia" w:ascii="仿宋_GB2312" w:hAnsi="仿宋_GB2312" w:eastAsia="仿宋" w:cs="仿宋_GB2312"/>
          <w:color w:val="auto"/>
          <w:kern w:val="2"/>
          <w:sz w:val="28"/>
          <w:szCs w:val="24"/>
          <w:highlight w:val="none"/>
          <w:lang w:val="en-US" w:eastAsia="zh-CN" w:bidi="ar-SA"/>
        </w:rPr>
        <w:t>（6）开展社会主义民主与法制教育，加强社会治安综合治理，调解民事纠纷，维护社会秩序。</w:t>
      </w:r>
    </w:p>
    <w:p w14:paraId="295819DB">
      <w:pPr>
        <w:pStyle w:val="15"/>
        <w:keepNext w:val="0"/>
        <w:keepLines w:val="0"/>
        <w:pageBreakBefore w:val="0"/>
        <w:widowControl/>
        <w:kinsoku/>
        <w:wordWrap/>
        <w:overflowPunct/>
        <w:topLinePunct w:val="0"/>
        <w:autoSpaceDE/>
        <w:autoSpaceDN/>
        <w:bidi w:val="0"/>
        <w:adjustRightInd/>
        <w:snapToGrid/>
        <w:spacing w:before="40" w:beforeAutospacing="0" w:after="0" w:afterAutospacing="0" w:line="560" w:lineRule="exact"/>
        <w:ind w:firstLine="560" w:firstLineChars="200"/>
        <w:jc w:val="both"/>
        <w:textAlignment w:val="auto"/>
        <w:rPr>
          <w:rFonts w:hint="eastAsia" w:ascii="仿宋_GB2312" w:hAnsi="仿宋_GB2312" w:eastAsia="仿宋" w:cs="仿宋_GB2312"/>
          <w:color w:val="auto"/>
          <w:kern w:val="2"/>
          <w:sz w:val="28"/>
          <w:szCs w:val="28"/>
          <w:highlight w:val="none"/>
          <w:lang w:val="en-US" w:eastAsia="zh-CN" w:bidi="ar-SA"/>
        </w:rPr>
      </w:pPr>
      <w:r>
        <w:rPr>
          <w:rFonts w:hint="eastAsia" w:ascii="仿宋_GB2312" w:hAnsi="仿宋_GB2312" w:eastAsia="仿宋" w:cs="仿宋_GB2312"/>
          <w:color w:val="auto"/>
          <w:kern w:val="2"/>
          <w:sz w:val="28"/>
          <w:szCs w:val="24"/>
          <w:highlight w:val="none"/>
          <w:lang w:val="en-US" w:eastAsia="zh-CN" w:bidi="ar-SA"/>
        </w:rPr>
        <w:t>（</w:t>
      </w:r>
      <w:r>
        <w:rPr>
          <w:rFonts w:hint="eastAsia" w:ascii="仿宋_GB2312" w:hAnsi="仿宋_GB2312" w:eastAsia="仿宋" w:cs="仿宋_GB2312"/>
          <w:color w:val="auto"/>
          <w:kern w:val="2"/>
          <w:sz w:val="28"/>
          <w:szCs w:val="28"/>
          <w:highlight w:val="none"/>
          <w:lang w:val="en-US" w:eastAsia="zh-CN" w:bidi="ar-SA"/>
        </w:rPr>
        <w:t>7）推行计划生育，控制人口增长，保护妇女、儿童和老人的合法权益。</w:t>
      </w:r>
    </w:p>
    <w:p w14:paraId="597B2607">
      <w:pPr>
        <w:pStyle w:val="15"/>
        <w:keepNext w:val="0"/>
        <w:keepLines w:val="0"/>
        <w:pageBreakBefore w:val="0"/>
        <w:widowControl/>
        <w:kinsoku/>
        <w:wordWrap/>
        <w:overflowPunct/>
        <w:topLinePunct w:val="0"/>
        <w:autoSpaceDE/>
        <w:autoSpaceDN/>
        <w:bidi w:val="0"/>
        <w:adjustRightInd/>
        <w:snapToGrid/>
        <w:spacing w:before="40" w:beforeAutospacing="0" w:after="0" w:afterAutospacing="0" w:line="480" w:lineRule="atLeast"/>
        <w:ind w:firstLine="560" w:firstLineChars="200"/>
        <w:jc w:val="both"/>
        <w:textAlignment w:val="auto"/>
        <w:rPr>
          <w:rFonts w:hint="eastAsia" w:ascii="仿宋_GB2312" w:hAnsi="仿宋_GB2312" w:eastAsia="仿宋" w:cs="仿宋_GB2312"/>
          <w:color w:val="auto"/>
          <w:kern w:val="2"/>
          <w:sz w:val="28"/>
          <w:szCs w:val="28"/>
          <w:highlight w:val="none"/>
          <w:lang w:val="en-US" w:eastAsia="zh-CN" w:bidi="ar-SA"/>
        </w:rPr>
      </w:pPr>
      <w:r>
        <w:rPr>
          <w:rFonts w:hint="eastAsia" w:ascii="仿宋_GB2312" w:hAnsi="仿宋_GB2312" w:eastAsia="仿宋" w:cs="仿宋_GB2312"/>
          <w:color w:val="auto"/>
          <w:kern w:val="2"/>
          <w:sz w:val="28"/>
          <w:szCs w:val="28"/>
          <w:highlight w:val="none"/>
          <w:lang w:val="en-US" w:eastAsia="zh-CN" w:bidi="ar-SA"/>
        </w:rPr>
        <w:t>（8）负责民政工作，发展社会福利事业，做好社会保障工作，办理兵役事项。</w:t>
      </w:r>
    </w:p>
    <w:p w14:paraId="3E902053">
      <w:pPr>
        <w:pStyle w:val="15"/>
        <w:keepNext w:val="0"/>
        <w:keepLines w:val="0"/>
        <w:pageBreakBefore w:val="0"/>
        <w:widowControl/>
        <w:kinsoku/>
        <w:wordWrap/>
        <w:overflowPunct/>
        <w:topLinePunct w:val="0"/>
        <w:autoSpaceDE/>
        <w:autoSpaceDN/>
        <w:bidi w:val="0"/>
        <w:adjustRightInd/>
        <w:snapToGrid/>
        <w:spacing w:before="40" w:beforeAutospacing="0" w:after="0" w:afterAutospacing="0" w:line="480" w:lineRule="atLeast"/>
        <w:ind w:firstLine="560" w:firstLineChars="200"/>
        <w:jc w:val="both"/>
        <w:textAlignment w:val="auto"/>
        <w:rPr>
          <w:rFonts w:hint="default" w:ascii="仿宋_GB2312" w:hAnsi="仿宋_GB2312" w:eastAsia="仿宋" w:cs="仿宋_GB2312"/>
          <w:color w:val="auto"/>
          <w:kern w:val="2"/>
          <w:sz w:val="28"/>
          <w:szCs w:val="28"/>
          <w:highlight w:val="none"/>
          <w:lang w:val="en-US" w:eastAsia="zh-CN" w:bidi="ar-SA"/>
        </w:rPr>
      </w:pPr>
      <w:r>
        <w:rPr>
          <w:rFonts w:hint="eastAsia" w:ascii="仿宋_GB2312" w:hAnsi="仿宋_GB2312" w:eastAsia="仿宋" w:cs="仿宋_GB2312"/>
          <w:color w:val="auto"/>
          <w:kern w:val="2"/>
          <w:sz w:val="28"/>
          <w:szCs w:val="28"/>
          <w:highlight w:val="none"/>
          <w:lang w:val="en-US" w:eastAsia="zh-CN" w:bidi="ar-SA"/>
        </w:rPr>
        <w:t>（9）承办上级人民政府交办的其他事项。</w:t>
      </w:r>
    </w:p>
    <w:p w14:paraId="1B729A52">
      <w:pPr>
        <w:pStyle w:val="4"/>
        <w:bidi w:val="0"/>
        <w:ind w:left="0" w:leftChars="0" w:firstLine="602" w:firstLineChars="200"/>
        <w:rPr>
          <w:rFonts w:hint="eastAsia"/>
          <w:color w:val="auto"/>
          <w:highlight w:val="none"/>
          <w:lang w:val="en-US" w:eastAsia="zh-CN"/>
        </w:rPr>
      </w:pPr>
      <w:r>
        <w:rPr>
          <w:rFonts w:hint="eastAsia"/>
          <w:color w:val="auto"/>
          <w:highlight w:val="none"/>
          <w:lang w:val="en-US" w:eastAsia="zh-CN"/>
        </w:rPr>
        <w:t>2.部门机构设置及人员构成</w:t>
      </w:r>
    </w:p>
    <w:p w14:paraId="2D9D2D8E">
      <w:pPr>
        <w:ind w:firstLine="560"/>
        <w:rPr>
          <w:rFonts w:hint="eastAsia"/>
          <w:color w:val="auto"/>
          <w:szCs w:val="28"/>
          <w:highlight w:val="none"/>
          <w:lang w:val="en-US" w:eastAsia="zh-CN"/>
        </w:rPr>
      </w:pPr>
      <w:r>
        <w:rPr>
          <w:rFonts w:hint="eastAsia"/>
          <w:color w:val="auto"/>
          <w:szCs w:val="28"/>
          <w:highlight w:val="none"/>
          <w:lang w:val="en-US" w:eastAsia="zh-CN"/>
        </w:rPr>
        <w:t>和静县巴润哈尔莫敦镇人民政府无下属预算单位，下设2个科室：和静县巴润哈尔莫敦镇党政办、和静县巴润哈尔莫敦镇计划生育办公室；下设6个中心、所，分别是：和静县巴润哈尔莫敦镇财政所、和静县巴润哈尔莫敦镇农牧业发展服务中心、和静县巴润哈尔莫敦镇民政社会保障服务中心、和静县巴润哈尔莫敦镇社区事业服务中心、和静县巴润哈尔莫敦镇文体广电服务中心、和静县巴润哈尔莫敦镇村镇规划建设发展中心。</w:t>
      </w:r>
    </w:p>
    <w:p w14:paraId="141463B3">
      <w:pPr>
        <w:ind w:firstLine="560"/>
        <w:rPr>
          <w:rFonts w:hint="eastAsia"/>
          <w:color w:val="auto"/>
          <w:highlight w:val="none"/>
          <w:lang w:val="en-US" w:eastAsia="zh-CN"/>
        </w:rPr>
      </w:pPr>
      <w:r>
        <w:rPr>
          <w:rFonts w:hint="eastAsia" w:ascii="Times New Roman" w:hAnsi="Times New Roman" w:cs="Times New Roman"/>
          <w:color w:val="auto"/>
          <w:highlight w:val="none"/>
          <w:lang w:val="en-US" w:eastAsia="zh-CN"/>
        </w:rPr>
        <w:t>和静县巴润哈尔莫敦镇人民政府</w:t>
      </w:r>
      <w:r>
        <w:rPr>
          <w:rFonts w:hint="eastAsia"/>
          <w:color w:val="auto"/>
          <w:szCs w:val="28"/>
          <w:highlight w:val="none"/>
        </w:rPr>
        <w:t>人员编制数共</w:t>
      </w:r>
      <w:r>
        <w:rPr>
          <w:rFonts w:hint="eastAsia"/>
          <w:color w:val="auto"/>
          <w:szCs w:val="28"/>
          <w:highlight w:val="none"/>
          <w:lang w:val="en-US" w:eastAsia="zh-CN"/>
        </w:rPr>
        <w:t>101</w:t>
      </w:r>
      <w:r>
        <w:rPr>
          <w:rFonts w:hint="eastAsia"/>
          <w:color w:val="auto"/>
          <w:szCs w:val="28"/>
          <w:highlight w:val="none"/>
        </w:rPr>
        <w:t>人，其中：行政编制</w:t>
      </w:r>
      <w:r>
        <w:rPr>
          <w:rFonts w:hint="eastAsia"/>
          <w:color w:val="auto"/>
          <w:szCs w:val="28"/>
          <w:highlight w:val="none"/>
          <w:lang w:val="en-US" w:eastAsia="zh-CN"/>
        </w:rPr>
        <w:t>36</w:t>
      </w:r>
      <w:r>
        <w:rPr>
          <w:rFonts w:hint="eastAsia"/>
          <w:color w:val="auto"/>
          <w:szCs w:val="28"/>
          <w:highlight w:val="none"/>
        </w:rPr>
        <w:t>人，事业编制</w:t>
      </w:r>
      <w:r>
        <w:rPr>
          <w:rFonts w:hint="eastAsia"/>
          <w:color w:val="auto"/>
          <w:szCs w:val="28"/>
          <w:highlight w:val="none"/>
          <w:lang w:val="en-US" w:eastAsia="zh-CN"/>
        </w:rPr>
        <w:t>61</w:t>
      </w:r>
      <w:r>
        <w:rPr>
          <w:rFonts w:hint="eastAsia"/>
          <w:color w:val="auto"/>
          <w:szCs w:val="28"/>
          <w:highlight w:val="none"/>
        </w:rPr>
        <w:t>人，工勤</w:t>
      </w:r>
      <w:r>
        <w:rPr>
          <w:rFonts w:hint="eastAsia"/>
          <w:color w:val="auto"/>
          <w:szCs w:val="28"/>
          <w:highlight w:val="none"/>
          <w:lang w:val="en-US" w:eastAsia="zh-CN"/>
        </w:rPr>
        <w:t>4</w:t>
      </w:r>
      <w:r>
        <w:rPr>
          <w:rFonts w:hint="eastAsia"/>
          <w:color w:val="auto"/>
          <w:szCs w:val="28"/>
          <w:highlight w:val="none"/>
        </w:rPr>
        <w:t>人。实有在职人数</w:t>
      </w:r>
      <w:r>
        <w:rPr>
          <w:rFonts w:hint="eastAsia"/>
          <w:color w:val="auto"/>
          <w:szCs w:val="28"/>
          <w:highlight w:val="none"/>
          <w:lang w:val="en-US" w:eastAsia="zh-CN"/>
        </w:rPr>
        <w:t>90</w:t>
      </w:r>
      <w:r>
        <w:rPr>
          <w:rFonts w:hint="eastAsia"/>
          <w:color w:val="auto"/>
          <w:szCs w:val="28"/>
          <w:highlight w:val="none"/>
        </w:rPr>
        <w:t>人，</w:t>
      </w:r>
      <w:r>
        <w:rPr>
          <w:rFonts w:hint="eastAsia"/>
          <w:color w:val="auto"/>
          <w:szCs w:val="28"/>
          <w:highlight w:val="none"/>
          <w:lang w:val="en-US" w:eastAsia="zh-CN"/>
        </w:rPr>
        <w:t>其他人员20人，遗属人数2人</w:t>
      </w:r>
      <w:r>
        <w:rPr>
          <w:rFonts w:hint="eastAsia"/>
          <w:color w:val="auto"/>
          <w:szCs w:val="28"/>
          <w:highlight w:val="none"/>
        </w:rPr>
        <w:t>，退休人员</w:t>
      </w:r>
      <w:r>
        <w:rPr>
          <w:rFonts w:hint="eastAsia"/>
          <w:color w:val="auto"/>
          <w:szCs w:val="28"/>
          <w:highlight w:val="none"/>
          <w:lang w:val="en-US" w:eastAsia="zh-CN"/>
        </w:rPr>
        <w:t>38</w:t>
      </w:r>
      <w:r>
        <w:rPr>
          <w:rFonts w:hint="eastAsia"/>
          <w:color w:val="auto"/>
          <w:szCs w:val="28"/>
          <w:highlight w:val="none"/>
        </w:rPr>
        <w:t>人。</w:t>
      </w:r>
    </w:p>
    <w:p w14:paraId="47EE0C73">
      <w:pPr>
        <w:pStyle w:val="3"/>
        <w:numPr>
          <w:ilvl w:val="0"/>
          <w:numId w:val="1"/>
        </w:numPr>
        <w:bidi w:val="0"/>
        <w:outlineLvl w:val="1"/>
        <w:rPr>
          <w:rFonts w:hint="eastAsia"/>
          <w:color w:val="auto"/>
          <w:highlight w:val="none"/>
          <w:lang w:val="en-US" w:eastAsia="zh-CN"/>
        </w:rPr>
      </w:pPr>
      <w:r>
        <w:rPr>
          <w:rFonts w:hint="eastAsia"/>
          <w:color w:val="auto"/>
          <w:highlight w:val="none"/>
          <w:lang w:val="en-US" w:eastAsia="zh-CN"/>
        </w:rPr>
        <w:t>部门单位年度重点工作</w:t>
      </w:r>
    </w:p>
    <w:p w14:paraId="2D4369F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黑体_GBK" w:hAnsi="方正黑体_GBK" w:eastAsia="方正黑体_GBK" w:cs="方正黑体_GBK"/>
          <w:color w:val="auto"/>
          <w:sz w:val="32"/>
          <w:szCs w:val="32"/>
          <w:highlight w:val="none"/>
          <w:lang w:val="en-US" w:eastAsia="zh-CN"/>
        </w:rPr>
      </w:pPr>
      <w:r>
        <w:rPr>
          <w:rFonts w:hint="eastAsia" w:ascii="方正黑体_GBK" w:hAnsi="方正黑体_GBK" w:eastAsia="方正黑体_GBK" w:cs="方正黑体_GBK"/>
          <w:color w:val="auto"/>
          <w:sz w:val="32"/>
          <w:szCs w:val="32"/>
          <w:highlight w:val="none"/>
          <w:lang w:val="en-US" w:eastAsia="zh-CN"/>
        </w:rPr>
        <w:t>一、扎实</w:t>
      </w:r>
      <w:r>
        <w:rPr>
          <w:rFonts w:hint="eastAsia" w:ascii="方正黑体_GBK" w:hAnsi="方正黑体_GBK" w:eastAsia="方正黑体_GBK" w:cs="方正黑体_GBK"/>
          <w:color w:val="auto"/>
          <w:sz w:val="32"/>
          <w:szCs w:val="32"/>
          <w:highlight w:val="none"/>
        </w:rPr>
        <w:t>开展学习</w:t>
      </w:r>
      <w:r>
        <w:rPr>
          <w:rFonts w:hint="eastAsia" w:ascii="方正黑体_GBK" w:hAnsi="方正黑体_GBK" w:eastAsia="方正黑体_GBK" w:cs="方正黑体_GBK"/>
          <w:color w:val="auto"/>
          <w:sz w:val="32"/>
          <w:szCs w:val="32"/>
          <w:highlight w:val="none"/>
          <w:lang w:eastAsia="zh-CN"/>
        </w:rPr>
        <w:t>活动</w:t>
      </w:r>
    </w:p>
    <w:p w14:paraId="5DCAF1A5">
      <w:pPr>
        <w:ind w:firstLine="560"/>
        <w:rPr>
          <w:rFonts w:hint="eastAsia"/>
          <w:color w:val="auto"/>
          <w:szCs w:val="28"/>
          <w:highlight w:val="none"/>
          <w:lang w:val="en-US" w:eastAsia="zh-CN"/>
        </w:rPr>
      </w:pPr>
      <w:r>
        <w:rPr>
          <w:rFonts w:hint="eastAsia"/>
          <w:color w:val="auto"/>
          <w:szCs w:val="28"/>
          <w:highlight w:val="none"/>
          <w:lang w:val="en-US" w:eastAsia="zh-CN"/>
        </w:rPr>
        <w:t>坚持不懈用习近平新时代中国特色社会主义思想凝心铸魂，切实加强党的思想建设，推动党员干部更加深刻领悟“两个确立”的决定性意义，更加自觉增强“四个意识”、坚定“四个自信”、做到“两个维护”，严格按照方案开展学习教育活动，对做得不到位的单位和个人加强督查，确保全镇活动开展扎实、有效；做好查摆问题、开展批评等工作，达到帮助同志、增进团结、促进工作的目的；将边查边改的要求贯穿活动始终，着力解决镇村干部中存在的大局观念不强、责任意识淡化、作风纪律涣散等突出问题，引导党员干部心往一处想、劲往一处使，打造一支廉洁勤政、务实高效的镇村干部队伍。</w:t>
      </w:r>
    </w:p>
    <w:p w14:paraId="199D25FF">
      <w:pPr>
        <w:ind w:firstLine="560"/>
        <w:rPr>
          <w:rFonts w:hint="default"/>
          <w:color w:val="auto"/>
          <w:szCs w:val="28"/>
          <w:highlight w:val="none"/>
          <w:lang w:val="en-US" w:eastAsia="zh-CN"/>
        </w:rPr>
      </w:pPr>
      <w:r>
        <w:rPr>
          <w:rFonts w:hint="eastAsia"/>
          <w:color w:val="auto"/>
          <w:szCs w:val="28"/>
          <w:highlight w:val="none"/>
          <w:lang w:val="en-US" w:eastAsia="zh-CN"/>
        </w:rPr>
        <w:t>二、强化底线思维，筑牢长治久安根基</w:t>
      </w:r>
    </w:p>
    <w:p w14:paraId="25902220">
      <w:pPr>
        <w:ind w:firstLine="560"/>
        <w:rPr>
          <w:rFonts w:hint="eastAsia"/>
          <w:color w:val="auto"/>
          <w:szCs w:val="28"/>
          <w:highlight w:val="none"/>
          <w:lang w:val="en-US" w:eastAsia="zh-CN"/>
        </w:rPr>
      </w:pPr>
      <w:r>
        <w:rPr>
          <w:rFonts w:hint="eastAsia"/>
          <w:color w:val="auto"/>
          <w:szCs w:val="28"/>
          <w:highlight w:val="none"/>
          <w:lang w:val="en-US" w:eastAsia="zh-CN"/>
        </w:rPr>
        <w:t>牢固树立统筹发展和安全的工作导向，从严落实维稳措施，着力解决影响社会稳定的矛盾纠纷问题，确保社会大局持续长期稳定。持续加强法治政府建设，深入贯彻习近平法治思想，严格落实“八五”普法规划，依托“法治宣传月”、宪法宣传、国家安全宣传等活动载体，大力弘扬法治精神，加大法治宣传教育，不断提高各级干部依法履职、依法办事能力。持续深化严打斗争，保持严打高压威慑状态不动摇，构建我镇网格化服务指挥体系，形成“网格化布控、精细化防控、信息化支撑”的维稳工作全覆盖机制。制定偏远散区域清山巡逻方案，常态化开展清山活动，实时掌握偏远散区域动态；稳步推行流动人口服务管理和“两头抓、双向管”工作机制，针对人员流动性大的企业、工地等区域实行定期走访、动态管理。</w:t>
      </w:r>
    </w:p>
    <w:p w14:paraId="72271E44">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方正黑体_GBK" w:hAnsi="方正黑体_GBK" w:eastAsia="方正黑体_GBK" w:cs="方正黑体_GBK"/>
          <w:color w:val="auto"/>
          <w:sz w:val="32"/>
          <w:szCs w:val="32"/>
          <w:highlight w:val="none"/>
          <w:lang w:val="en-US" w:eastAsia="zh-CN"/>
        </w:rPr>
      </w:pPr>
      <w:r>
        <w:rPr>
          <w:rFonts w:hint="eastAsia" w:ascii="方正黑体_GBK" w:hAnsi="方正黑体_GBK" w:eastAsia="方正黑体_GBK" w:cs="方正黑体_GBK"/>
          <w:color w:val="auto"/>
          <w:sz w:val="32"/>
          <w:szCs w:val="32"/>
          <w:highlight w:val="none"/>
          <w:lang w:val="en-US" w:eastAsia="zh-CN"/>
        </w:rPr>
        <w:t>二、多措并举，铸牢中华民族共同体意识</w:t>
      </w:r>
    </w:p>
    <w:p w14:paraId="4F421935">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color w:val="auto"/>
          <w:szCs w:val="28"/>
          <w:highlight w:val="none"/>
          <w:lang w:val="en-US" w:eastAsia="zh-CN"/>
        </w:rPr>
      </w:pPr>
      <w:r>
        <w:rPr>
          <w:rFonts w:hint="eastAsia"/>
          <w:color w:val="auto"/>
          <w:szCs w:val="28"/>
          <w:highlight w:val="none"/>
          <w:lang w:val="en-US" w:eastAsia="zh-CN"/>
        </w:rPr>
        <w:t>坚持不懈地用习近平新时代中国特色社会主义思想武装干部、教育群众，引导各族群众以铸牢中华民族共同体意识为己任，切实履行宪法赋予的维护民族团结的义务，全面贯彻党的民族政策，积极推进“民族团结一家亲”活动，教育引导各族群众牢固树立“三个离不开”思想，增强“五个认同”。深入实施文化润疆工程，落实文化润疆“九大任务”“八大工程”，广泛开展社会主义核心价值观宣传教育，严格落实意识形态领域工作责任制，聚焦教师讲台、网络空间、文化阵地，常态化开展巡察督查。</w:t>
      </w:r>
    </w:p>
    <w:p w14:paraId="7548352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黑体_GBK" w:hAnsi="方正黑体_GBK" w:eastAsia="方正黑体_GBK" w:cs="方正黑体_GBK"/>
          <w:color w:val="auto"/>
          <w:sz w:val="32"/>
          <w:szCs w:val="32"/>
          <w:highlight w:val="none"/>
          <w:lang w:val="en-US" w:eastAsia="zh-CN"/>
        </w:rPr>
      </w:pPr>
      <w:r>
        <w:rPr>
          <w:rFonts w:hint="eastAsia" w:ascii="方正黑体_GBK" w:hAnsi="方正黑体_GBK" w:eastAsia="方正黑体_GBK" w:cs="方正黑体_GBK"/>
          <w:color w:val="auto"/>
          <w:sz w:val="32"/>
          <w:szCs w:val="32"/>
          <w:highlight w:val="none"/>
          <w:lang w:val="en-US" w:eastAsia="zh-CN"/>
        </w:rPr>
        <w:t>三、加快转型发展，推进产业提档升级</w:t>
      </w:r>
    </w:p>
    <w:p w14:paraId="59139000">
      <w:pPr>
        <w:pageBreakBefore w:val="0"/>
        <w:widowControl w:val="0"/>
        <w:numPr>
          <w:ilvl w:val="0"/>
          <w:numId w:val="2"/>
        </w:numPr>
        <w:pBdr>
          <w:top w:val="none" w:color="000000" w:sz="0" w:space="0"/>
          <w:left w:val="none" w:color="000000" w:sz="0" w:space="31"/>
          <w:bottom w:val="none" w:color="000000" w:sz="0" w:space="31"/>
          <w:right w:val="none" w:color="000000" w:sz="0" w:space="0"/>
        </w:pBdr>
        <w:kinsoku/>
        <w:wordWrap/>
        <w:overflowPunct/>
        <w:topLinePunct w:val="0"/>
        <w:autoSpaceDE/>
        <w:autoSpaceDN w:val="0"/>
        <w:bidi w:val="0"/>
        <w:adjustRightInd/>
        <w:snapToGrid/>
        <w:spacing w:line="560" w:lineRule="exact"/>
        <w:ind w:left="0" w:leftChars="0" w:firstLine="640" w:firstLineChars="200"/>
        <w:jc w:val="both"/>
        <w:textAlignment w:val="auto"/>
        <w:outlineLvl w:val="9"/>
        <w:rPr>
          <w:rFonts w:hint="default"/>
          <w:color w:val="auto"/>
          <w:szCs w:val="28"/>
          <w:highlight w:val="none"/>
          <w:lang w:val="en-US" w:eastAsia="zh-CN"/>
        </w:rPr>
      </w:pPr>
      <w:r>
        <w:rPr>
          <w:rFonts w:hint="eastAsia" w:ascii="方正楷体_GBK" w:hAnsi="方正楷体_GBK" w:eastAsia="方正楷体_GBK" w:cs="方正楷体_GBK"/>
          <w:color w:val="auto"/>
          <w:sz w:val="32"/>
          <w:szCs w:val="32"/>
          <w:highlight w:val="none"/>
          <w:lang w:val="en-US" w:eastAsia="zh-CN"/>
        </w:rPr>
        <w:t>引导畜牧业、种植业健康发展。</w:t>
      </w:r>
      <w:r>
        <w:rPr>
          <w:rFonts w:hint="default"/>
          <w:color w:val="auto"/>
          <w:szCs w:val="28"/>
          <w:highlight w:val="none"/>
          <w:lang w:val="en-US" w:eastAsia="zh-CN"/>
        </w:rPr>
        <w:t>我们坚持稳中求进工作总基调，贯彻新发展理念，立足优势，积极调整农业产业结构，大力发展“两红一绿”产业，完成各类作物播种面积8万余亩，其中小麦1.21万亩，籽粒玉米面积1.8万亩，工业辣椒面积3.6万亩，工业番茄面积0.12万亩，其他农作物0.8万亩，带动3600余人次灵活就业；设施农业达到6656亩；打造了阿日勒村种植辣椒、白菜、豆角、草莓等果蔬为主的设施农业示范点，完成农产品农药残留检测任务707个，为群众食用健康果蔬提供了保障。合作社承接乡村振兴项目，对银耳、鲜鸡腿菇、鲜双孢菇、鲜平菇的研究取得重大突破，实现高质高产目标。畜牧业产业化水平不断提升，完成畜类防疫11.2万头（只）、禽类防疫10.5万羽。完成人工造林2549.9亩，其中：农田防护林116.1亩、经济林2412.3亩、用材林21.5亩。为全镇130户165台农机办理购置补贴，补贴金额达803.4万元。以草莓采摘、特色农产品销售为平台，带动乡村旅游业发展，吸引游客</w:t>
      </w:r>
      <w:r>
        <w:rPr>
          <w:rFonts w:hint="eastAsia"/>
          <w:color w:val="auto"/>
          <w:szCs w:val="28"/>
          <w:highlight w:val="none"/>
          <w:lang w:val="en-US" w:eastAsia="zh-CN"/>
        </w:rPr>
        <w:t>6.5</w:t>
      </w:r>
      <w:r>
        <w:rPr>
          <w:rFonts w:hint="default"/>
          <w:color w:val="auto"/>
          <w:szCs w:val="28"/>
          <w:highlight w:val="none"/>
          <w:lang w:val="en-US" w:eastAsia="zh-CN"/>
        </w:rPr>
        <w:t>万余人次，带动消费150余万元，实现了农民增收致富，全年壮大村集体经济收入达到341.59万元。全镇34家中小企业主要以粗加工为主，建立了中小企业富余劳动力转移就业签约机制。</w:t>
      </w:r>
    </w:p>
    <w:p w14:paraId="10CFC112">
      <w:pPr>
        <w:pageBreakBefore w:val="0"/>
        <w:widowControl w:val="0"/>
        <w:numPr>
          <w:ilvl w:val="0"/>
          <w:numId w:val="2"/>
        </w:numPr>
        <w:pBdr>
          <w:top w:val="none" w:color="000000" w:sz="0" w:space="0"/>
          <w:left w:val="none" w:color="000000" w:sz="0" w:space="31"/>
          <w:bottom w:val="none" w:color="000000" w:sz="0" w:space="31"/>
          <w:right w:val="none" w:color="000000" w:sz="0" w:space="0"/>
        </w:pBdr>
        <w:kinsoku/>
        <w:wordWrap/>
        <w:overflowPunct/>
        <w:topLinePunct w:val="0"/>
        <w:autoSpaceDE/>
        <w:autoSpaceDN w:val="0"/>
        <w:bidi w:val="0"/>
        <w:adjustRightInd/>
        <w:snapToGrid/>
        <w:spacing w:line="560" w:lineRule="exact"/>
        <w:ind w:left="0" w:leftChars="0" w:firstLine="640" w:firstLineChars="200"/>
        <w:jc w:val="both"/>
        <w:textAlignment w:val="auto"/>
        <w:outlineLvl w:val="9"/>
        <w:rPr>
          <w:rFonts w:hint="default"/>
          <w:color w:val="auto"/>
          <w:szCs w:val="28"/>
          <w:highlight w:val="none"/>
          <w:lang w:val="en-US" w:eastAsia="zh-CN"/>
        </w:rPr>
      </w:pPr>
      <w:r>
        <w:rPr>
          <w:rFonts w:hint="eastAsia" w:ascii="方正楷体_GBK" w:hAnsi="方正楷体_GBK" w:eastAsia="方正楷体_GBK" w:cs="方正楷体_GBK"/>
          <w:color w:val="auto"/>
          <w:sz w:val="32"/>
          <w:szCs w:val="32"/>
          <w:highlight w:val="none"/>
          <w:lang w:val="en-US" w:eastAsia="zh-CN"/>
        </w:rPr>
        <w:t>持续推进乡村振兴建设。</w:t>
      </w:r>
      <w:r>
        <w:rPr>
          <w:rFonts w:hint="default"/>
          <w:color w:val="auto"/>
          <w:szCs w:val="28"/>
          <w:highlight w:val="none"/>
          <w:lang w:val="en-US" w:eastAsia="zh-CN"/>
        </w:rPr>
        <w:t>我们深入学习贯彻中央和自治区1号文件精神，全面落实习近平总书记关于做好巩固拓展脱贫攻坚成果的重要论述，严格落实</w:t>
      </w:r>
      <w:r>
        <w:rPr>
          <w:rFonts w:hint="eastAsia"/>
          <w:color w:val="auto"/>
          <w:szCs w:val="28"/>
          <w:highlight w:val="none"/>
          <w:lang w:val="en-US" w:eastAsia="zh-CN"/>
        </w:rPr>
        <w:t>“四个不摘、八个不变”的工作</w:t>
      </w:r>
      <w:r>
        <w:rPr>
          <w:rFonts w:hint="default"/>
          <w:color w:val="auto"/>
          <w:szCs w:val="28"/>
          <w:highlight w:val="none"/>
          <w:lang w:val="en-US" w:eastAsia="zh-CN"/>
        </w:rPr>
        <w:t>要求，将监测户纳入“四色预警”体系，逐人逐户制定切实可行的帮扶措施。同时对全镇脱贫户和监测户每月的收支情况进行测算，动态掌握每月收支情况，对连续两个月以上收入较低或无收入的及时研判，制定针对性的帮扶措施，巩固提高家庭收入，避免出现收入不增反降。</w:t>
      </w:r>
      <w:r>
        <w:rPr>
          <w:rFonts w:hint="eastAsia"/>
          <w:color w:val="auto"/>
          <w:szCs w:val="28"/>
          <w:highlight w:val="none"/>
          <w:lang w:val="en-US" w:eastAsia="zh-CN"/>
        </w:rPr>
        <w:t>2023年</w:t>
      </w:r>
      <w:r>
        <w:rPr>
          <w:rFonts w:hint="default"/>
          <w:color w:val="auto"/>
          <w:szCs w:val="28"/>
          <w:highlight w:val="none"/>
          <w:lang w:val="en-US" w:eastAsia="zh-CN"/>
        </w:rPr>
        <w:t>共召开乡村振兴专题会15次，政策培训12次，各村（社区）参加县级技能培训8期，共300余人参加，政策宣讲24次，入户宣讲1000余户4000余人。</w:t>
      </w:r>
      <w:r>
        <w:rPr>
          <w:rFonts w:hint="eastAsia"/>
          <w:color w:val="auto"/>
          <w:szCs w:val="28"/>
          <w:highlight w:val="none"/>
          <w:lang w:val="en-US" w:eastAsia="zh-CN"/>
        </w:rPr>
        <w:t>按照“产业兴旺、生态宜居、乡风文明、治理有效、生活富裕”的总要求，高效完成阿日勒村自治区全面推进乡村振兴示范村创建工作。</w:t>
      </w:r>
      <w:r>
        <w:rPr>
          <w:rFonts w:hint="default"/>
          <w:color w:val="auto"/>
          <w:szCs w:val="28"/>
          <w:highlight w:val="none"/>
          <w:lang w:val="en-US" w:eastAsia="zh-CN"/>
        </w:rPr>
        <w:t>不断健全完善防返贫监测工作体系，截至目前，累计监测户295户869人，2022年人均收入14348.41元，2023年人均收入16100.95元，人均收入增幅达到12.21%，未出现不增反降。目前已消除返贫致贫风险245户791人，未发生规模性返贫。2023年新增贷款户数33户，贷款金额达到125万元，均用于发展种养殖业，增加收入。2024年已申报第一批小额信贷16户，贷款金额59.5万元。</w:t>
      </w:r>
    </w:p>
    <w:p w14:paraId="2C245845">
      <w:pPr>
        <w:pageBreakBefore w:val="0"/>
        <w:widowControl w:val="0"/>
        <w:numPr>
          <w:ilvl w:val="0"/>
          <w:numId w:val="2"/>
        </w:numPr>
        <w:pBdr>
          <w:top w:val="none" w:color="000000" w:sz="0" w:space="0"/>
          <w:left w:val="none" w:color="000000" w:sz="0" w:space="31"/>
          <w:bottom w:val="none" w:color="000000" w:sz="0" w:space="31"/>
          <w:right w:val="none" w:color="000000" w:sz="0" w:space="0"/>
        </w:pBdr>
        <w:kinsoku/>
        <w:wordWrap/>
        <w:overflowPunct/>
        <w:topLinePunct w:val="0"/>
        <w:autoSpaceDE/>
        <w:autoSpaceDN w:val="0"/>
        <w:bidi w:val="0"/>
        <w:adjustRightInd/>
        <w:snapToGrid/>
        <w:spacing w:line="560" w:lineRule="exact"/>
        <w:ind w:left="0" w:leftChars="0" w:firstLine="640" w:firstLineChars="200"/>
        <w:jc w:val="both"/>
        <w:textAlignment w:val="auto"/>
        <w:outlineLvl w:val="9"/>
        <w:rPr>
          <w:rFonts w:hint="default"/>
          <w:color w:val="auto"/>
          <w:szCs w:val="28"/>
          <w:highlight w:val="none"/>
          <w:lang w:val="en-US" w:eastAsia="zh-CN"/>
        </w:rPr>
      </w:pPr>
      <w:r>
        <w:rPr>
          <w:rFonts w:hint="eastAsia" w:ascii="方正楷体_GBK" w:hAnsi="方正楷体_GBK" w:eastAsia="方正楷体_GBK" w:cs="方正楷体_GBK"/>
          <w:color w:val="auto"/>
          <w:sz w:val="32"/>
          <w:szCs w:val="32"/>
          <w:highlight w:val="none"/>
          <w:lang w:val="en-US" w:eastAsia="zh-CN"/>
        </w:rPr>
        <w:t>强化民生保障，不断提高群众幸福指数。</w:t>
      </w:r>
      <w:r>
        <w:rPr>
          <w:rFonts w:hint="default"/>
          <w:color w:val="auto"/>
          <w:szCs w:val="28"/>
          <w:highlight w:val="none"/>
          <w:lang w:val="en-US" w:eastAsia="zh-CN"/>
        </w:rPr>
        <w:t>我们始终坚持以人民为中心的发展理念，经济社会、民生保障等各项事业蓬勃发展，教育就业、看病就医、社会保障、社会帮扶、居住环境等各方面服务水平持续优化，农牧民群众的幸福感和获得感不断提升。教育保障更加放心，定期召开镇党委会议、理论学习中心组，传达学习上级会议文件精神，利用寒暑假为返乡大学生提供锻炼自我、提高能力的实践岗位，并在实践后期召开座谈交流会，让他们畅所欲言，为社会治理出谋划策。积极做好创业扶优，安置公益性岗位99人，完成农村富余劳动力季节性转移就业2382人、灵活就业150人、单位就业723人、企业就业724人、自主创业785人。认真贯彻落实中央、自治区、自治州、县委健康扶贫工作</w:t>
      </w:r>
      <w:r>
        <w:rPr>
          <w:rFonts w:hint="eastAsia"/>
          <w:color w:val="auto"/>
          <w:szCs w:val="28"/>
          <w:highlight w:val="none"/>
          <w:lang w:val="en-US" w:eastAsia="zh-CN"/>
        </w:rPr>
        <w:t>的</w:t>
      </w:r>
      <w:r>
        <w:rPr>
          <w:rFonts w:hint="default"/>
          <w:color w:val="auto"/>
          <w:szCs w:val="28"/>
          <w:highlight w:val="none"/>
          <w:lang w:val="en-US" w:eastAsia="zh-CN"/>
        </w:rPr>
        <w:t>总体部署和要求，扎实开展健康扶贫工作，持续推进健康扶贫政策，全镇脱贫户城乡基本医疗保险参保率达到100%，动态监测农户健康状况，严防因病致贫返贫，并逐步建立农村医疗保障长效机制，做到家庭医生签约工作全覆盖，常见病、慢性病获得及时诊治；社会帮扶更加贴心，全面落实落细低保、医保、养老保险、特困人员救助供养、临时救助等综合社会保障措施，监测户175户291人、脱贫户168户222人，无法就业、无劳动能力人员家庭享受农村低保政策，监测户4户4人、脱贫户10户10人享受特困供养政策，为我镇政策兜底脱贫人口基本生活提供了有力保障</w:t>
      </w:r>
      <w:r>
        <w:rPr>
          <w:rFonts w:hint="eastAsia"/>
          <w:color w:val="auto"/>
          <w:szCs w:val="28"/>
          <w:highlight w:val="none"/>
          <w:lang w:val="en-US" w:eastAsia="zh-CN"/>
        </w:rPr>
        <w:t>，</w:t>
      </w:r>
      <w:r>
        <w:rPr>
          <w:rFonts w:hint="default"/>
          <w:color w:val="auto"/>
          <w:szCs w:val="28"/>
          <w:highlight w:val="none"/>
          <w:lang w:val="en-US" w:eastAsia="zh-CN"/>
        </w:rPr>
        <w:t>全年</w:t>
      </w:r>
      <w:r>
        <w:rPr>
          <w:rFonts w:hint="eastAsia"/>
          <w:color w:val="auto"/>
          <w:szCs w:val="28"/>
          <w:highlight w:val="none"/>
          <w:lang w:val="en-US" w:eastAsia="zh-CN"/>
        </w:rPr>
        <w:t>我镇共</w:t>
      </w:r>
      <w:r>
        <w:rPr>
          <w:rFonts w:hint="default"/>
          <w:color w:val="auto"/>
          <w:szCs w:val="28"/>
          <w:highlight w:val="none"/>
          <w:lang w:val="en-US" w:eastAsia="zh-CN"/>
        </w:rPr>
        <w:t>发放高龄补贴</w:t>
      </w:r>
      <w:r>
        <w:rPr>
          <w:rFonts w:hint="eastAsia"/>
          <w:color w:val="auto"/>
          <w:szCs w:val="28"/>
          <w:highlight w:val="none"/>
          <w:lang w:val="en-US" w:eastAsia="zh-CN"/>
        </w:rPr>
        <w:t>245</w:t>
      </w:r>
      <w:r>
        <w:rPr>
          <w:rFonts w:hint="default"/>
          <w:color w:val="auto"/>
          <w:szCs w:val="28"/>
          <w:highlight w:val="none"/>
          <w:lang w:val="en-US" w:eastAsia="zh-CN"/>
        </w:rPr>
        <w:t>人</w:t>
      </w:r>
      <w:r>
        <w:rPr>
          <w:rFonts w:hint="eastAsia"/>
          <w:color w:val="auto"/>
          <w:szCs w:val="28"/>
          <w:highlight w:val="none"/>
          <w:lang w:val="en-US" w:eastAsia="zh-CN"/>
        </w:rPr>
        <w:t>24.9</w:t>
      </w:r>
      <w:r>
        <w:rPr>
          <w:rFonts w:hint="default"/>
          <w:color w:val="auto"/>
          <w:szCs w:val="28"/>
          <w:highlight w:val="none"/>
          <w:lang w:val="en-US" w:eastAsia="zh-CN"/>
        </w:rPr>
        <w:t>万元，残疾补贴</w:t>
      </w:r>
      <w:r>
        <w:rPr>
          <w:rFonts w:hint="eastAsia"/>
          <w:color w:val="auto"/>
          <w:szCs w:val="28"/>
          <w:highlight w:val="none"/>
          <w:lang w:val="en-US" w:eastAsia="zh-CN"/>
        </w:rPr>
        <w:t>359</w:t>
      </w:r>
      <w:r>
        <w:rPr>
          <w:rFonts w:hint="default"/>
          <w:color w:val="auto"/>
          <w:szCs w:val="28"/>
          <w:highlight w:val="none"/>
          <w:lang w:val="en-US" w:eastAsia="zh-CN"/>
        </w:rPr>
        <w:t>人</w:t>
      </w:r>
      <w:r>
        <w:rPr>
          <w:rFonts w:hint="eastAsia"/>
          <w:color w:val="auto"/>
          <w:szCs w:val="28"/>
          <w:highlight w:val="none"/>
          <w:lang w:val="en-US" w:eastAsia="zh-CN"/>
        </w:rPr>
        <w:t>69.1</w:t>
      </w:r>
      <w:r>
        <w:rPr>
          <w:rFonts w:hint="default"/>
          <w:color w:val="auto"/>
          <w:szCs w:val="28"/>
          <w:highlight w:val="none"/>
          <w:lang w:val="en-US" w:eastAsia="zh-CN"/>
        </w:rPr>
        <w:t>万元，低保金7</w:t>
      </w:r>
      <w:r>
        <w:rPr>
          <w:rFonts w:hint="eastAsia"/>
          <w:color w:val="auto"/>
          <w:szCs w:val="28"/>
          <w:highlight w:val="none"/>
          <w:lang w:val="en-US" w:eastAsia="zh-CN"/>
        </w:rPr>
        <w:t>41</w:t>
      </w:r>
      <w:r>
        <w:rPr>
          <w:rFonts w:hint="default"/>
          <w:color w:val="auto"/>
          <w:szCs w:val="28"/>
          <w:highlight w:val="none"/>
          <w:lang w:val="en-US" w:eastAsia="zh-CN"/>
        </w:rPr>
        <w:t>户</w:t>
      </w:r>
      <w:r>
        <w:rPr>
          <w:rFonts w:hint="eastAsia"/>
          <w:color w:val="auto"/>
          <w:szCs w:val="28"/>
          <w:highlight w:val="none"/>
          <w:lang w:val="en-US" w:eastAsia="zh-CN"/>
        </w:rPr>
        <w:t>594.1</w:t>
      </w:r>
      <w:r>
        <w:rPr>
          <w:rFonts w:hint="default"/>
          <w:color w:val="auto"/>
          <w:szCs w:val="28"/>
          <w:highlight w:val="none"/>
          <w:lang w:val="en-US" w:eastAsia="zh-CN"/>
        </w:rPr>
        <w:t>万元，临时救助</w:t>
      </w:r>
      <w:r>
        <w:rPr>
          <w:rFonts w:hint="eastAsia"/>
          <w:color w:val="auto"/>
          <w:szCs w:val="28"/>
          <w:highlight w:val="none"/>
          <w:lang w:val="en-US" w:eastAsia="zh-CN"/>
        </w:rPr>
        <w:t>72</w:t>
      </w:r>
      <w:r>
        <w:rPr>
          <w:rFonts w:hint="default"/>
          <w:color w:val="auto"/>
          <w:szCs w:val="28"/>
          <w:highlight w:val="none"/>
          <w:lang w:val="en-US" w:eastAsia="zh-CN"/>
        </w:rPr>
        <w:t>人，发放救助金</w:t>
      </w:r>
      <w:r>
        <w:rPr>
          <w:rFonts w:hint="eastAsia"/>
          <w:color w:val="auto"/>
          <w:szCs w:val="28"/>
          <w:highlight w:val="none"/>
          <w:lang w:val="en-US" w:eastAsia="zh-CN"/>
        </w:rPr>
        <w:t>29.1</w:t>
      </w:r>
      <w:r>
        <w:rPr>
          <w:rFonts w:hint="default"/>
          <w:color w:val="auto"/>
          <w:szCs w:val="28"/>
          <w:highlight w:val="none"/>
          <w:lang w:val="en-US" w:eastAsia="zh-CN"/>
        </w:rPr>
        <w:t>万元。全年土坯房拆除610户；饮水安全整改11户；维修整改问题厕所260户。</w:t>
      </w:r>
    </w:p>
    <w:p w14:paraId="1B5FC9F5">
      <w:pPr>
        <w:pageBreakBefore w:val="0"/>
        <w:widowControl w:val="0"/>
        <w:numPr>
          <w:ilvl w:val="0"/>
          <w:numId w:val="0"/>
        </w:numPr>
        <w:pBdr>
          <w:top w:val="none" w:color="000000" w:sz="0" w:space="0"/>
          <w:left w:val="none" w:color="000000" w:sz="0" w:space="31"/>
          <w:bottom w:val="none" w:color="000000" w:sz="0" w:space="31"/>
          <w:right w:val="none" w:color="000000" w:sz="0" w:space="0"/>
        </w:pBdr>
        <w:kinsoku/>
        <w:wordWrap/>
        <w:overflowPunct/>
        <w:topLinePunct w:val="0"/>
        <w:autoSpaceDE/>
        <w:autoSpaceDN w:val="0"/>
        <w:bidi w:val="0"/>
        <w:adjustRightInd/>
        <w:snapToGrid/>
        <w:spacing w:line="560" w:lineRule="exact"/>
        <w:ind w:leftChars="200"/>
        <w:jc w:val="both"/>
        <w:textAlignment w:val="auto"/>
        <w:outlineLvl w:val="9"/>
        <w:rPr>
          <w:rFonts w:hint="default" w:ascii="宋体" w:hAnsi="宋体" w:eastAsia="黑体" w:cs="仿宋_GB2312"/>
          <w:bCs/>
          <w:color w:val="auto"/>
          <w:kern w:val="44"/>
          <w:sz w:val="32"/>
          <w:szCs w:val="44"/>
          <w:highlight w:val="none"/>
          <w:lang w:val="en-US" w:eastAsia="zh-CN" w:bidi="ar-SA"/>
        </w:rPr>
      </w:pPr>
      <w:r>
        <w:rPr>
          <w:rFonts w:hint="eastAsia" w:ascii="宋体" w:hAnsi="宋体" w:eastAsia="黑体" w:cs="仿宋_GB2312"/>
          <w:bCs/>
          <w:color w:val="auto"/>
          <w:kern w:val="44"/>
          <w:sz w:val="32"/>
          <w:szCs w:val="44"/>
          <w:highlight w:val="none"/>
          <w:lang w:val="en-US" w:eastAsia="zh-CN" w:bidi="ar-SA"/>
        </w:rPr>
        <w:t>（三）部门单位整体预算规模及安排情况</w:t>
      </w:r>
    </w:p>
    <w:p w14:paraId="0A7AB254">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14:paraId="2E38D5A8">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14:paraId="1CEDAE29">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我单位年初预算数为3294.3571万元，实际预算执行数3285.0271 万元，预算执行率为99.72%。</w:t>
      </w:r>
    </w:p>
    <w:p w14:paraId="011DA408">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14:paraId="5BB64ADA">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全年预算数为4945.9225万元，全年实际支出资金4945.9225万元，预算执行率为100%。</w:t>
      </w:r>
    </w:p>
    <w:p w14:paraId="0A997695">
      <w:pPr>
        <w:pStyle w:val="4"/>
        <w:bidi w:val="0"/>
        <w:rPr>
          <w:rFonts w:hint="eastAsia"/>
          <w:color w:val="auto"/>
          <w:highlight w:val="none"/>
          <w:lang w:val="en-US" w:eastAsia="zh-CN"/>
        </w:rPr>
      </w:pPr>
      <w:r>
        <w:rPr>
          <w:rFonts w:hint="eastAsia"/>
          <w:color w:val="auto"/>
          <w:highlight w:val="none"/>
          <w:lang w:val="en-US" w:eastAsia="zh-CN"/>
        </w:rPr>
        <w:t>2.预算调整（追加减）情况</w:t>
      </w:r>
    </w:p>
    <w:p w14:paraId="6BF899CD">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3294.3571</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1651.5654</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4945.9225</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50.13</w:t>
      </w:r>
      <w:r>
        <w:rPr>
          <w:rFonts w:hint="eastAsia" w:ascii="Times New Roman" w:hAnsi="Times New Roman" w:cs="Times New Roman"/>
          <w:bCs/>
          <w:color w:val="auto"/>
          <w:highlight w:val="none"/>
          <w:lang w:eastAsia="zh-CN"/>
        </w:rPr>
        <w:t>%。（预算调整率=调整数/年初预算数*100%=</w:t>
      </w:r>
      <w:r>
        <w:rPr>
          <w:rFonts w:hint="eastAsia" w:ascii="Times New Roman" w:hAnsi="Times New Roman" w:cs="Times New Roman"/>
          <w:bCs/>
          <w:color w:val="auto"/>
          <w:highlight w:val="none"/>
          <w:lang w:val="en-US" w:eastAsia="zh-CN"/>
        </w:rPr>
        <w:t>50.13</w:t>
      </w:r>
      <w:r>
        <w:rPr>
          <w:rFonts w:hint="eastAsia" w:ascii="Times New Roman" w:hAnsi="Times New Roman" w:cs="Times New Roman"/>
          <w:bCs/>
          <w:color w:val="auto"/>
          <w:highlight w:val="none"/>
          <w:lang w:eastAsia="zh-CN"/>
        </w:rPr>
        <w:t>%。）</w:t>
      </w:r>
    </w:p>
    <w:p w14:paraId="3F1AE0FB">
      <w:pPr>
        <w:pStyle w:val="4"/>
        <w:rPr>
          <w:rFonts w:hint="default"/>
          <w:color w:val="auto"/>
          <w:highlight w:val="none"/>
          <w:lang w:val="en-US" w:eastAsia="zh-CN"/>
        </w:rPr>
      </w:pPr>
      <w:r>
        <w:rPr>
          <w:rFonts w:hint="default"/>
          <w:color w:val="auto"/>
          <w:highlight w:val="none"/>
          <w:lang w:val="en-US" w:eastAsia="zh-CN"/>
        </w:rPr>
        <w:t>3.资金使用主要内容、涉及的范围</w:t>
      </w:r>
    </w:p>
    <w:p w14:paraId="3BB60ECF">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4945.9225</w:t>
      </w:r>
      <w:r>
        <w:rPr>
          <w:rFonts w:hint="default"/>
          <w:color w:val="auto"/>
          <w:highlight w:val="none"/>
          <w:lang w:val="en-US" w:eastAsia="zh-CN"/>
        </w:rPr>
        <w:t>万元，其中：</w:t>
      </w:r>
    </w:p>
    <w:p w14:paraId="4D91A14D">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2700.2546</w:t>
      </w:r>
      <w:r>
        <w:rPr>
          <w:rFonts w:hint="default"/>
          <w:color w:val="auto"/>
          <w:highlight w:val="none"/>
          <w:lang w:val="en-US" w:eastAsia="zh-CN"/>
        </w:rPr>
        <w:t>万元，资金的使用方向为我单位机关人员经费支出</w:t>
      </w:r>
      <w:r>
        <w:rPr>
          <w:rFonts w:hint="eastAsia"/>
          <w:color w:val="auto"/>
          <w:highlight w:val="none"/>
          <w:lang w:val="en-US" w:eastAsia="zh-CN"/>
        </w:rPr>
        <w:t>2604.7244</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95.5301</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14:paraId="305EC36B">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2245.6679</w:t>
      </w:r>
      <w:r>
        <w:rPr>
          <w:rFonts w:hint="default"/>
          <w:color w:val="auto"/>
          <w:highlight w:val="none"/>
          <w:lang w:val="en-US" w:eastAsia="zh-CN"/>
        </w:rPr>
        <w:t>万元，主要用于保障2023年巴润镇阿村基础设施建设项目、2</w:t>
      </w:r>
      <w:r>
        <w:rPr>
          <w:rFonts w:hint="eastAsia"/>
          <w:color w:val="auto"/>
          <w:highlight w:val="none"/>
          <w:lang w:val="en-US" w:eastAsia="zh-CN"/>
        </w:rPr>
        <w:t>02</w:t>
      </w:r>
      <w:r>
        <w:rPr>
          <w:rFonts w:hint="default"/>
          <w:color w:val="auto"/>
          <w:highlight w:val="none"/>
          <w:lang w:val="en-US" w:eastAsia="zh-CN"/>
        </w:rPr>
        <w:t>3年巴润镇阿日勒村旅游服务建设项目、2023年和静县巴润哈尔莫敦镇阿日勒村人居环境整治项目</w:t>
      </w:r>
      <w:r>
        <w:rPr>
          <w:rFonts w:hint="eastAsia"/>
          <w:color w:val="auto"/>
          <w:highlight w:val="none"/>
          <w:lang w:val="en-US" w:eastAsia="zh-CN"/>
        </w:rPr>
        <w:t>、2023年和静县巴润哈尔莫敦镇农村道路建设项目、2023年和静县巴润哈尔莫敦镇阿日勒村温室大棚建设项目、2023年和静县病虫害防治药物喷洒车采购项目、2023年和静县巴润哈尔莫敦镇阿尔孜尕尔村牲畜养殖项目、2023年和静县巴润哈尔莫敦镇阿日勒村牲畜养殖项目、2023年和静县巴润哈尔莫敦镇阿日勒村吸污车采购项目</w:t>
      </w:r>
      <w:r>
        <w:rPr>
          <w:rFonts w:hint="default"/>
          <w:color w:val="auto"/>
          <w:highlight w:val="none"/>
          <w:lang w:val="en-US" w:eastAsia="zh-CN"/>
        </w:rPr>
        <w:t>等项目支出。</w:t>
      </w:r>
    </w:p>
    <w:p w14:paraId="3D0E9721">
      <w:pPr>
        <w:pStyle w:val="2"/>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14:paraId="129B8A66">
      <w:pPr>
        <w:pStyle w:val="3"/>
        <w:bidi w:val="0"/>
        <w:rPr>
          <w:rFonts w:hint="eastAsia"/>
          <w:color w:val="auto"/>
          <w:highlight w:val="none"/>
          <w:lang w:val="en-US" w:eastAsia="zh-CN"/>
        </w:rPr>
      </w:pPr>
      <w:r>
        <w:rPr>
          <w:rFonts w:hint="eastAsia"/>
          <w:color w:val="auto"/>
          <w:highlight w:val="none"/>
          <w:lang w:val="en-US" w:eastAsia="zh-CN"/>
        </w:rPr>
        <w:t>（一）基本支出和使用情况</w:t>
      </w:r>
    </w:p>
    <w:p w14:paraId="57DB0688">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2768.6971万元，全年实际支出2700.2546万元，资金执行率97.53%。基本支出严格按照财务管理制度执行，其中：</w:t>
      </w:r>
    </w:p>
    <w:p w14:paraId="68F133BE">
      <w:pPr>
        <w:bidi w:val="0"/>
        <w:rPr>
          <w:rFonts w:hint="eastAsia"/>
          <w:color w:val="auto"/>
          <w:highlight w:val="none"/>
          <w:lang w:val="en-US" w:eastAsia="zh-CN"/>
        </w:rPr>
      </w:pPr>
      <w:r>
        <w:rPr>
          <w:rFonts w:hint="eastAsia"/>
          <w:color w:val="auto"/>
          <w:highlight w:val="none"/>
          <w:lang w:val="en-US" w:eastAsia="zh-CN"/>
        </w:rPr>
        <w:t>人员经费支出2604.7244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14:paraId="47668A3A">
      <w:pPr>
        <w:bidi w:val="0"/>
        <w:rPr>
          <w:rFonts w:hint="eastAsia"/>
          <w:color w:val="auto"/>
          <w:highlight w:val="none"/>
          <w:lang w:val="en-US" w:eastAsia="zh-CN"/>
        </w:rPr>
      </w:pPr>
      <w:r>
        <w:rPr>
          <w:rFonts w:hint="eastAsia"/>
          <w:color w:val="auto"/>
          <w:highlight w:val="none"/>
          <w:lang w:val="en-US" w:eastAsia="zh-CN"/>
        </w:rPr>
        <w:t>公用经费支出95.5301万元，主要包括：办公费、印刷费、水费、电费、邮电费、取暖费、差旅费、培训费、公务接待费、工会经费、福利费、公务用车运行维护费、其他交通费用、其他商品和服务支出。</w:t>
      </w:r>
    </w:p>
    <w:p w14:paraId="2CC8CA74">
      <w:pPr>
        <w:pStyle w:val="3"/>
        <w:bidi w:val="0"/>
        <w:rPr>
          <w:rFonts w:hint="eastAsia"/>
          <w:color w:val="auto"/>
          <w:highlight w:val="none"/>
          <w:lang w:val="en-US" w:eastAsia="zh-CN"/>
        </w:rPr>
      </w:pPr>
      <w:r>
        <w:rPr>
          <w:rFonts w:hint="eastAsia"/>
          <w:color w:val="auto"/>
          <w:highlight w:val="none"/>
          <w:lang w:val="en-US" w:eastAsia="zh-CN"/>
        </w:rPr>
        <w:t>（二）政策、项目支出和使用情况</w:t>
      </w:r>
    </w:p>
    <w:p w14:paraId="2E446013">
      <w:pPr>
        <w:pStyle w:val="4"/>
        <w:bidi w:val="0"/>
        <w:rPr>
          <w:rFonts w:hint="eastAsia"/>
          <w:color w:val="auto"/>
          <w:highlight w:val="none"/>
          <w:lang w:val="en-US" w:eastAsia="zh-CN"/>
        </w:rPr>
      </w:pPr>
      <w:r>
        <w:rPr>
          <w:rFonts w:hint="eastAsia"/>
          <w:color w:val="auto"/>
          <w:highlight w:val="none"/>
          <w:lang w:val="en-US" w:eastAsia="zh-CN"/>
        </w:rPr>
        <w:t>1.政策、项目支出的投入情况分析</w:t>
      </w:r>
    </w:p>
    <w:p w14:paraId="4A38AE85">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项目支出预算2245.6679</w:t>
      </w:r>
      <w:r>
        <w:rPr>
          <w:rFonts w:hint="eastAsia"/>
          <w:color w:val="auto"/>
          <w:highlight w:val="none"/>
          <w:lang w:eastAsia="zh-CN"/>
        </w:rPr>
        <w:t>万元（含上年结余</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其中：上级专项资金1720.8164万元，本级财政资金524.8515万元</w:t>
      </w:r>
      <w:r>
        <w:rPr>
          <w:rFonts w:hint="eastAsia"/>
          <w:color w:val="auto"/>
          <w:highlight w:val="none"/>
          <w:lang w:eastAsia="zh-CN"/>
        </w:rPr>
        <w:t>。</w:t>
      </w:r>
    </w:p>
    <w:p w14:paraId="42257CC5">
      <w:pPr>
        <w:pStyle w:val="4"/>
        <w:bidi w:val="0"/>
        <w:rPr>
          <w:rFonts w:hint="eastAsia"/>
          <w:color w:val="auto"/>
          <w:highlight w:val="none"/>
          <w:lang w:val="en-US" w:eastAsia="zh-CN"/>
        </w:rPr>
      </w:pPr>
      <w:r>
        <w:rPr>
          <w:rFonts w:hint="eastAsia"/>
          <w:color w:val="auto"/>
          <w:highlight w:val="none"/>
          <w:lang w:val="en-US" w:eastAsia="zh-CN"/>
        </w:rPr>
        <w:t>2.政策、项目支出管理情况</w:t>
      </w:r>
    </w:p>
    <w:p w14:paraId="613BCF5D">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2245.6679万元，其中</w:t>
      </w:r>
      <w:r>
        <w:rPr>
          <w:rFonts w:hint="default"/>
          <w:color w:val="auto"/>
          <w:highlight w:val="none"/>
          <w:lang w:val="en-US" w:eastAsia="zh-CN"/>
        </w:rPr>
        <w:t>2023年和静县巴润哈尔莫敦镇变压器及配套设施采购项目、和静县巴润哈尔莫敦镇巴音街社区办公服务设施建设项目</w:t>
      </w:r>
      <w:r>
        <w:rPr>
          <w:rFonts w:hint="eastAsia"/>
          <w:color w:val="auto"/>
          <w:highlight w:val="none"/>
          <w:lang w:val="en-US" w:eastAsia="zh-CN"/>
        </w:rPr>
        <w:t>、巴润哈尔莫敦镇216国道边绿化带管网维护及电费项目、方修移民搬迁赔偿款、和静县巴润哈尔莫敦镇村级阵地标准化建设项目、巴润哈尔莫敦镇建制镇示范点项目、巴润哈尔莫敦镇建制镇示范试点项目、巴润哈尔莫敦镇人居环境整治购买多孔砖项目、巴润哈尔莫敦镇2021年至今拆除土坯房补助资金、2023年和静县巴润哈尔莫敦镇阿日勒村牲畜养殖项目、2023年和静县巴润哈尔莫敦镇阿尔孜尕尔村牲畜养殖项目、2023年和静县巴润哈尔莫敦镇人居环境整治项目、2023年和静县巴润哈尔莫敦镇阿日勒村基础设施建设项目、2023年和静县巴润哈尔莫敦镇阿日勒村温室大棚建设项目、2023年和静县巴润哈尔莫敦镇阿日勒村乡村旅游项目、2023年和静县巴润哈尔莫敦镇农村道路建设项目、村社区运转经费及为民办实事经费、2023年和静县病虫害防治药物喷洒车采购项目、2023年人大工作经费，</w:t>
      </w:r>
      <w:r>
        <w:rPr>
          <w:rFonts w:hint="default"/>
          <w:color w:val="auto"/>
          <w:highlight w:val="none"/>
          <w:lang w:val="en-US" w:eastAsia="zh-CN"/>
        </w:rPr>
        <w:t>纪检办公经费支出</w:t>
      </w:r>
      <w:r>
        <w:rPr>
          <w:rFonts w:hint="eastAsia"/>
          <w:color w:val="auto"/>
          <w:highlight w:val="none"/>
          <w:lang w:val="en-US" w:eastAsia="zh-CN"/>
        </w:rPr>
        <w:t>等，通过财政直接支付方式拨给项目实施单位。</w:t>
      </w:r>
    </w:p>
    <w:p w14:paraId="4150057B">
      <w:pPr>
        <w:ind w:firstLine="560"/>
        <w:rPr>
          <w:color w:val="auto"/>
          <w:highlight w:val="none"/>
        </w:rPr>
      </w:pPr>
      <w:r>
        <w:rPr>
          <w:rFonts w:hint="eastAsia"/>
          <w:color w:val="auto"/>
          <w:highlight w:val="none"/>
          <w:lang w:val="en-US" w:eastAsia="zh-CN"/>
        </w:rPr>
        <w:t>（2）</w:t>
      </w:r>
      <w:r>
        <w:rPr>
          <w:rFonts w:hint="eastAsia"/>
          <w:color w:val="auto"/>
          <w:highlight w:val="none"/>
        </w:rPr>
        <w:t>项目实施组织管理情况。我单位项目实施和资金使用分配坚持集体决策。对项目制订工作方案，明确时间节点，开展项目规划设计、部署工作，认真落实项目任务。工作中突出重点，高标准规划、精细设计</w:t>
      </w:r>
      <w:r>
        <w:rPr>
          <w:rFonts w:hint="eastAsia"/>
          <w:color w:val="auto"/>
          <w:highlight w:val="none"/>
          <w:lang w:eastAsia="zh-CN"/>
        </w:rPr>
        <w:t>，</w:t>
      </w:r>
      <w:r>
        <w:rPr>
          <w:rFonts w:hint="eastAsia"/>
          <w:color w:val="auto"/>
          <w:highlight w:val="none"/>
        </w:rPr>
        <w:t>抓好财政改革，进一步完善财政体制，一是完成了镇财政体制建议方案，完善了我镇财务各项规章制度，进一步规范财政资金的使用，组织全镇机关、村、社区干部开展了财政相关法规、制度及2023年村级资金专题培训工作。二是加大内部监督力度监管我镇2023</w:t>
      </w:r>
      <w:r>
        <w:rPr>
          <w:rFonts w:hint="eastAsia"/>
          <w:color w:val="auto"/>
          <w:highlight w:val="none"/>
          <w:lang w:val="en-US" w:eastAsia="zh-CN"/>
        </w:rPr>
        <w:t>年</w:t>
      </w:r>
      <w:r>
        <w:rPr>
          <w:rFonts w:hint="eastAsia"/>
          <w:color w:val="auto"/>
          <w:highlight w:val="none"/>
        </w:rPr>
        <w:t>各项预算项目支出情况。</w:t>
      </w:r>
    </w:p>
    <w:p w14:paraId="45D04CC0">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3.政策、项目支出总体实际使用情况</w:t>
      </w:r>
    </w:p>
    <w:p w14:paraId="5FB18EF5">
      <w:pPr>
        <w:bidi w:val="0"/>
        <w:rPr>
          <w:rFonts w:hint="eastAsia"/>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度安排项目支出资金2245.6679万元，</w:t>
      </w:r>
      <w:r>
        <w:rPr>
          <w:rFonts w:hint="eastAsia"/>
          <w:color w:val="auto"/>
          <w:highlight w:val="none"/>
          <w:lang w:eastAsia="zh-CN"/>
        </w:rPr>
        <w:t>实际</w:t>
      </w:r>
      <w:r>
        <w:rPr>
          <w:rFonts w:hint="eastAsia"/>
          <w:color w:val="auto"/>
          <w:highlight w:val="none"/>
          <w:lang w:val="en-US" w:eastAsia="zh-CN"/>
        </w:rPr>
        <w:t>支出2245.6679万元，其中：上级专项资金支出1720.8164万元，本级财政安排项目资金支出524.8515万元，项目预算资金</w:t>
      </w:r>
      <w:r>
        <w:rPr>
          <w:rFonts w:hint="eastAsia"/>
          <w:color w:val="auto"/>
          <w:highlight w:val="none"/>
        </w:rPr>
        <w:t>执行率</w:t>
      </w:r>
      <w:r>
        <w:rPr>
          <w:rFonts w:hint="eastAsia"/>
          <w:color w:val="auto"/>
          <w:highlight w:val="none"/>
          <w:lang w:val="en-US" w:eastAsia="zh-CN"/>
        </w:rPr>
        <w:t>100%</w:t>
      </w:r>
      <w:bookmarkStart w:id="2" w:name="_Toc1734_WPSOffice_Level1"/>
      <w:r>
        <w:rPr>
          <w:rFonts w:hint="eastAsia"/>
          <w:color w:val="auto"/>
          <w:highlight w:val="none"/>
          <w:lang w:val="en-US" w:eastAsia="zh-CN"/>
        </w:rPr>
        <w:t>。</w:t>
      </w:r>
    </w:p>
    <w:p w14:paraId="13958461">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包括2011199中央政法纪检监察转移支付资金</w:t>
      </w:r>
      <w:r>
        <w:rPr>
          <w:rFonts w:hint="eastAsia"/>
          <w:color w:val="auto"/>
          <w:highlight w:val="none"/>
          <w:lang w:val="en-US" w:eastAsia="zh-CN"/>
        </w:rPr>
        <w:t>1.5万元、20822012023和静县巴润哈尔莫敦镇变压器及配套设施采购项目9.33万元、2129999和静县巴润哈尔莫敦镇巴音街社区办公服务设施建设项目19.1585万元、2130199其他农业农村支出406.52万元、2130505生产发展1526.2984万元、2130705对村民委员会和村党支部的补助98.6992万元、2296011 用于巩固脱贫攻坚成果衔接乡村振兴的彩票公益金支出183.6880万元。</w:t>
      </w:r>
    </w:p>
    <w:bookmarkEnd w:id="2"/>
    <w:p w14:paraId="60947C6E">
      <w:pPr>
        <w:pStyle w:val="2"/>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14:paraId="3ECC0BE4">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5</w:t>
      </w:r>
      <w:r>
        <w:rPr>
          <w:rFonts w:hint="eastAsia"/>
          <w:color w:val="auto"/>
          <w:highlight w:val="none"/>
        </w:rPr>
        <w:t>个，二级指标</w:t>
      </w:r>
      <w:r>
        <w:rPr>
          <w:rFonts w:hint="eastAsia"/>
          <w:color w:val="auto"/>
          <w:highlight w:val="none"/>
          <w:lang w:val="en-US" w:eastAsia="zh-CN"/>
        </w:rPr>
        <w:t>7</w:t>
      </w:r>
      <w:r>
        <w:rPr>
          <w:rFonts w:hint="eastAsia"/>
          <w:color w:val="auto"/>
          <w:highlight w:val="none"/>
        </w:rPr>
        <w:t>个，三级指标</w:t>
      </w:r>
      <w:r>
        <w:rPr>
          <w:rFonts w:hint="eastAsia"/>
          <w:color w:val="auto"/>
          <w:highlight w:val="none"/>
          <w:lang w:val="en-US" w:eastAsia="zh-CN"/>
        </w:rPr>
        <w:t>7</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7</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14:paraId="41F2319C">
      <w:pPr>
        <w:pStyle w:val="3"/>
        <w:spacing w:before="156"/>
        <w:rPr>
          <w:rFonts w:hint="eastAsia"/>
          <w:color w:val="auto"/>
          <w:highlight w:val="none"/>
        </w:rPr>
      </w:pPr>
      <w:r>
        <w:rPr>
          <w:rFonts w:hint="eastAsia"/>
          <w:color w:val="auto"/>
          <w:highlight w:val="none"/>
          <w:lang w:eastAsia="zh-CN"/>
        </w:rPr>
        <w:t>（</w:t>
      </w:r>
      <w:r>
        <w:rPr>
          <w:rFonts w:hint="eastAsia"/>
          <w:color w:val="auto"/>
          <w:highlight w:val="none"/>
          <w:lang w:val="en-US" w:eastAsia="zh-CN"/>
        </w:rPr>
        <w:t>一）</w:t>
      </w:r>
      <w:r>
        <w:rPr>
          <w:rFonts w:hint="eastAsia"/>
          <w:color w:val="auto"/>
          <w:highlight w:val="none"/>
        </w:rPr>
        <w:t>项目支出预算执行率指标完成情况分析</w:t>
      </w:r>
    </w:p>
    <w:p w14:paraId="08EA5A1E">
      <w:pPr>
        <w:ind w:firstLine="560"/>
        <w:rPr>
          <w:color w:val="auto"/>
          <w:highlight w:val="none"/>
        </w:rPr>
      </w:pPr>
      <w:r>
        <w:rPr>
          <w:rFonts w:hint="eastAsia"/>
          <w:color w:val="auto"/>
          <w:highlight w:val="none"/>
        </w:rPr>
        <w:t>项目支出预算执行率指标年初设定目标是=100%，年中绩效运行监控时完成值</w:t>
      </w:r>
      <w:r>
        <w:rPr>
          <w:rFonts w:hint="eastAsia"/>
          <w:color w:val="auto"/>
          <w:highlight w:val="none"/>
          <w:lang w:val="en-US" w:eastAsia="zh-CN"/>
        </w:rPr>
        <w:t>50.53</w:t>
      </w:r>
      <w:r>
        <w:rPr>
          <w:rFonts w:hint="eastAsia"/>
          <w:color w:val="auto"/>
          <w:highlight w:val="none"/>
        </w:rPr>
        <w:t>%，年终实际完成值是100%，指标完成率是100%，达到项目资金支出专人负责落实责任，准确掌握资金使用进度，积极完备相关资料，全力保障资金使用进度确保资金使用的安全性和高效的预期目标。偏差原因：无偏差。</w:t>
      </w:r>
    </w:p>
    <w:p w14:paraId="75FDE072">
      <w:pPr>
        <w:pStyle w:val="3"/>
        <w:numPr>
          <w:ilvl w:val="0"/>
          <w:numId w:val="3"/>
        </w:numPr>
        <w:spacing w:before="156"/>
        <w:rPr>
          <w:color w:val="auto"/>
          <w:highlight w:val="none"/>
        </w:rPr>
      </w:pPr>
      <w:r>
        <w:rPr>
          <w:rFonts w:hint="eastAsia"/>
          <w:color w:val="auto"/>
          <w:highlight w:val="none"/>
        </w:rPr>
        <w:t>“三公经费”控制率指标完成情况分析</w:t>
      </w:r>
    </w:p>
    <w:p w14:paraId="297FBED3">
      <w:pPr>
        <w:ind w:firstLine="560"/>
        <w:rPr>
          <w:rFonts w:hint="eastAsia"/>
          <w:color w:val="auto"/>
          <w:highlight w:val="none"/>
        </w:rPr>
      </w:pPr>
      <w:r>
        <w:rPr>
          <w:rFonts w:hint="eastAsia"/>
          <w:color w:val="auto"/>
          <w:highlight w:val="none"/>
        </w:rPr>
        <w:t>“三公经费”控制率年初设定目标是=100%，年中绩效运行监控时完成值</w:t>
      </w:r>
      <w:r>
        <w:rPr>
          <w:rFonts w:hint="eastAsia"/>
          <w:color w:val="auto"/>
          <w:highlight w:val="none"/>
          <w:lang w:val="en-US" w:eastAsia="zh-CN"/>
        </w:rPr>
        <w:t>35.56%</w:t>
      </w:r>
      <w:r>
        <w:rPr>
          <w:rFonts w:hint="eastAsia"/>
          <w:color w:val="auto"/>
          <w:highlight w:val="none"/>
        </w:rPr>
        <w:t>，年终实际完成值是100%，指标完成率是100%，达到压减“三公经费”支出率预期目标。偏差原因：无偏差。</w:t>
      </w:r>
    </w:p>
    <w:p w14:paraId="1F709FF7">
      <w:pPr>
        <w:numPr>
          <w:ilvl w:val="0"/>
          <w:numId w:val="4"/>
        </w:numPr>
        <w:rPr>
          <w:rFonts w:ascii="楷体_GB2312" w:hAnsi="楷体_GB2312" w:eastAsia="楷体_GB2312" w:cs="楷体_GB2312"/>
          <w:b/>
          <w:bCs/>
          <w:color w:val="auto"/>
          <w:sz w:val="32"/>
          <w:szCs w:val="32"/>
          <w:highlight w:val="none"/>
        </w:rPr>
      </w:pPr>
      <w:r>
        <w:rPr>
          <w:rFonts w:hint="eastAsia" w:ascii="楷体_GB2312" w:hAnsi="楷体_GB2312" w:eastAsia="楷体_GB2312" w:cs="楷体_GB2312"/>
          <w:b/>
          <w:bCs/>
          <w:color w:val="auto"/>
          <w:sz w:val="32"/>
          <w:szCs w:val="32"/>
          <w:highlight w:val="none"/>
        </w:rPr>
        <w:t>项目实施及时率指标完成情况分析</w:t>
      </w:r>
    </w:p>
    <w:p w14:paraId="5D2FB99E">
      <w:pPr>
        <w:rPr>
          <w:color w:val="auto"/>
          <w:highlight w:val="none"/>
        </w:rPr>
      </w:pPr>
      <w:r>
        <w:rPr>
          <w:rFonts w:hint="eastAsia" w:ascii="楷体_GB2312" w:hAnsi="楷体_GB2312" w:eastAsia="楷体_GB2312" w:cs="楷体_GB2312"/>
          <w:b/>
          <w:bCs/>
          <w:color w:val="auto"/>
          <w:sz w:val="32"/>
          <w:szCs w:val="32"/>
          <w:highlight w:val="none"/>
        </w:rPr>
        <w:tab/>
      </w:r>
      <w:r>
        <w:rPr>
          <w:rFonts w:hint="eastAsia"/>
          <w:color w:val="auto"/>
          <w:highlight w:val="none"/>
        </w:rPr>
        <w:t>项目实施及时率年初设定目标是≥95%，年中绩效运行监控时完成值</w:t>
      </w:r>
      <w:r>
        <w:rPr>
          <w:rFonts w:hint="eastAsia"/>
          <w:color w:val="auto"/>
          <w:highlight w:val="none"/>
          <w:lang w:val="en-US" w:eastAsia="zh-CN"/>
        </w:rPr>
        <w:t>60%</w:t>
      </w:r>
      <w:r>
        <w:rPr>
          <w:rFonts w:hint="eastAsia"/>
          <w:color w:val="auto"/>
          <w:highlight w:val="none"/>
        </w:rPr>
        <w:t>，年终实际完成值是95%，指标完成率是100%，达到项目及时实施，能按期完成的预期目标。偏差原因：无偏差。</w:t>
      </w:r>
    </w:p>
    <w:p w14:paraId="3DB1F02C">
      <w:pPr>
        <w:numPr>
          <w:ilvl w:val="0"/>
          <w:numId w:val="4"/>
        </w:numPr>
        <w:rPr>
          <w:rFonts w:ascii="楷体_GB2312" w:hAnsi="楷体_GB2312" w:eastAsia="楷体_GB2312" w:cs="楷体_GB2312"/>
          <w:b/>
          <w:bCs/>
          <w:color w:val="auto"/>
          <w:sz w:val="32"/>
          <w:szCs w:val="32"/>
          <w:highlight w:val="none"/>
        </w:rPr>
      </w:pPr>
      <w:r>
        <w:rPr>
          <w:rFonts w:hint="eastAsia" w:ascii="楷体_GB2312" w:hAnsi="楷体_GB2312" w:eastAsia="楷体_GB2312" w:cs="楷体_GB2312"/>
          <w:b/>
          <w:bCs/>
          <w:color w:val="auto"/>
          <w:sz w:val="32"/>
          <w:szCs w:val="32"/>
          <w:highlight w:val="none"/>
        </w:rPr>
        <w:t>保障职工数量指标完成情况分析</w:t>
      </w:r>
    </w:p>
    <w:p w14:paraId="6C418E8B">
      <w:pPr>
        <w:ind w:firstLine="560"/>
        <w:rPr>
          <w:color w:val="auto"/>
          <w:highlight w:val="none"/>
        </w:rPr>
      </w:pPr>
      <w:r>
        <w:rPr>
          <w:rFonts w:hint="eastAsia"/>
          <w:bCs/>
          <w:color w:val="auto"/>
          <w:highlight w:val="none"/>
        </w:rPr>
        <w:t>保障职工数量年初设定目标是≤</w:t>
      </w:r>
      <w:r>
        <w:rPr>
          <w:rFonts w:hint="eastAsia"/>
          <w:bCs/>
          <w:color w:val="auto"/>
          <w:highlight w:val="none"/>
          <w:lang w:val="en-US" w:eastAsia="zh-CN"/>
        </w:rPr>
        <w:t>230</w:t>
      </w:r>
      <w:r>
        <w:rPr>
          <w:rFonts w:hint="eastAsia"/>
          <w:bCs/>
          <w:color w:val="auto"/>
          <w:highlight w:val="none"/>
        </w:rPr>
        <w:t>人，年中绩效运行监控时完成值</w:t>
      </w:r>
      <w:r>
        <w:rPr>
          <w:rFonts w:hint="eastAsia"/>
          <w:bCs/>
          <w:color w:val="auto"/>
          <w:highlight w:val="none"/>
          <w:lang w:val="en-US" w:eastAsia="zh-CN"/>
        </w:rPr>
        <w:t>230人</w:t>
      </w:r>
      <w:r>
        <w:rPr>
          <w:rFonts w:hint="eastAsia"/>
          <w:bCs/>
          <w:color w:val="auto"/>
          <w:highlight w:val="none"/>
        </w:rPr>
        <w:t>，年终实际完成值是</w:t>
      </w:r>
      <w:r>
        <w:rPr>
          <w:rFonts w:hint="eastAsia"/>
          <w:bCs/>
          <w:color w:val="auto"/>
          <w:highlight w:val="none"/>
          <w:lang w:val="en-US" w:eastAsia="zh-CN"/>
        </w:rPr>
        <w:t>230人</w:t>
      </w:r>
      <w:r>
        <w:rPr>
          <w:rFonts w:hint="eastAsia"/>
          <w:bCs/>
          <w:color w:val="auto"/>
          <w:highlight w:val="none"/>
        </w:rPr>
        <w:t>，指标完成率是100%，达到了单位在职职工工资的按时足额发放，单位的正常运转，广大干部职工工作积极性提高的预期目标。偏差原因：无偏差。</w:t>
      </w:r>
    </w:p>
    <w:p w14:paraId="21FB5B31">
      <w:pPr>
        <w:numPr>
          <w:ilvl w:val="0"/>
          <w:numId w:val="4"/>
        </w:numPr>
        <w:rPr>
          <w:rFonts w:ascii="楷体_GB2312" w:hAnsi="楷体_GB2312" w:eastAsia="楷体_GB2312" w:cs="楷体_GB2312"/>
          <w:b/>
          <w:bCs/>
          <w:color w:val="auto"/>
          <w:sz w:val="32"/>
          <w:szCs w:val="32"/>
          <w:highlight w:val="none"/>
        </w:rPr>
      </w:pPr>
      <w:r>
        <w:rPr>
          <w:rFonts w:hint="eastAsia" w:ascii="楷体_GB2312" w:hAnsi="楷体_GB2312" w:eastAsia="楷体_GB2312" w:cs="楷体_GB2312"/>
          <w:b/>
          <w:bCs/>
          <w:color w:val="auto"/>
          <w:sz w:val="32"/>
          <w:szCs w:val="32"/>
          <w:highlight w:val="none"/>
        </w:rPr>
        <w:t>为民</w:t>
      </w:r>
      <w:r>
        <w:rPr>
          <w:rFonts w:hint="eastAsia" w:ascii="楷体_GB2312" w:hAnsi="楷体_GB2312" w:eastAsia="楷体_GB2312" w:cs="楷体_GB2312"/>
          <w:b/>
          <w:bCs/>
          <w:color w:val="auto"/>
          <w:sz w:val="32"/>
          <w:szCs w:val="32"/>
          <w:highlight w:val="none"/>
          <w:lang w:eastAsia="zh-CN"/>
        </w:rPr>
        <w:t>办实事</w:t>
      </w:r>
      <w:r>
        <w:rPr>
          <w:rFonts w:hint="eastAsia" w:ascii="楷体_GB2312" w:hAnsi="楷体_GB2312" w:eastAsia="楷体_GB2312" w:cs="楷体_GB2312"/>
          <w:b/>
          <w:bCs/>
          <w:color w:val="auto"/>
          <w:sz w:val="32"/>
          <w:szCs w:val="32"/>
          <w:highlight w:val="none"/>
        </w:rPr>
        <w:t>数量指标完成情况分析</w:t>
      </w:r>
    </w:p>
    <w:p w14:paraId="072912D9">
      <w:pPr>
        <w:ind w:firstLine="560"/>
        <w:rPr>
          <w:bCs/>
          <w:color w:val="auto"/>
          <w:highlight w:val="none"/>
        </w:rPr>
      </w:pPr>
      <w:r>
        <w:rPr>
          <w:rFonts w:hint="eastAsia"/>
          <w:bCs/>
          <w:color w:val="auto"/>
          <w:highlight w:val="none"/>
        </w:rPr>
        <w:t>为民</w:t>
      </w:r>
      <w:r>
        <w:rPr>
          <w:rFonts w:hint="eastAsia"/>
          <w:bCs/>
          <w:color w:val="auto"/>
          <w:highlight w:val="none"/>
          <w:lang w:eastAsia="zh-CN"/>
        </w:rPr>
        <w:t>办实事</w:t>
      </w:r>
      <w:r>
        <w:rPr>
          <w:rFonts w:hint="eastAsia"/>
          <w:bCs/>
          <w:color w:val="auto"/>
          <w:highlight w:val="none"/>
        </w:rPr>
        <w:t>数量年初设定目标是≥1</w:t>
      </w:r>
      <w:r>
        <w:rPr>
          <w:rFonts w:hint="eastAsia"/>
          <w:bCs/>
          <w:color w:val="auto"/>
          <w:highlight w:val="none"/>
          <w:lang w:val="en-US" w:eastAsia="zh-CN"/>
        </w:rPr>
        <w:t>40</w:t>
      </w:r>
      <w:r>
        <w:rPr>
          <w:rFonts w:hint="eastAsia"/>
          <w:bCs/>
          <w:color w:val="auto"/>
          <w:highlight w:val="none"/>
        </w:rPr>
        <w:t>件，年中绩效运行监控时完成值</w:t>
      </w:r>
      <w:r>
        <w:rPr>
          <w:rFonts w:hint="eastAsia"/>
          <w:bCs/>
          <w:color w:val="auto"/>
          <w:highlight w:val="none"/>
          <w:lang w:val="en-US" w:eastAsia="zh-CN"/>
        </w:rPr>
        <w:t>120</w:t>
      </w:r>
      <w:r>
        <w:rPr>
          <w:rFonts w:hint="eastAsia"/>
          <w:bCs/>
          <w:color w:val="auto"/>
          <w:highlight w:val="none"/>
        </w:rPr>
        <w:t>件，年终实际完成值是1</w:t>
      </w:r>
      <w:r>
        <w:rPr>
          <w:rFonts w:hint="eastAsia"/>
          <w:bCs/>
          <w:color w:val="auto"/>
          <w:highlight w:val="none"/>
          <w:lang w:val="en-US" w:eastAsia="zh-CN"/>
        </w:rPr>
        <w:t>40</w:t>
      </w:r>
      <w:r>
        <w:rPr>
          <w:rFonts w:hint="eastAsia"/>
          <w:bCs/>
          <w:color w:val="auto"/>
          <w:highlight w:val="none"/>
        </w:rPr>
        <w:t>件，指标完成率是100%，达到了提升村、社区党组织服务群众能力，减轻农民负担预期目标。偏差原因：无偏差。</w:t>
      </w:r>
    </w:p>
    <w:p w14:paraId="70CFE36D">
      <w:pPr>
        <w:numPr>
          <w:ilvl w:val="0"/>
          <w:numId w:val="4"/>
        </w:numPr>
        <w:rPr>
          <w:rFonts w:ascii="楷体_GB2312" w:hAnsi="楷体_GB2312" w:eastAsia="楷体_GB2312" w:cs="楷体_GB2312"/>
          <w:b/>
          <w:bCs/>
          <w:color w:val="auto"/>
          <w:sz w:val="32"/>
          <w:szCs w:val="32"/>
          <w:highlight w:val="none"/>
        </w:rPr>
      </w:pPr>
      <w:r>
        <w:rPr>
          <w:rFonts w:hint="eastAsia" w:ascii="楷体_GB2312" w:hAnsi="楷体_GB2312" w:eastAsia="楷体_GB2312" w:cs="楷体_GB2312"/>
          <w:b/>
          <w:bCs/>
          <w:color w:val="auto"/>
          <w:sz w:val="32"/>
          <w:szCs w:val="32"/>
          <w:highlight w:val="none"/>
        </w:rPr>
        <w:t>农牧民夜校受益人数指标完成情况分析</w:t>
      </w:r>
    </w:p>
    <w:p w14:paraId="45515A45">
      <w:pPr>
        <w:ind w:firstLine="560"/>
        <w:rPr>
          <w:bCs/>
          <w:color w:val="auto"/>
          <w:highlight w:val="none"/>
        </w:rPr>
      </w:pPr>
      <w:r>
        <w:rPr>
          <w:rFonts w:hint="eastAsia"/>
          <w:bCs/>
          <w:color w:val="auto"/>
          <w:highlight w:val="none"/>
        </w:rPr>
        <w:t>农牧民夜校受益人数年初设定目标是≥360人，年中绩效运行监控时完成值</w:t>
      </w:r>
      <w:r>
        <w:rPr>
          <w:rFonts w:hint="eastAsia"/>
          <w:bCs/>
          <w:color w:val="auto"/>
          <w:highlight w:val="none"/>
          <w:lang w:val="en-US" w:eastAsia="zh-CN"/>
        </w:rPr>
        <w:t>264</w:t>
      </w:r>
      <w:r>
        <w:rPr>
          <w:rFonts w:hint="eastAsia"/>
          <w:bCs/>
          <w:color w:val="auto"/>
          <w:highlight w:val="none"/>
        </w:rPr>
        <w:t>人，年终实际完成值是360人，指标完成率是100%，达到提升农牧民生活质量及国语水平预期目标。偏差原因：无偏差。</w:t>
      </w:r>
    </w:p>
    <w:p w14:paraId="14434A3E">
      <w:pPr>
        <w:numPr>
          <w:ilvl w:val="0"/>
          <w:numId w:val="4"/>
        </w:numPr>
        <w:rPr>
          <w:rFonts w:ascii="楷体_GB2312" w:hAnsi="楷体_GB2312" w:eastAsia="楷体_GB2312" w:cs="楷体_GB2312"/>
          <w:b/>
          <w:bCs/>
          <w:color w:val="auto"/>
          <w:sz w:val="32"/>
          <w:szCs w:val="32"/>
          <w:highlight w:val="none"/>
        </w:rPr>
      </w:pPr>
      <w:r>
        <w:rPr>
          <w:rFonts w:hint="eastAsia" w:ascii="楷体_GB2312" w:hAnsi="楷体_GB2312" w:eastAsia="楷体_GB2312" w:cs="楷体_GB2312"/>
          <w:b/>
          <w:bCs/>
          <w:color w:val="auto"/>
          <w:sz w:val="32"/>
          <w:szCs w:val="32"/>
          <w:highlight w:val="none"/>
        </w:rPr>
        <w:t>干部职工满意度指标完成情况分析</w:t>
      </w:r>
    </w:p>
    <w:p w14:paraId="4A580581">
      <w:pPr>
        <w:ind w:firstLine="560"/>
        <w:rPr>
          <w:rFonts w:hint="eastAsia"/>
          <w:color w:val="auto"/>
          <w:highlight w:val="none"/>
          <w:lang w:eastAsia="zh-CN"/>
        </w:rPr>
      </w:pPr>
      <w:r>
        <w:rPr>
          <w:rFonts w:hint="eastAsia"/>
          <w:bCs/>
          <w:color w:val="auto"/>
          <w:highlight w:val="none"/>
        </w:rPr>
        <w:t>干部职工满意度年初设定目标是≥95%，年中绩效运行监控时完成值未达监控节点，年终实际完成值是95%，指标完成率是100%，达到有效提高干部职工工作满意度，调动干部职工积极性预期目标。偏差原因：无偏差。</w:t>
      </w:r>
    </w:p>
    <w:p w14:paraId="0251C926">
      <w:pPr>
        <w:pStyle w:val="2"/>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14:paraId="37D6C417">
      <w:pPr>
        <w:ind w:firstLine="560"/>
        <w:rPr>
          <w:rFonts w:ascii="Times New Roman" w:hAnsi="Times New Roman" w:cs="Times New Roman"/>
          <w:color w:val="auto"/>
          <w:highlight w:val="none"/>
        </w:rPr>
      </w:pPr>
      <w:r>
        <w:rPr>
          <w:rFonts w:hint="eastAsia"/>
          <w:color w:val="auto"/>
          <w:highlight w:val="none"/>
        </w:rPr>
        <w:t>我单位2023年度部门整体支出绩效自评综合得分100分，评价结果为“优”。</w:t>
      </w:r>
      <w:r>
        <w:rPr>
          <w:rFonts w:hint="eastAsia" w:ascii="Times New Roman" w:hAnsi="Times New Roman" w:cs="Times New Roman"/>
          <w:color w:val="auto"/>
          <w:highlight w:val="none"/>
        </w:rPr>
        <w:t>我</w:t>
      </w:r>
      <w:r>
        <w:rPr>
          <w:rFonts w:ascii="Times New Roman" w:hAnsi="Times New Roman" w:cs="Times New Roman"/>
          <w:color w:val="auto"/>
          <w:highlight w:val="none"/>
        </w:rPr>
        <w:t>单位202</w:t>
      </w:r>
      <w:r>
        <w:rPr>
          <w:rFonts w:hint="eastAsia" w:ascii="Times New Roman" w:hAnsi="Times New Roman" w:cs="Times New Roman"/>
          <w:color w:val="auto"/>
          <w:highlight w:val="none"/>
        </w:rPr>
        <w:t>3</w:t>
      </w:r>
      <w:r>
        <w:rPr>
          <w:rFonts w:ascii="Times New Roman" w:hAnsi="Times New Roman" w:cs="Times New Roman"/>
          <w:color w:val="auto"/>
          <w:highlight w:val="none"/>
        </w:rPr>
        <w:t>年部门履职效果良好，</w:t>
      </w:r>
      <w:r>
        <w:rPr>
          <w:rFonts w:hint="eastAsia" w:ascii="Times New Roman" w:hAnsi="Times New Roman" w:cs="Times New Roman"/>
          <w:color w:val="auto"/>
          <w:highlight w:val="none"/>
        </w:rPr>
        <w:t>主要体现在：</w:t>
      </w:r>
    </w:p>
    <w:p w14:paraId="64497C70">
      <w:pPr>
        <w:ind w:firstLine="560"/>
        <w:rPr>
          <w:rFonts w:ascii="仿宋" w:hAnsi="仿宋" w:cs="仿宋"/>
          <w:color w:val="auto"/>
          <w:szCs w:val="28"/>
          <w:highlight w:val="none"/>
        </w:rPr>
      </w:pPr>
      <w:r>
        <w:rPr>
          <w:rFonts w:hint="eastAsia" w:ascii="Times New Roman" w:hAnsi="Times New Roman" w:cs="Times New Roman"/>
          <w:color w:val="auto"/>
          <w:highlight w:val="none"/>
        </w:rPr>
        <w:t>乡镇人员保障人数为</w:t>
      </w:r>
      <w:r>
        <w:rPr>
          <w:rFonts w:hint="eastAsia" w:ascii="Times New Roman" w:hAnsi="Times New Roman" w:cs="Times New Roman"/>
          <w:color w:val="auto"/>
          <w:highlight w:val="none"/>
          <w:lang w:val="en-US" w:eastAsia="zh-CN"/>
        </w:rPr>
        <w:t>230</w:t>
      </w:r>
      <w:r>
        <w:rPr>
          <w:rFonts w:hint="eastAsia" w:ascii="Times New Roman" w:hAnsi="Times New Roman" w:cs="Times New Roman"/>
          <w:color w:val="auto"/>
          <w:highlight w:val="none"/>
        </w:rPr>
        <w:t>人，有效解决乡镇办公运行经费保障问题，提升村、社区党组织服务群众能力，减轻农民负担。通过村、社区党组织惠民政策的实施、村、社区党建服务品牌建设、村、社区运转经费和实施等</w:t>
      </w:r>
      <w:r>
        <w:rPr>
          <w:rFonts w:hint="eastAsia" w:ascii="Times New Roman" w:hAnsi="Times New Roman" w:cs="Times New Roman"/>
          <w:color w:val="auto"/>
          <w:highlight w:val="none"/>
          <w:lang w:eastAsia="zh-CN"/>
        </w:rPr>
        <w:t>为民办实事</w:t>
      </w:r>
      <w:bookmarkStart w:id="6" w:name="_GoBack"/>
      <w:bookmarkEnd w:id="6"/>
      <w:r>
        <w:rPr>
          <w:rFonts w:hint="eastAsia" w:ascii="Times New Roman" w:hAnsi="Times New Roman" w:cs="Times New Roman"/>
          <w:color w:val="auto"/>
          <w:highlight w:val="none"/>
        </w:rPr>
        <w:t>项目的开展，确保为民</w:t>
      </w:r>
      <w:r>
        <w:rPr>
          <w:rFonts w:hint="eastAsia" w:ascii="Times New Roman" w:hAnsi="Times New Roman" w:cs="Times New Roman"/>
          <w:color w:val="auto"/>
          <w:highlight w:val="none"/>
          <w:lang w:eastAsia="zh-CN"/>
        </w:rPr>
        <w:t>办实事</w:t>
      </w:r>
      <w:r>
        <w:rPr>
          <w:rFonts w:hint="eastAsia" w:ascii="Times New Roman" w:hAnsi="Times New Roman" w:cs="Times New Roman"/>
          <w:color w:val="auto"/>
          <w:highlight w:val="none"/>
        </w:rPr>
        <w:t>工作覆盖率达到95%以上，提升村、社区党组织服务群众能力。具体措施</w:t>
      </w:r>
      <w:r>
        <w:rPr>
          <w:rFonts w:hint="eastAsia" w:ascii="Times New Roman" w:hAnsi="Times New Roman" w:cs="Times New Roman"/>
          <w:color w:val="auto"/>
          <w:highlight w:val="none"/>
          <w:lang w:eastAsia="zh-CN"/>
        </w:rPr>
        <w:t>落到实处</w:t>
      </w:r>
      <w:r>
        <w:rPr>
          <w:rFonts w:hint="eastAsia" w:ascii="Times New Roman" w:hAnsi="Times New Roman" w:cs="Times New Roman"/>
          <w:color w:val="auto"/>
          <w:highlight w:val="none"/>
        </w:rPr>
        <w:t>。加强社会管理综合治理能力，维护社会稳定，营造良好社会秩序。确保专项资金专款专用，监督管理使用好各项支出，发挥效益目标。</w:t>
      </w:r>
    </w:p>
    <w:p w14:paraId="21247C1E">
      <w:pPr>
        <w:pStyle w:val="2"/>
        <w:rPr>
          <w:color w:val="auto"/>
          <w:highlight w:val="none"/>
        </w:rPr>
      </w:pPr>
      <w:bookmarkStart w:id="4" w:name="_Toc22800_WPSOffice_Level1"/>
      <w:r>
        <w:rPr>
          <w:rFonts w:hint="eastAsia"/>
          <w:color w:val="auto"/>
          <w:highlight w:val="none"/>
        </w:rPr>
        <w:t>五、存在的主要问题</w:t>
      </w:r>
      <w:bookmarkEnd w:id="4"/>
      <w:r>
        <w:rPr>
          <w:rFonts w:hint="eastAsia"/>
          <w:color w:val="auto"/>
          <w:highlight w:val="none"/>
        </w:rPr>
        <w:t>及原因分析</w:t>
      </w:r>
    </w:p>
    <w:p w14:paraId="70EFD564">
      <w:pPr>
        <w:bidi w:val="0"/>
        <w:rPr>
          <w:rFonts w:hint="eastAsia"/>
          <w:color w:val="auto"/>
          <w:highlight w:val="none"/>
          <w:lang w:val="en-US" w:eastAsia="zh-CN"/>
        </w:rPr>
      </w:pPr>
      <w:bookmarkStart w:id="5" w:name="_Toc29546_WPSOffice_Level1"/>
      <w:r>
        <w:rPr>
          <w:rFonts w:hint="eastAsia"/>
          <w:color w:val="auto"/>
          <w:highlight w:val="none"/>
          <w:lang w:val="en-US" w:eastAsia="zh-CN"/>
        </w:rPr>
        <w:t>1.绩效指标目标值的设定有待进一步合理化，在分解总体绩效目标中，产出指标中的质量指标设置为“项目完成率”不能很好地反馈该项目实施的质量；此外时效指标设置为“项目持续时间”太过笼统，也不能很好体现项目是否及时开展。</w:t>
      </w:r>
    </w:p>
    <w:p w14:paraId="059DFA5E">
      <w:pPr>
        <w:bidi w:val="0"/>
        <w:rPr>
          <w:rFonts w:hint="eastAsia"/>
          <w:color w:val="auto"/>
          <w:highlight w:val="none"/>
          <w:lang w:val="en-US" w:eastAsia="zh-CN"/>
        </w:rPr>
      </w:pPr>
      <w:r>
        <w:rPr>
          <w:rFonts w:hint="eastAsia"/>
          <w:color w:val="auto"/>
          <w:highlight w:val="none"/>
          <w:lang w:val="en-US" w:eastAsia="zh-CN"/>
        </w:rPr>
        <w:t>2.财务工作按部就班，缺乏创新，在精度和深度上欠缺，预算金额与实际执行金额存在偏差，还需要进一步完善，在项目实施方面还需要进一步严格。内部管理相关制度虽已建立，但管理上较为粗糙，部分未实际落实到位。</w:t>
      </w:r>
    </w:p>
    <w:p w14:paraId="2F45F841">
      <w:pPr>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六、改进措施和建议</w:t>
      </w:r>
      <w:bookmarkEnd w:id="5"/>
    </w:p>
    <w:p w14:paraId="7133C775">
      <w:pPr>
        <w:bidi w:val="0"/>
        <w:rPr>
          <w:rFonts w:hint="eastAsia"/>
          <w:color w:val="auto"/>
          <w:highlight w:val="none"/>
          <w:lang w:val="en-US" w:eastAsia="zh-CN"/>
        </w:rPr>
      </w:pPr>
      <w:r>
        <w:rPr>
          <w:rFonts w:hint="eastAsia"/>
          <w:color w:val="auto"/>
          <w:highlight w:val="none"/>
          <w:lang w:val="en-US" w:eastAsia="zh-CN"/>
        </w:rPr>
        <w:t>1、一是加强责任制度落实。分清预算职责，完善单位绩效考核机制，保证预算资金按照目标执行。二是加强绩效目标设置管理，减少数据偏差，规范预算人员对项目的核算，提高项目预算的准确性。三是加强单位各科室之间对预算编制的充分沟通，预算编制主要由财务部门负责，财务人员重点在于对数据的统计分析，缺乏对单位项目实际情况的了解，应与各科室加强沟通，使得预算得到有效执行。四是加强监督机制，把绩效监控工作列入重要议事日程，并将其作为加强自身财务建设，提高项目资金使用效益的重要手段，切实抓紧抓好。</w:t>
      </w:r>
    </w:p>
    <w:p w14:paraId="1CE2F30B">
      <w:pPr>
        <w:bidi w:val="0"/>
        <w:rPr>
          <w:rFonts w:hint="default"/>
          <w:color w:val="auto"/>
          <w:highlight w:val="none"/>
          <w:lang w:val="en-US" w:eastAsia="zh-CN"/>
        </w:rPr>
      </w:pPr>
      <w:r>
        <w:rPr>
          <w:rFonts w:hint="eastAsia"/>
          <w:color w:val="auto"/>
          <w:highlight w:val="none"/>
          <w:lang w:val="en-US" w:eastAsia="zh-CN"/>
        </w:rPr>
        <w:t>2、我单位严格遵守《中华人民共和国会计法》《中华人民共和国预算法》《行政单位财务规则》等法律和有关财政财务规章，规范财政资金管理，量入为出，统筹兼顾，突出重点，讲究实效，防范风险，合理使用各项资金，确保了我单位预算管理的成效，全年预算支出整体受控。 一是严格规范资金收支审批制度。明确和划分人员责任，细化资金支付审批权限及审批流程，强化资金收支的内部控制，对重要的财务支出项目，应实施重点审批、严格审批；确保资金支出的内容和数据真实，各类经济事项符合开支标准和范围，符合效益性和节约性原则。二是强化预算约束。推行全面预算理念，在科学合理编制部门预算的基础上，对部门预算中各项经费进一步细化，分类施控，严格执行，实现对经济活动全程管控，确保所有工作都在预算范围内有序进行，以此强化预算源头管控和精细化管理。三是强化流程管理。推进全面流程化管理，在专项资金分配、预算编制、财务审批和报销、资产管理、经济合同管理及政府采购等方面，都实施流程化、规范化管理模式，编制了财务管理操作流程，以财务管理为“牛鼻子”，全面提高单位内部管理水平。四是强化集中采购。树立全面节约意识，严控一般性经费支出。特别是在办公设备购置和办公用品使用方面，配合相关科室，按照厉行节约、统筹调剂、合理使用的原则加强审核，严控支出，并逐步取得了一定成效。</w:t>
      </w:r>
    </w:p>
    <w:p w14:paraId="2D536FE1">
      <w:pPr>
        <w:pStyle w:val="2"/>
        <w:rPr>
          <w:color w:val="auto"/>
          <w:highlight w:val="none"/>
        </w:rPr>
      </w:pPr>
      <w:r>
        <w:rPr>
          <w:rFonts w:hint="eastAsia"/>
          <w:color w:val="auto"/>
          <w:highlight w:val="none"/>
        </w:rPr>
        <w:t>七、附件上传</w:t>
      </w:r>
    </w:p>
    <w:p w14:paraId="4BD4089D">
      <w:pPr>
        <w:ind w:firstLine="0" w:firstLineChars="0"/>
        <w:rPr>
          <w:color w:val="auto"/>
          <w:highlight w:val="none"/>
        </w:rPr>
      </w:pPr>
    </w:p>
    <w:p w14:paraId="48C03EDA">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CF180F">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14:paraId="0931DA47">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783CCD"/>
    <w:multiLevelType w:val="singleLevel"/>
    <w:tmpl w:val="AF783CCD"/>
    <w:lvl w:ilvl="0" w:tentative="0">
      <w:start w:val="1"/>
      <w:numFmt w:val="chineseCounting"/>
      <w:suff w:val="nothing"/>
      <w:lvlText w:val="（%1）"/>
      <w:lvlJc w:val="left"/>
      <w:rPr>
        <w:rFonts w:hint="eastAsia"/>
      </w:rPr>
    </w:lvl>
  </w:abstractNum>
  <w:abstractNum w:abstractNumId="1">
    <w:nsid w:val="CDD6096B"/>
    <w:multiLevelType w:val="singleLevel"/>
    <w:tmpl w:val="CDD6096B"/>
    <w:lvl w:ilvl="0" w:tentative="0">
      <w:start w:val="2"/>
      <w:numFmt w:val="chineseCounting"/>
      <w:suff w:val="nothing"/>
      <w:lvlText w:val="（%1）"/>
      <w:lvlJc w:val="left"/>
      <w:rPr>
        <w:rFonts w:hint="eastAsia"/>
      </w:rPr>
    </w:lvl>
  </w:abstractNum>
  <w:abstractNum w:abstractNumId="2">
    <w:nsid w:val="2BBB9C7F"/>
    <w:multiLevelType w:val="singleLevel"/>
    <w:tmpl w:val="2BBB9C7F"/>
    <w:lvl w:ilvl="0" w:tentative="0">
      <w:start w:val="3"/>
      <w:numFmt w:val="chineseCounting"/>
      <w:suff w:val="nothing"/>
      <w:lvlText w:val="（%1）"/>
      <w:lvlJc w:val="left"/>
      <w:rPr>
        <w:rFonts w:hint="eastAsia"/>
      </w:rPr>
    </w:lvl>
  </w:abstractNum>
  <w:abstractNum w:abstractNumId="3">
    <w:nsid w:val="4D9E5DDD"/>
    <w:multiLevelType w:val="singleLevel"/>
    <w:tmpl w:val="4D9E5DDD"/>
    <w:lvl w:ilvl="0" w:tentative="0">
      <w:start w:val="2"/>
      <w:numFmt w:val="chineseCounting"/>
      <w:suff w:val="nothing"/>
      <w:lvlText w:val="（%1）"/>
      <w:lvlJc w:val="left"/>
      <w:rPr>
        <w:rFonts w:hint="eastAsia"/>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A1DBC"/>
    <w:rsid w:val="009F5A38"/>
    <w:rsid w:val="00AA5126"/>
    <w:rsid w:val="00AD16CD"/>
    <w:rsid w:val="00B0507A"/>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3B41EB"/>
    <w:rsid w:val="0166386B"/>
    <w:rsid w:val="01941124"/>
    <w:rsid w:val="01CC583F"/>
    <w:rsid w:val="02337D11"/>
    <w:rsid w:val="02C40969"/>
    <w:rsid w:val="02F60922"/>
    <w:rsid w:val="04034DF8"/>
    <w:rsid w:val="04B91283"/>
    <w:rsid w:val="04DB4953"/>
    <w:rsid w:val="04FF0482"/>
    <w:rsid w:val="05062887"/>
    <w:rsid w:val="05464D81"/>
    <w:rsid w:val="05F41565"/>
    <w:rsid w:val="05F70F85"/>
    <w:rsid w:val="0607573C"/>
    <w:rsid w:val="06547701"/>
    <w:rsid w:val="072B19D6"/>
    <w:rsid w:val="07322345"/>
    <w:rsid w:val="084208C4"/>
    <w:rsid w:val="08872B64"/>
    <w:rsid w:val="08EC4BEF"/>
    <w:rsid w:val="098A3C0A"/>
    <w:rsid w:val="09A24E4E"/>
    <w:rsid w:val="0A9A7091"/>
    <w:rsid w:val="0B5807E8"/>
    <w:rsid w:val="0C3118A4"/>
    <w:rsid w:val="0C6738B8"/>
    <w:rsid w:val="0C926EA0"/>
    <w:rsid w:val="0E7D784C"/>
    <w:rsid w:val="10300946"/>
    <w:rsid w:val="10771385"/>
    <w:rsid w:val="10E50428"/>
    <w:rsid w:val="10FE60D7"/>
    <w:rsid w:val="127001C5"/>
    <w:rsid w:val="134F7771"/>
    <w:rsid w:val="13E513B9"/>
    <w:rsid w:val="14536BBF"/>
    <w:rsid w:val="158C5316"/>
    <w:rsid w:val="15B904C0"/>
    <w:rsid w:val="161B669A"/>
    <w:rsid w:val="165C118C"/>
    <w:rsid w:val="172D035F"/>
    <w:rsid w:val="175D58E3"/>
    <w:rsid w:val="18061B60"/>
    <w:rsid w:val="190C3DF8"/>
    <w:rsid w:val="19235F91"/>
    <w:rsid w:val="19AA4D08"/>
    <w:rsid w:val="19F83E30"/>
    <w:rsid w:val="1B216501"/>
    <w:rsid w:val="1B403139"/>
    <w:rsid w:val="1BB92CC7"/>
    <w:rsid w:val="1C6D319F"/>
    <w:rsid w:val="1D384A93"/>
    <w:rsid w:val="1D4D74D6"/>
    <w:rsid w:val="1D9531D6"/>
    <w:rsid w:val="1DE32CFD"/>
    <w:rsid w:val="1DE63A32"/>
    <w:rsid w:val="1E6D7CAF"/>
    <w:rsid w:val="1F1A602A"/>
    <w:rsid w:val="1F2854B6"/>
    <w:rsid w:val="20A632A4"/>
    <w:rsid w:val="217D20CE"/>
    <w:rsid w:val="21C67E02"/>
    <w:rsid w:val="21C768CD"/>
    <w:rsid w:val="22E14253"/>
    <w:rsid w:val="23931BB2"/>
    <w:rsid w:val="23AA640A"/>
    <w:rsid w:val="23E629DD"/>
    <w:rsid w:val="23F209A3"/>
    <w:rsid w:val="2403516E"/>
    <w:rsid w:val="248D2E59"/>
    <w:rsid w:val="24E71FCC"/>
    <w:rsid w:val="256A2A9E"/>
    <w:rsid w:val="26784081"/>
    <w:rsid w:val="268362C1"/>
    <w:rsid w:val="27F7226E"/>
    <w:rsid w:val="2805537E"/>
    <w:rsid w:val="289437EE"/>
    <w:rsid w:val="297873DB"/>
    <w:rsid w:val="29F35E61"/>
    <w:rsid w:val="2A285817"/>
    <w:rsid w:val="2ABD26A1"/>
    <w:rsid w:val="2B424025"/>
    <w:rsid w:val="2B6F150A"/>
    <w:rsid w:val="2BB557CB"/>
    <w:rsid w:val="2BC51751"/>
    <w:rsid w:val="2CB03B88"/>
    <w:rsid w:val="2D166684"/>
    <w:rsid w:val="2D6F74BD"/>
    <w:rsid w:val="2DDD44E2"/>
    <w:rsid w:val="2EBF757D"/>
    <w:rsid w:val="313A1C72"/>
    <w:rsid w:val="31927D00"/>
    <w:rsid w:val="31AE39CE"/>
    <w:rsid w:val="31B83F5F"/>
    <w:rsid w:val="328E2AB6"/>
    <w:rsid w:val="329B12EA"/>
    <w:rsid w:val="32FB1A54"/>
    <w:rsid w:val="331A3077"/>
    <w:rsid w:val="33291F9F"/>
    <w:rsid w:val="335B21DC"/>
    <w:rsid w:val="33A83F87"/>
    <w:rsid w:val="340D2D0F"/>
    <w:rsid w:val="34510F68"/>
    <w:rsid w:val="348F1A9E"/>
    <w:rsid w:val="355C2B3F"/>
    <w:rsid w:val="356B4AF0"/>
    <w:rsid w:val="35F12468"/>
    <w:rsid w:val="36851B5C"/>
    <w:rsid w:val="36B40EBB"/>
    <w:rsid w:val="37661A13"/>
    <w:rsid w:val="379871D0"/>
    <w:rsid w:val="37BA58BB"/>
    <w:rsid w:val="37D360CA"/>
    <w:rsid w:val="38CB5066"/>
    <w:rsid w:val="38E054C9"/>
    <w:rsid w:val="3A565DE9"/>
    <w:rsid w:val="3AC36A27"/>
    <w:rsid w:val="3B4A3407"/>
    <w:rsid w:val="3B7B35B3"/>
    <w:rsid w:val="3DC96858"/>
    <w:rsid w:val="3DE23DBE"/>
    <w:rsid w:val="3F301058"/>
    <w:rsid w:val="3F6F7521"/>
    <w:rsid w:val="41780CC1"/>
    <w:rsid w:val="417A34F9"/>
    <w:rsid w:val="418810F4"/>
    <w:rsid w:val="41A37673"/>
    <w:rsid w:val="42503F5E"/>
    <w:rsid w:val="42C30950"/>
    <w:rsid w:val="444976EC"/>
    <w:rsid w:val="459B4F7E"/>
    <w:rsid w:val="45A65C7F"/>
    <w:rsid w:val="45F13359"/>
    <w:rsid w:val="468C2A4A"/>
    <w:rsid w:val="46AD2493"/>
    <w:rsid w:val="46EC7F14"/>
    <w:rsid w:val="47CA7D9C"/>
    <w:rsid w:val="47DB3D58"/>
    <w:rsid w:val="47DE1152"/>
    <w:rsid w:val="480D0379"/>
    <w:rsid w:val="48194880"/>
    <w:rsid w:val="48650FF9"/>
    <w:rsid w:val="48AF4C7F"/>
    <w:rsid w:val="4A5B46DD"/>
    <w:rsid w:val="4A6F6A56"/>
    <w:rsid w:val="4A81677A"/>
    <w:rsid w:val="4B3B5348"/>
    <w:rsid w:val="4DA177B2"/>
    <w:rsid w:val="4DA370C6"/>
    <w:rsid w:val="4DF36D4F"/>
    <w:rsid w:val="4EE96D5A"/>
    <w:rsid w:val="501B7C76"/>
    <w:rsid w:val="5038161B"/>
    <w:rsid w:val="504D5CCF"/>
    <w:rsid w:val="50CC6981"/>
    <w:rsid w:val="511A2CA6"/>
    <w:rsid w:val="52DE64AA"/>
    <w:rsid w:val="533A7469"/>
    <w:rsid w:val="534F73A8"/>
    <w:rsid w:val="53526129"/>
    <w:rsid w:val="538B4CD8"/>
    <w:rsid w:val="53A21BCD"/>
    <w:rsid w:val="54085ED4"/>
    <w:rsid w:val="54394F3D"/>
    <w:rsid w:val="547A48F8"/>
    <w:rsid w:val="560A704E"/>
    <w:rsid w:val="565F61A9"/>
    <w:rsid w:val="56AD4B11"/>
    <w:rsid w:val="56EB73E7"/>
    <w:rsid w:val="57232FC4"/>
    <w:rsid w:val="572D2326"/>
    <w:rsid w:val="57365691"/>
    <w:rsid w:val="57437223"/>
    <w:rsid w:val="578C4726"/>
    <w:rsid w:val="59EE1E48"/>
    <w:rsid w:val="5A1B6236"/>
    <w:rsid w:val="5A490F5C"/>
    <w:rsid w:val="5B805E16"/>
    <w:rsid w:val="5BD21464"/>
    <w:rsid w:val="5BDE2B83"/>
    <w:rsid w:val="5C777282"/>
    <w:rsid w:val="5D017965"/>
    <w:rsid w:val="5D59154F"/>
    <w:rsid w:val="5FE64BF0"/>
    <w:rsid w:val="60DC6DBD"/>
    <w:rsid w:val="61635F72"/>
    <w:rsid w:val="618606C5"/>
    <w:rsid w:val="6224402D"/>
    <w:rsid w:val="630E2DDB"/>
    <w:rsid w:val="6384067A"/>
    <w:rsid w:val="638D125E"/>
    <w:rsid w:val="6396333E"/>
    <w:rsid w:val="63E114D3"/>
    <w:rsid w:val="65E971E8"/>
    <w:rsid w:val="66F11925"/>
    <w:rsid w:val="66F616C9"/>
    <w:rsid w:val="676C00D0"/>
    <w:rsid w:val="67FC4732"/>
    <w:rsid w:val="6A2B7C2E"/>
    <w:rsid w:val="6AD46D46"/>
    <w:rsid w:val="6B053CD0"/>
    <w:rsid w:val="6B07083C"/>
    <w:rsid w:val="6B623CC4"/>
    <w:rsid w:val="6B6C65E0"/>
    <w:rsid w:val="6BC02799"/>
    <w:rsid w:val="6BE741CA"/>
    <w:rsid w:val="6C2B67AC"/>
    <w:rsid w:val="6C73445F"/>
    <w:rsid w:val="6CB31465"/>
    <w:rsid w:val="6DE07909"/>
    <w:rsid w:val="6E0145EF"/>
    <w:rsid w:val="6E58438A"/>
    <w:rsid w:val="6E7066F8"/>
    <w:rsid w:val="6E9C129B"/>
    <w:rsid w:val="6E9D5508"/>
    <w:rsid w:val="6F871359"/>
    <w:rsid w:val="70E92792"/>
    <w:rsid w:val="711B7F18"/>
    <w:rsid w:val="71D67CCD"/>
    <w:rsid w:val="71EB22B3"/>
    <w:rsid w:val="72010FA6"/>
    <w:rsid w:val="727C49D2"/>
    <w:rsid w:val="733F48EB"/>
    <w:rsid w:val="734662BC"/>
    <w:rsid w:val="738B7B30"/>
    <w:rsid w:val="738F2AA3"/>
    <w:rsid w:val="74212849"/>
    <w:rsid w:val="744C1D4E"/>
    <w:rsid w:val="748A4F72"/>
    <w:rsid w:val="74961819"/>
    <w:rsid w:val="750202C6"/>
    <w:rsid w:val="75664078"/>
    <w:rsid w:val="75CB4B5C"/>
    <w:rsid w:val="761E4132"/>
    <w:rsid w:val="76CC4A00"/>
    <w:rsid w:val="78061A79"/>
    <w:rsid w:val="78FE46E6"/>
    <w:rsid w:val="79181486"/>
    <w:rsid w:val="797F7494"/>
    <w:rsid w:val="7AFE508C"/>
    <w:rsid w:val="7B1576DB"/>
    <w:rsid w:val="7B2561EC"/>
    <w:rsid w:val="7B276391"/>
    <w:rsid w:val="7BC003CA"/>
    <w:rsid w:val="7CBF4BB4"/>
    <w:rsid w:val="7D641B1E"/>
    <w:rsid w:val="7DC818D1"/>
    <w:rsid w:val="7E53749D"/>
    <w:rsid w:val="7E5D346D"/>
    <w:rsid w:val="7EE547DE"/>
    <w:rsid w:val="7EFC7B34"/>
    <w:rsid w:val="7F1F0A7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2">
    <w:name w:val="heading 1"/>
    <w:basedOn w:val="1"/>
    <w:next w:val="1"/>
    <w:qFormat/>
    <w:uiPriority w:val="0"/>
    <w:pPr>
      <w:keepNext/>
      <w:keepLines/>
      <w:jc w:val="left"/>
      <w:outlineLvl w:val="0"/>
    </w:pPr>
    <w:rPr>
      <w:rFonts w:ascii="宋体" w:hAnsi="宋体" w:eastAsia="黑体"/>
      <w:bCs/>
      <w:kern w:val="44"/>
      <w:sz w:val="32"/>
      <w:szCs w:val="44"/>
    </w:rPr>
  </w:style>
  <w:style w:type="paragraph" w:styleId="3">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4">
    <w:name w:val="heading 3"/>
    <w:basedOn w:val="1"/>
    <w:next w:val="1"/>
    <w:unhideWhenUsed/>
    <w:qFormat/>
    <w:uiPriority w:val="9"/>
    <w:pPr>
      <w:keepNext/>
      <w:keepLines/>
      <w:spacing w:before="140" w:line="360" w:lineRule="auto"/>
      <w:outlineLvl w:val="2"/>
    </w:pPr>
    <w:rPr>
      <w:b/>
      <w:bCs/>
      <w:sz w:val="30"/>
      <w:szCs w:val="32"/>
    </w:rPr>
  </w:style>
  <w:style w:type="character" w:default="1" w:styleId="18">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Hyperlink"/>
    <w:basedOn w:val="18"/>
    <w:qFormat/>
    <w:uiPriority w:val="0"/>
    <w:rPr>
      <w:color w:val="5B677D"/>
      <w:u w:val="none"/>
    </w:rPr>
  </w:style>
  <w:style w:type="paragraph" w:customStyle="1" w:styleId="21">
    <w:name w:val="List Paragraph"/>
    <w:basedOn w:val="1"/>
    <w:unhideWhenUsed/>
    <w:qFormat/>
    <w:uiPriority w:val="99"/>
    <w:pPr>
      <w:ind w:firstLine="420" w:firstLineChars="200"/>
    </w:pPr>
  </w:style>
  <w:style w:type="character" w:customStyle="1" w:styleId="22">
    <w:name w:val="页脚 字符"/>
    <w:basedOn w:val="18"/>
    <w:link w:val="9"/>
    <w:qFormat/>
    <w:uiPriority w:val="99"/>
    <w:rPr>
      <w:sz w:val="18"/>
      <w:szCs w:val="18"/>
    </w:rPr>
  </w:style>
  <w:style w:type="character" w:customStyle="1" w:styleId="23">
    <w:name w:val="页眉 字符"/>
    <w:basedOn w:val="18"/>
    <w:link w:val="10"/>
    <w:qFormat/>
    <w:uiPriority w:val="99"/>
    <w:rPr>
      <w:sz w:val="18"/>
      <w:szCs w:val="18"/>
    </w:rPr>
  </w:style>
  <w:style w:type="paragraph" w:customStyle="1" w:styleId="24">
    <w:name w:val="WPSOffice手动目录 1"/>
    <w:qFormat/>
    <w:uiPriority w:val="0"/>
    <w:pPr>
      <w:ind w:leftChars="0"/>
    </w:pPr>
    <w:rPr>
      <w:rFonts w:asciiTheme="minorHAnsi" w:hAnsiTheme="minorHAnsi" w:eastAsiaTheme="minorEastAsia" w:cstheme="minorBidi"/>
      <w:sz w:val="20"/>
      <w:szCs w:val="20"/>
    </w:rPr>
  </w:style>
  <w:style w:type="paragraph" w:customStyle="1" w:styleId="25">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13</Pages>
  <Words>3326</Words>
  <Characters>3528</Characters>
  <Lines>7</Lines>
  <Paragraphs>2</Paragraphs>
  <TotalTime>5</TotalTime>
  <ScaleCrop>false</ScaleCrop>
  <LinksUpToDate>false</LinksUpToDate>
  <CharactersWithSpaces>3529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布舵</cp:lastModifiedBy>
  <dcterms:modified xsi:type="dcterms:W3CDTF">2024-11-22T04:25:47Z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FA48308C584B4C498E9734F137FE4F69</vt:lpwstr>
  </property>
</Properties>
</file>