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70DAB5">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和静县巴音郭楞乡卫生院整体</w:t>
      </w:r>
    </w:p>
    <w:p w14:paraId="3EA3D884">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支出绩效自评报告</w:t>
      </w:r>
    </w:p>
    <w:p w14:paraId="6D1578C4">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48EDE118">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264AB8C6">
      <w:pPr>
        <w:pStyle w:val="2"/>
        <w:bidi w:val="0"/>
        <w:rPr>
          <w:color w:val="auto"/>
          <w:highlight w:val="none"/>
        </w:rPr>
      </w:pPr>
      <w:r>
        <w:rPr>
          <w:rFonts w:hint="eastAsia"/>
          <w:color w:val="auto"/>
          <w:highlight w:val="none"/>
          <w:lang w:val="en-US" w:eastAsia="zh-CN"/>
        </w:rPr>
        <w:t>1.部门主要职能</w:t>
      </w:r>
    </w:p>
    <w:p w14:paraId="3022ADD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color w:val="auto"/>
          <w:highlight w:val="none"/>
          <w:lang w:val="en-US" w:eastAsia="zh-CN"/>
        </w:rPr>
        <w:t>和静县巴音郭楞乡卫生院主要职责是：</w:t>
      </w:r>
    </w:p>
    <w:p w14:paraId="3797B2C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14:paraId="01074BA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w:t>
      </w:r>
      <w:r>
        <w:rPr>
          <w:rFonts w:hint="eastAsia" w:hAnsi="仿宋" w:eastAsia="仿宋_GB2312" w:cs="仿宋"/>
          <w:color w:val="auto"/>
          <w:kern w:val="0"/>
          <w:sz w:val="28"/>
          <w:szCs w:val="28"/>
          <w:highlight w:val="none"/>
          <w:lang w:val="en-US" w:eastAsia="zh-CN"/>
        </w:rPr>
        <w:t>Ⅱ型</w:t>
      </w:r>
      <w:bookmarkStart w:id="6" w:name="_GoBack"/>
      <w:bookmarkEnd w:id="6"/>
      <w:r>
        <w:rPr>
          <w:rFonts w:hint="eastAsia" w:ascii="仿宋_GB2312" w:hAnsi="仿宋" w:eastAsia="仿宋_GB2312" w:cs="仿宋"/>
          <w:color w:val="auto"/>
          <w:kern w:val="0"/>
          <w:sz w:val="28"/>
          <w:szCs w:val="28"/>
          <w:highlight w:val="none"/>
          <w:lang w:val="en-US" w:eastAsia="zh-CN"/>
        </w:rPr>
        <w:t>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14:paraId="62F37F2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14:paraId="79BFEA2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14:paraId="0AAA734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14:paraId="6A688D1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14:paraId="7F890A26">
      <w:pPr>
        <w:rPr>
          <w:rFonts w:hint="eastAsia"/>
          <w:color w:val="auto"/>
          <w:highlight w:val="none"/>
          <w:lang w:val="en-US" w:eastAsia="zh-CN"/>
        </w:rPr>
      </w:pPr>
    </w:p>
    <w:p w14:paraId="4046700F">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2052FD8C">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olor w:val="auto"/>
          <w:sz w:val="32"/>
          <w:szCs w:val="32"/>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val="en-US" w:eastAsia="zh-CN"/>
        </w:rPr>
        <w:t>巴音郭楞</w:t>
      </w:r>
      <w:r>
        <w:rPr>
          <w:rFonts w:hint="eastAsia" w:hAnsi="宋体" w:eastAsia="仿宋_GB2312"/>
          <w:color w:val="auto"/>
          <w:sz w:val="28"/>
          <w:szCs w:val="28"/>
          <w:highlight w:val="none"/>
          <w:lang w:eastAsia="zh-CN"/>
        </w:rPr>
        <w:t>乡</w:t>
      </w:r>
      <w:r>
        <w:rPr>
          <w:rFonts w:hint="eastAsia" w:ascii="仿宋_GB2312" w:hAnsi="宋体" w:eastAsia="仿宋_GB2312"/>
          <w:color w:val="auto"/>
          <w:sz w:val="28"/>
          <w:szCs w:val="28"/>
          <w:highlight w:val="none"/>
          <w:lang w:eastAsia="zh-CN"/>
        </w:rPr>
        <w:t>卫生院</w:t>
      </w:r>
      <w:r>
        <w:rPr>
          <w:rFonts w:hint="eastAsia" w:ascii="仿宋_GB2312" w:hAnsi="宋体" w:eastAsia="仿宋_GB2312"/>
          <w:color w:val="auto"/>
          <w:sz w:val="28"/>
          <w:szCs w:val="28"/>
          <w:highlight w:val="none"/>
        </w:rPr>
        <w:t>是全额拨款事业单位，</w:t>
      </w:r>
      <w:r>
        <w:rPr>
          <w:rFonts w:hint="eastAsia" w:ascii="仿宋_GB2312" w:eastAsia="仿宋_GB2312" w:cs="仿宋_GB2312"/>
          <w:color w:val="auto"/>
          <w:sz w:val="28"/>
          <w:szCs w:val="28"/>
          <w:highlight w:val="none"/>
        </w:rPr>
        <w:t>无下属预算单位，</w:t>
      </w:r>
      <w:r>
        <w:rPr>
          <w:rFonts w:hint="eastAsia" w:ascii="仿宋_GB2312" w:hAnsi="黑体" w:eastAsia="仿宋_GB2312" w:cs="仿宋_GB2312"/>
          <w:color w:val="auto"/>
          <w:sz w:val="28"/>
          <w:szCs w:val="28"/>
          <w:highlight w:val="none"/>
        </w:rPr>
        <w:t>下设</w:t>
      </w:r>
      <w:r>
        <w:rPr>
          <w:rFonts w:hint="eastAsia" w:hAnsi="黑体" w:eastAsia="仿宋_GB2312" w:cs="仿宋_GB2312"/>
          <w:color w:val="auto"/>
          <w:sz w:val="28"/>
          <w:szCs w:val="28"/>
          <w:highlight w:val="none"/>
          <w:lang w:val="en-US" w:eastAsia="zh-CN"/>
        </w:rPr>
        <w:t>10</w:t>
      </w:r>
      <w:r>
        <w:rPr>
          <w:rFonts w:hint="eastAsia" w:ascii="仿宋_GB2312" w:hAnsi="黑体" w:eastAsia="仿宋_GB2312" w:cs="仿宋_GB2312"/>
          <w:color w:val="auto"/>
          <w:sz w:val="28"/>
          <w:szCs w:val="28"/>
          <w:highlight w:val="none"/>
        </w:rPr>
        <w:t>个</w:t>
      </w:r>
      <w:r>
        <w:rPr>
          <w:rFonts w:hint="eastAsia" w:ascii="仿宋_GB2312" w:hAnsi="黑体" w:eastAsia="仿宋_GB2312" w:cs="仿宋_GB2312"/>
          <w:color w:val="auto"/>
          <w:sz w:val="28"/>
          <w:szCs w:val="28"/>
          <w:highlight w:val="none"/>
          <w:lang w:val="en-US" w:eastAsia="zh-CN"/>
        </w:rPr>
        <w:t>科</w:t>
      </w:r>
      <w:r>
        <w:rPr>
          <w:rFonts w:hint="eastAsia" w:ascii="仿宋_GB2312" w:hAnsi="黑体" w:eastAsia="仿宋_GB2312" w:cs="仿宋_GB2312"/>
          <w:color w:val="auto"/>
          <w:sz w:val="28"/>
          <w:szCs w:val="28"/>
          <w:highlight w:val="none"/>
        </w:rPr>
        <w:t>室，分别是：</w:t>
      </w:r>
      <w:r>
        <w:rPr>
          <w:rFonts w:hint="eastAsia" w:ascii="仿宋_GB2312" w:hAnsi="仿宋" w:eastAsia="仿宋_GB2312"/>
          <w:color w:val="auto"/>
          <w:sz w:val="28"/>
          <w:szCs w:val="28"/>
          <w:highlight w:val="none"/>
        </w:rPr>
        <w:t>门诊部，药房，收费室，财务室、公共卫生科</w:t>
      </w:r>
      <w:r>
        <w:rPr>
          <w:rFonts w:hint="eastAsia" w:ascii="仿宋_GB2312" w:eastAsia="仿宋_GB2312"/>
          <w:color w:val="auto"/>
          <w:sz w:val="28"/>
          <w:szCs w:val="28"/>
          <w:highlight w:val="none"/>
          <w:lang w:val="en-US" w:eastAsia="zh-CN"/>
        </w:rPr>
        <w:t>、</w:t>
      </w:r>
      <w:r>
        <w:rPr>
          <w:rFonts w:hint="eastAsia" w:ascii="仿宋_GB2312" w:hAnsi="仿宋" w:eastAsia="仿宋_GB2312"/>
          <w:color w:val="auto"/>
          <w:sz w:val="28"/>
          <w:szCs w:val="28"/>
          <w:highlight w:val="none"/>
        </w:rPr>
        <w:t>防疫科</w:t>
      </w:r>
      <w:r>
        <w:rPr>
          <w:rFonts w:hint="eastAsia" w:ascii="仿宋_GB2312" w:eastAsia="仿宋_GB2312"/>
          <w:color w:val="auto"/>
          <w:sz w:val="28"/>
          <w:szCs w:val="28"/>
          <w:highlight w:val="none"/>
          <w:lang w:eastAsia="zh-CN"/>
        </w:rPr>
        <w:t>、</w:t>
      </w:r>
      <w:r>
        <w:rPr>
          <w:rFonts w:hint="eastAsia" w:eastAsia="仿宋_GB2312"/>
          <w:color w:val="auto"/>
          <w:sz w:val="28"/>
          <w:szCs w:val="28"/>
          <w:highlight w:val="none"/>
          <w:lang w:val="en-US" w:eastAsia="zh-CN"/>
        </w:rPr>
        <w:t>1</w:t>
      </w:r>
      <w:r>
        <w:rPr>
          <w:rFonts w:hint="eastAsia" w:ascii="仿宋_GB2312" w:eastAsia="仿宋_GB2312"/>
          <w:color w:val="auto"/>
          <w:sz w:val="28"/>
          <w:szCs w:val="28"/>
          <w:highlight w:val="none"/>
          <w:lang w:val="en-US" w:eastAsia="zh-CN"/>
        </w:rPr>
        <w:t>个村卫生室</w:t>
      </w:r>
      <w:r>
        <w:rPr>
          <w:rFonts w:hint="eastAsia" w:ascii="仿宋_GB2312" w:hAnsi="仿宋" w:eastAsia="仿宋_GB2312"/>
          <w:color w:val="auto"/>
          <w:sz w:val="28"/>
          <w:szCs w:val="28"/>
          <w:highlight w:val="none"/>
        </w:rPr>
        <w:t>、</w:t>
      </w:r>
      <w:r>
        <w:rPr>
          <w:rFonts w:hint="eastAsia" w:ascii="仿宋_GB2312" w:eastAsia="仿宋_GB2312"/>
          <w:color w:val="auto"/>
          <w:sz w:val="28"/>
          <w:szCs w:val="28"/>
          <w:highlight w:val="none"/>
          <w:lang w:val="en-US" w:eastAsia="zh-CN"/>
        </w:rPr>
        <w:t>医生办、护士办、中医科</w:t>
      </w:r>
      <w:r>
        <w:rPr>
          <w:rFonts w:hint="eastAsia" w:ascii="仿宋_GB2312" w:hAnsi="仿宋" w:eastAsia="仿宋_GB2312"/>
          <w:color w:val="auto"/>
          <w:sz w:val="28"/>
          <w:szCs w:val="28"/>
          <w:highlight w:val="none"/>
        </w:rPr>
        <w:t>等。</w:t>
      </w:r>
    </w:p>
    <w:p w14:paraId="71112C80">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val="en-US" w:eastAsia="zh-CN"/>
        </w:rPr>
        <w:t>巴音郭楞</w:t>
      </w:r>
      <w:r>
        <w:rPr>
          <w:rFonts w:hint="eastAsia" w:hAnsi="宋体" w:eastAsia="仿宋_GB2312"/>
          <w:color w:val="auto"/>
          <w:sz w:val="28"/>
          <w:szCs w:val="28"/>
          <w:highlight w:val="none"/>
          <w:lang w:eastAsia="zh-CN"/>
        </w:rPr>
        <w:t>乡</w:t>
      </w:r>
      <w:r>
        <w:rPr>
          <w:rFonts w:hint="eastAsia" w:ascii="仿宋_GB2312" w:hAnsi="宋体" w:eastAsia="仿宋_GB2312"/>
          <w:color w:val="auto"/>
          <w:sz w:val="28"/>
          <w:szCs w:val="28"/>
          <w:highlight w:val="none"/>
          <w:lang w:eastAsia="zh-CN"/>
        </w:rPr>
        <w:t>卫生院</w:t>
      </w:r>
      <w:r>
        <w:rPr>
          <w:rFonts w:hint="eastAsia" w:ascii="仿宋_GB2312" w:hAnsi="宋体" w:eastAsia="仿宋_GB2312"/>
          <w:color w:val="auto"/>
          <w:sz w:val="28"/>
          <w:szCs w:val="28"/>
          <w:highlight w:val="none"/>
        </w:rPr>
        <w:t>编制数</w:t>
      </w:r>
      <w:r>
        <w:rPr>
          <w:rFonts w:hint="eastAsia" w:ascii="仿宋_GB2312" w:hAnsi="宋体" w:eastAsia="仿宋_GB2312"/>
          <w:color w:val="auto"/>
          <w:sz w:val="28"/>
          <w:szCs w:val="28"/>
          <w:highlight w:val="none"/>
          <w:lang w:val="en-US" w:eastAsia="zh-CN"/>
        </w:rPr>
        <w:t>共</w:t>
      </w:r>
      <w:r>
        <w:rPr>
          <w:rFonts w:hint="eastAsia" w:hAnsi="宋体" w:eastAsia="仿宋_GB2312"/>
          <w:color w:val="auto"/>
          <w:sz w:val="28"/>
          <w:szCs w:val="28"/>
          <w:highlight w:val="none"/>
          <w:lang w:val="en-US" w:eastAsia="zh-CN"/>
        </w:rPr>
        <w:t>8</w:t>
      </w:r>
      <w:r>
        <w:rPr>
          <w:rFonts w:hint="eastAsia" w:ascii="仿宋_GB2312" w:hAnsi="宋体" w:eastAsia="仿宋_GB2312"/>
          <w:color w:val="auto"/>
          <w:sz w:val="28"/>
          <w:szCs w:val="28"/>
          <w:highlight w:val="none"/>
        </w:rPr>
        <w:t>人，</w:t>
      </w:r>
      <w:r>
        <w:rPr>
          <w:rFonts w:hint="eastAsia"/>
          <w:color w:val="auto"/>
          <w:szCs w:val="28"/>
          <w:highlight w:val="none"/>
        </w:rPr>
        <w:t>其中：行政编制</w:t>
      </w:r>
      <w:r>
        <w:rPr>
          <w:rFonts w:hint="eastAsia"/>
          <w:color w:val="auto"/>
          <w:szCs w:val="28"/>
          <w:highlight w:val="none"/>
          <w:lang w:val="en-US" w:eastAsia="zh-CN"/>
        </w:rPr>
        <w:t>0</w:t>
      </w:r>
      <w:r>
        <w:rPr>
          <w:rFonts w:hint="eastAsia"/>
          <w:color w:val="auto"/>
          <w:szCs w:val="28"/>
          <w:highlight w:val="none"/>
        </w:rPr>
        <w:t>人，事业编制</w:t>
      </w:r>
      <w:r>
        <w:rPr>
          <w:rFonts w:hint="eastAsia"/>
          <w:color w:val="auto"/>
          <w:szCs w:val="28"/>
          <w:highlight w:val="none"/>
          <w:lang w:val="en-US" w:eastAsia="zh-CN"/>
        </w:rPr>
        <w:t>8</w:t>
      </w:r>
      <w:r>
        <w:rPr>
          <w:rFonts w:hint="eastAsia"/>
          <w:color w:val="auto"/>
          <w:szCs w:val="28"/>
          <w:highlight w:val="none"/>
        </w:rPr>
        <w:t>人</w:t>
      </w:r>
      <w:r>
        <w:rPr>
          <w:rFonts w:hint="eastAsia"/>
          <w:color w:val="auto"/>
          <w:szCs w:val="28"/>
          <w:highlight w:val="none"/>
          <w:lang w:eastAsia="zh-CN"/>
        </w:rPr>
        <w:t>，</w:t>
      </w:r>
      <w:r>
        <w:rPr>
          <w:rFonts w:hint="eastAsia"/>
          <w:color w:val="auto"/>
          <w:szCs w:val="28"/>
          <w:highlight w:val="none"/>
        </w:rPr>
        <w:t>工勤</w:t>
      </w:r>
      <w:r>
        <w:rPr>
          <w:rFonts w:hint="eastAsia"/>
          <w:color w:val="auto"/>
          <w:szCs w:val="28"/>
          <w:highlight w:val="none"/>
          <w:lang w:val="en-US" w:eastAsia="zh-CN"/>
        </w:rPr>
        <w:t>0人</w:t>
      </w:r>
      <w:r>
        <w:rPr>
          <w:rFonts w:hint="eastAsia"/>
          <w:color w:val="auto"/>
          <w:szCs w:val="28"/>
          <w:highlight w:val="none"/>
          <w:lang w:eastAsia="zh-CN"/>
        </w:rPr>
        <w:t>。</w:t>
      </w:r>
      <w:r>
        <w:rPr>
          <w:rFonts w:hint="eastAsia"/>
          <w:color w:val="auto"/>
          <w:szCs w:val="28"/>
          <w:highlight w:val="none"/>
        </w:rPr>
        <w:t>年初预算实有在职人员</w:t>
      </w:r>
      <w:r>
        <w:rPr>
          <w:rFonts w:hint="eastAsia"/>
          <w:color w:val="auto"/>
          <w:szCs w:val="28"/>
          <w:highlight w:val="none"/>
          <w:lang w:val="en-US" w:eastAsia="zh-CN"/>
        </w:rPr>
        <w:t>7</w:t>
      </w:r>
      <w:r>
        <w:rPr>
          <w:rFonts w:hint="eastAsia"/>
          <w:color w:val="auto"/>
          <w:szCs w:val="28"/>
          <w:highlight w:val="none"/>
        </w:rPr>
        <w:t>人，退休人员</w:t>
      </w:r>
      <w:r>
        <w:rPr>
          <w:rFonts w:hint="eastAsia"/>
          <w:color w:val="auto"/>
          <w:szCs w:val="28"/>
          <w:highlight w:val="none"/>
          <w:lang w:val="en-US" w:eastAsia="zh-CN"/>
        </w:rPr>
        <w:t>0</w:t>
      </w:r>
      <w:r>
        <w:rPr>
          <w:rFonts w:hint="eastAsia"/>
          <w:color w:val="auto"/>
          <w:szCs w:val="28"/>
          <w:highlight w:val="none"/>
        </w:rPr>
        <w:t>人。年末实有在职人数</w:t>
      </w:r>
      <w:r>
        <w:rPr>
          <w:rFonts w:hint="eastAsia"/>
          <w:color w:val="auto"/>
          <w:szCs w:val="28"/>
          <w:highlight w:val="none"/>
          <w:lang w:val="en-US" w:eastAsia="zh-CN"/>
        </w:rPr>
        <w:t>8</w:t>
      </w:r>
      <w:r>
        <w:rPr>
          <w:rFonts w:hint="eastAsia"/>
          <w:color w:val="auto"/>
          <w:szCs w:val="28"/>
          <w:highlight w:val="none"/>
        </w:rPr>
        <w:t>人</w:t>
      </w:r>
      <w:r>
        <w:rPr>
          <w:rFonts w:hint="eastAsia"/>
          <w:color w:val="auto"/>
          <w:szCs w:val="28"/>
          <w:highlight w:val="none"/>
          <w:lang w:val="en-US" w:eastAsia="zh-CN"/>
        </w:rPr>
        <w:t>，</w:t>
      </w:r>
      <w:r>
        <w:rPr>
          <w:rFonts w:hint="eastAsia"/>
          <w:color w:val="auto"/>
          <w:szCs w:val="28"/>
          <w:highlight w:val="none"/>
        </w:rPr>
        <w:t>退休人员</w:t>
      </w:r>
      <w:r>
        <w:rPr>
          <w:rFonts w:hint="eastAsia"/>
          <w:color w:val="auto"/>
          <w:szCs w:val="28"/>
          <w:highlight w:val="none"/>
          <w:lang w:val="en-US" w:eastAsia="zh-CN"/>
        </w:rPr>
        <w:t>4</w:t>
      </w:r>
      <w:r>
        <w:rPr>
          <w:rFonts w:hint="eastAsia"/>
          <w:color w:val="auto"/>
          <w:szCs w:val="28"/>
          <w:highlight w:val="none"/>
        </w:rPr>
        <w:t>人。</w:t>
      </w:r>
    </w:p>
    <w:p w14:paraId="60B7EC5B">
      <w:pPr>
        <w:pStyle w:val="4"/>
        <w:numPr>
          <w:ilvl w:val="0"/>
          <w:numId w:val="1"/>
        </w:numPr>
        <w:bidi w:val="0"/>
        <w:ind w:left="0" w:leftChars="0" w:firstLine="321" w:firstLineChars="100"/>
        <w:outlineLvl w:val="1"/>
        <w:rPr>
          <w:rFonts w:hint="eastAsia"/>
          <w:color w:val="auto"/>
          <w:highlight w:val="none"/>
          <w:lang w:val="en-US" w:eastAsia="zh-CN"/>
        </w:rPr>
      </w:pPr>
      <w:r>
        <w:rPr>
          <w:rFonts w:hint="eastAsia"/>
          <w:color w:val="auto"/>
          <w:highlight w:val="none"/>
          <w:lang w:val="en-US" w:eastAsia="zh-CN"/>
        </w:rPr>
        <w:t xml:space="preserve">部门单位年度重点工作 </w:t>
      </w:r>
    </w:p>
    <w:p w14:paraId="1DA66DE4">
      <w:pPr>
        <w:pStyle w:val="2"/>
        <w:rPr>
          <w:rFonts w:hint="default"/>
          <w:color w:val="auto"/>
          <w:highlight w:val="none"/>
          <w:lang w:val="en-US" w:eastAsia="zh-CN"/>
        </w:rPr>
      </w:pPr>
      <w:r>
        <w:rPr>
          <w:rFonts w:hint="eastAsia" w:ascii="仿宋_GB2312" w:hAnsi="宋体" w:eastAsia="仿宋_GB2312" w:cs="Times New Roman"/>
          <w:color w:val="auto"/>
          <w:sz w:val="28"/>
          <w:szCs w:val="28"/>
          <w:highlight w:val="none"/>
          <w:lang w:val="en-US" w:eastAsia="zh-CN"/>
        </w:rPr>
        <w:t>（1）</w:t>
      </w:r>
      <w:r>
        <w:rPr>
          <w:rFonts w:hint="eastAsia" w:ascii="仿宋_GB2312" w:hAnsi="宋体" w:eastAsia="仿宋_GB2312" w:cs="Times New Roman"/>
          <w:color w:val="auto"/>
          <w:sz w:val="28"/>
          <w:szCs w:val="28"/>
          <w:highlight w:val="none"/>
        </w:rPr>
        <w:t>基本公共卫生服务工作</w:t>
      </w:r>
    </w:p>
    <w:p w14:paraId="1DE38DB6">
      <w:pPr>
        <w:numPr>
          <w:ilvl w:val="0"/>
          <w:numId w:val="2"/>
        </w:numPr>
        <w:ind w:left="160" w:leftChars="0" w:firstLine="400" w:firstLineChars="0"/>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居民健康档案及老年人、慢性病管理工作</w:t>
      </w:r>
    </w:p>
    <w:p w14:paraId="39324631">
      <w:pPr>
        <w:numPr>
          <w:ilvl w:val="0"/>
          <w:numId w:val="0"/>
        </w:numPr>
        <w:ind w:firstLine="560" w:firstLineChars="20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根据国家服务管理规范的要求，落实了35岁以上首诊测血压制度，对诊断出的高血压患者纳入慢性病的管理范围，并且按时</w:t>
      </w:r>
      <w:r>
        <w:rPr>
          <w:rFonts w:hint="eastAsia" w:ascii="仿宋" w:hAnsi="仿宋" w:cs="仿宋"/>
          <w:b w:val="0"/>
          <w:bCs w:val="0"/>
          <w:color w:val="auto"/>
          <w:sz w:val="28"/>
          <w:szCs w:val="28"/>
          <w:highlight w:val="none"/>
          <w:lang w:eastAsia="zh-CN"/>
        </w:rPr>
        <w:t>随访</w:t>
      </w:r>
      <w:r>
        <w:rPr>
          <w:rFonts w:hint="eastAsia" w:ascii="仿宋" w:hAnsi="仿宋" w:eastAsia="仿宋" w:cs="仿宋"/>
          <w:b w:val="0"/>
          <w:bCs w:val="0"/>
          <w:color w:val="auto"/>
          <w:sz w:val="28"/>
          <w:szCs w:val="28"/>
          <w:highlight w:val="none"/>
        </w:rPr>
        <w:t>，指导用药状况，本年内共有高血压患者</w:t>
      </w:r>
      <w:r>
        <w:rPr>
          <w:rFonts w:hint="eastAsia" w:ascii="仿宋" w:hAnsi="仿宋" w:eastAsia="仿宋" w:cs="仿宋"/>
          <w:b w:val="0"/>
          <w:bCs w:val="0"/>
          <w:color w:val="auto"/>
          <w:sz w:val="28"/>
          <w:szCs w:val="28"/>
          <w:highlight w:val="none"/>
          <w:lang w:val="en-US" w:eastAsia="zh-CN"/>
        </w:rPr>
        <w:t>79</w:t>
      </w:r>
      <w:r>
        <w:rPr>
          <w:rFonts w:hint="eastAsia" w:ascii="仿宋" w:hAnsi="仿宋" w:eastAsia="仿宋" w:cs="仿宋"/>
          <w:b w:val="0"/>
          <w:bCs w:val="0"/>
          <w:color w:val="auto"/>
          <w:sz w:val="28"/>
          <w:szCs w:val="28"/>
          <w:highlight w:val="none"/>
        </w:rPr>
        <w:t>人，</w:t>
      </w:r>
      <w:r>
        <w:rPr>
          <w:rFonts w:hint="eastAsia" w:ascii="仿宋" w:hAnsi="仿宋" w:cs="仿宋"/>
          <w:b w:val="0"/>
          <w:bCs w:val="0"/>
          <w:color w:val="auto"/>
          <w:sz w:val="28"/>
          <w:szCs w:val="28"/>
          <w:highlight w:val="none"/>
          <w:lang w:eastAsia="zh-CN"/>
        </w:rPr>
        <w:t>随访</w:t>
      </w:r>
      <w:r>
        <w:rPr>
          <w:rFonts w:hint="eastAsia" w:ascii="仿宋" w:hAnsi="仿宋" w:eastAsia="仿宋" w:cs="仿宋"/>
          <w:b w:val="0"/>
          <w:bCs w:val="0"/>
          <w:color w:val="auto"/>
          <w:sz w:val="28"/>
          <w:szCs w:val="28"/>
          <w:highlight w:val="none"/>
          <w:lang w:val="en-US" w:eastAsia="zh-CN"/>
        </w:rPr>
        <w:t>79</w:t>
      </w:r>
      <w:r>
        <w:rPr>
          <w:rFonts w:hint="eastAsia" w:ascii="仿宋" w:hAnsi="仿宋" w:eastAsia="仿宋" w:cs="仿宋"/>
          <w:b w:val="0"/>
          <w:bCs w:val="0"/>
          <w:color w:val="auto"/>
          <w:sz w:val="28"/>
          <w:szCs w:val="28"/>
          <w:highlight w:val="none"/>
        </w:rPr>
        <w:t>人次，规范管理率</w:t>
      </w:r>
      <w:r>
        <w:rPr>
          <w:rFonts w:hint="eastAsia" w:ascii="仿宋" w:hAnsi="仿宋" w:eastAsia="仿宋" w:cs="仿宋"/>
          <w:b w:val="0"/>
          <w:bCs w:val="0"/>
          <w:color w:val="auto"/>
          <w:sz w:val="28"/>
          <w:szCs w:val="28"/>
          <w:highlight w:val="none"/>
          <w:lang w:val="en-US" w:eastAsia="zh-CN"/>
        </w:rPr>
        <w:t>95</w:t>
      </w:r>
      <w:r>
        <w:rPr>
          <w:rFonts w:hint="eastAsia" w:ascii="仿宋" w:hAnsi="仿宋" w:eastAsia="仿宋" w:cs="仿宋"/>
          <w:b w:val="0"/>
          <w:bCs w:val="0"/>
          <w:color w:val="auto"/>
          <w:sz w:val="28"/>
          <w:szCs w:val="28"/>
          <w:highlight w:val="none"/>
        </w:rPr>
        <w:t>%，年度体检</w:t>
      </w:r>
      <w:r>
        <w:rPr>
          <w:rFonts w:hint="eastAsia" w:ascii="仿宋" w:hAnsi="仿宋" w:eastAsia="仿宋" w:cs="仿宋"/>
          <w:b w:val="0"/>
          <w:bCs w:val="0"/>
          <w:color w:val="auto"/>
          <w:sz w:val="28"/>
          <w:szCs w:val="28"/>
          <w:highlight w:val="none"/>
          <w:lang w:val="en-US" w:eastAsia="zh-CN"/>
        </w:rPr>
        <w:t>79</w:t>
      </w:r>
      <w:r>
        <w:rPr>
          <w:rFonts w:hint="eastAsia" w:ascii="仿宋" w:hAnsi="仿宋" w:eastAsia="仿宋" w:cs="仿宋"/>
          <w:b w:val="0"/>
          <w:bCs w:val="0"/>
          <w:color w:val="auto"/>
          <w:sz w:val="28"/>
          <w:szCs w:val="28"/>
          <w:highlight w:val="none"/>
        </w:rPr>
        <w:t>人</w:t>
      </w:r>
      <w:r>
        <w:rPr>
          <w:rFonts w:hint="eastAsia" w:ascii="仿宋" w:hAnsi="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体检率87%，糖尿病患者</w:t>
      </w:r>
      <w:r>
        <w:rPr>
          <w:rFonts w:hint="eastAsia" w:ascii="仿宋" w:hAnsi="仿宋" w:eastAsia="仿宋" w:cs="仿宋"/>
          <w:b w:val="0"/>
          <w:bCs w:val="0"/>
          <w:color w:val="auto"/>
          <w:sz w:val="28"/>
          <w:szCs w:val="28"/>
          <w:highlight w:val="none"/>
          <w:lang w:val="en-US" w:eastAsia="zh-CN"/>
        </w:rPr>
        <w:t>2</w:t>
      </w:r>
      <w:r>
        <w:rPr>
          <w:rFonts w:hint="eastAsia" w:ascii="仿宋" w:hAnsi="仿宋" w:eastAsia="仿宋" w:cs="仿宋"/>
          <w:b w:val="0"/>
          <w:bCs w:val="0"/>
          <w:color w:val="auto"/>
          <w:sz w:val="28"/>
          <w:szCs w:val="28"/>
          <w:highlight w:val="none"/>
        </w:rPr>
        <w:t>人，共</w:t>
      </w:r>
      <w:r>
        <w:rPr>
          <w:rFonts w:hint="eastAsia" w:ascii="仿宋" w:hAnsi="仿宋" w:cs="仿宋"/>
          <w:b w:val="0"/>
          <w:bCs w:val="0"/>
          <w:color w:val="auto"/>
          <w:sz w:val="28"/>
          <w:szCs w:val="28"/>
          <w:highlight w:val="none"/>
          <w:lang w:eastAsia="zh-CN"/>
        </w:rPr>
        <w:t>随访</w:t>
      </w:r>
      <w:r>
        <w:rPr>
          <w:rFonts w:hint="eastAsia" w:ascii="仿宋" w:hAnsi="仿宋" w:eastAsia="仿宋" w:cs="仿宋"/>
          <w:b w:val="0"/>
          <w:bCs w:val="0"/>
          <w:color w:val="auto"/>
          <w:sz w:val="28"/>
          <w:szCs w:val="28"/>
          <w:highlight w:val="none"/>
          <w:lang w:val="en-US" w:eastAsia="zh-CN"/>
        </w:rPr>
        <w:t>2</w:t>
      </w:r>
      <w:r>
        <w:rPr>
          <w:rFonts w:hint="eastAsia" w:ascii="仿宋" w:hAnsi="仿宋" w:eastAsia="仿宋" w:cs="仿宋"/>
          <w:b w:val="0"/>
          <w:bCs w:val="0"/>
          <w:color w:val="auto"/>
          <w:sz w:val="28"/>
          <w:szCs w:val="28"/>
          <w:highlight w:val="none"/>
        </w:rPr>
        <w:t>人次，规范管理率93%，年度体检</w:t>
      </w:r>
      <w:r>
        <w:rPr>
          <w:rFonts w:hint="eastAsia" w:ascii="仿宋" w:hAnsi="仿宋" w:eastAsia="仿宋" w:cs="仿宋"/>
          <w:b w:val="0"/>
          <w:bCs w:val="0"/>
          <w:color w:val="auto"/>
          <w:sz w:val="28"/>
          <w:szCs w:val="28"/>
          <w:highlight w:val="none"/>
          <w:lang w:val="en-US" w:eastAsia="zh-CN"/>
        </w:rPr>
        <w:t>79</w:t>
      </w:r>
      <w:r>
        <w:rPr>
          <w:rFonts w:hint="eastAsia" w:ascii="仿宋" w:hAnsi="仿宋" w:eastAsia="仿宋" w:cs="仿宋"/>
          <w:b w:val="0"/>
          <w:bCs w:val="0"/>
          <w:color w:val="auto"/>
          <w:sz w:val="28"/>
          <w:szCs w:val="28"/>
          <w:highlight w:val="none"/>
        </w:rPr>
        <w:t>人，并及时将体检结果反馈给患者，进行了相应的健康指导。</w:t>
      </w:r>
    </w:p>
    <w:p w14:paraId="04B76AA2">
      <w:pPr>
        <w:ind w:left="0" w:leftChars="0" w:firstLine="560" w:firstLineChars="200"/>
        <w:rPr>
          <w:rFonts w:hint="eastAsia"/>
          <w:color w:val="auto"/>
          <w:sz w:val="28"/>
          <w:szCs w:val="28"/>
          <w:highlight w:val="none"/>
        </w:rPr>
      </w:pPr>
      <w:r>
        <w:rPr>
          <w:rFonts w:hint="eastAsia" w:ascii="仿宋" w:hAnsi="仿宋" w:eastAsia="仿宋" w:cs="仿宋"/>
          <w:b w:val="0"/>
          <w:bCs w:val="0"/>
          <w:color w:val="auto"/>
          <w:sz w:val="28"/>
          <w:szCs w:val="28"/>
          <w:highlight w:val="none"/>
        </w:rPr>
        <w:t>按照要求我们为65岁以上老年人进行登记管理，</w:t>
      </w:r>
      <w:r>
        <w:rPr>
          <w:rFonts w:hint="eastAsia" w:ascii="仿宋" w:hAnsi="仿宋" w:eastAsia="仿宋" w:cs="仿宋"/>
          <w:b w:val="0"/>
          <w:bCs w:val="0"/>
          <w:color w:val="auto"/>
          <w:sz w:val="28"/>
          <w:szCs w:val="28"/>
          <w:highlight w:val="none"/>
          <w:lang w:val="en-US" w:eastAsia="zh-CN"/>
        </w:rPr>
        <w:t>在上级医疗机构</w:t>
      </w:r>
      <w:r>
        <w:rPr>
          <w:rFonts w:hint="eastAsia" w:ascii="仿宋" w:hAnsi="仿宋" w:eastAsia="仿宋" w:cs="仿宋"/>
          <w:b w:val="0"/>
          <w:bCs w:val="0"/>
          <w:color w:val="auto"/>
          <w:sz w:val="28"/>
          <w:szCs w:val="28"/>
          <w:highlight w:val="none"/>
        </w:rPr>
        <w:t>开展</w:t>
      </w:r>
      <w:r>
        <w:rPr>
          <w:rFonts w:hint="eastAsia" w:ascii="仿宋" w:hAnsi="仿宋" w:eastAsia="仿宋" w:cs="仿宋"/>
          <w:b w:val="0"/>
          <w:bCs w:val="0"/>
          <w:color w:val="auto"/>
          <w:sz w:val="28"/>
          <w:szCs w:val="28"/>
          <w:highlight w:val="none"/>
          <w:lang w:val="en-US" w:eastAsia="zh-CN"/>
        </w:rPr>
        <w:t>全民</w:t>
      </w:r>
      <w:r>
        <w:rPr>
          <w:rFonts w:hint="eastAsia" w:ascii="仿宋" w:hAnsi="仿宋" w:eastAsia="仿宋" w:cs="仿宋"/>
          <w:b w:val="0"/>
          <w:bCs w:val="0"/>
          <w:color w:val="auto"/>
          <w:sz w:val="28"/>
          <w:szCs w:val="28"/>
          <w:highlight w:val="none"/>
        </w:rPr>
        <w:t>健康体检工作，体检资料包括生活方式和健康状况评估，透过问诊了解老年人的基本健康状况及生活自理潜质</w:t>
      </w:r>
      <w:r>
        <w:rPr>
          <w:rFonts w:hint="eastAsia" w:ascii="仿宋" w:hAnsi="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进行了体格检查，包括体温、呼吸、血压、血糖等常规检查，并进行了必要的辅助检查，包括肝肾功能、血常规、尿常规、心电图等检查，最后告知体检结果，进行了相应的健康指导，共体检</w:t>
      </w:r>
      <w:r>
        <w:rPr>
          <w:rFonts w:hint="eastAsia" w:ascii="仿宋" w:hAnsi="仿宋" w:eastAsia="仿宋" w:cs="仿宋"/>
          <w:b w:val="0"/>
          <w:bCs w:val="0"/>
          <w:color w:val="auto"/>
          <w:sz w:val="28"/>
          <w:szCs w:val="28"/>
          <w:highlight w:val="none"/>
          <w:lang w:val="en-US" w:eastAsia="zh-CN"/>
        </w:rPr>
        <w:t>71</w:t>
      </w:r>
      <w:r>
        <w:rPr>
          <w:rFonts w:hint="eastAsia" w:ascii="仿宋" w:hAnsi="仿宋" w:eastAsia="仿宋" w:cs="仿宋"/>
          <w:b w:val="0"/>
          <w:bCs w:val="0"/>
          <w:color w:val="auto"/>
          <w:sz w:val="28"/>
          <w:szCs w:val="28"/>
          <w:highlight w:val="none"/>
        </w:rPr>
        <w:t>人</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其中对已发现的原发性高血压和2型糖尿病等患者纳入慢性病患者健康管理，对体检中发现有异常的老年人推荐定期复查，并预约了下次的体检</w:t>
      </w:r>
      <w:r>
        <w:rPr>
          <w:rFonts w:hint="eastAsia" w:ascii="仿宋" w:hAnsi="仿宋" w:cs="仿宋"/>
          <w:b w:val="0"/>
          <w:bCs w:val="0"/>
          <w:color w:val="auto"/>
          <w:sz w:val="28"/>
          <w:szCs w:val="28"/>
          <w:highlight w:val="none"/>
          <w:lang w:val="en-US" w:eastAsia="zh-CN"/>
        </w:rPr>
        <w:t>时间</w:t>
      </w:r>
      <w:r>
        <w:rPr>
          <w:rFonts w:hint="eastAsia" w:ascii="仿宋" w:hAnsi="仿宋" w:eastAsia="仿宋" w:cs="仿宋"/>
          <w:b w:val="0"/>
          <w:bCs w:val="0"/>
          <w:color w:val="auto"/>
          <w:sz w:val="28"/>
          <w:szCs w:val="28"/>
          <w:highlight w:val="none"/>
        </w:rPr>
        <w:t>。</w:t>
      </w:r>
    </w:p>
    <w:p w14:paraId="36FB9093">
      <w:pPr>
        <w:numPr>
          <w:ilvl w:val="0"/>
          <w:numId w:val="2"/>
        </w:numPr>
        <w:ind w:left="160" w:leftChars="0" w:firstLine="400" w:firstLineChars="0"/>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健康教育宣传工作</w:t>
      </w:r>
    </w:p>
    <w:p w14:paraId="40676589">
      <w:pPr>
        <w:ind w:firstLine="56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月制作宣传栏6期，举办</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期健康咨询活动</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期健康知识讲座，播放了高血压、糖尿病防治、中医药健康教育知识、老年人合理用药等音像资料，发放健康</w:t>
      </w:r>
      <w:r>
        <w:rPr>
          <w:rFonts w:hint="eastAsia" w:ascii="仿宋" w:hAnsi="仿宋" w:eastAsia="仿宋" w:cs="仿宋"/>
          <w:color w:val="auto"/>
          <w:sz w:val="28"/>
          <w:szCs w:val="28"/>
          <w:highlight w:val="none"/>
          <w:lang w:val="en-US" w:eastAsia="zh-CN"/>
        </w:rPr>
        <w:t>宣传册。</w:t>
      </w:r>
    </w:p>
    <w:p w14:paraId="72A4634F">
      <w:pPr>
        <w:numPr>
          <w:ilvl w:val="0"/>
          <w:numId w:val="2"/>
        </w:numPr>
        <w:ind w:left="160" w:leftChars="0" w:firstLine="400" w:firstLineChars="0"/>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妇幼保健、儿童保健工作</w:t>
      </w:r>
    </w:p>
    <w:p w14:paraId="6EC1A810">
      <w:pPr>
        <w:ind w:firstLine="560"/>
        <w:rPr>
          <w:rFonts w:hint="eastAsia" w:ascii="楷体" w:hAnsi="楷体" w:eastAsia="楷体" w:cs="楷体"/>
          <w:b/>
          <w:bCs/>
          <w:color w:val="auto"/>
          <w:sz w:val="28"/>
          <w:szCs w:val="28"/>
          <w:highlight w:val="none"/>
        </w:rPr>
      </w:pPr>
      <w:r>
        <w:rPr>
          <w:rFonts w:hint="eastAsia" w:ascii="仿宋" w:hAnsi="仿宋" w:eastAsia="仿宋" w:cs="仿宋"/>
          <w:color w:val="auto"/>
          <w:sz w:val="28"/>
          <w:szCs w:val="28"/>
          <w:highlight w:val="none"/>
        </w:rPr>
        <w:t>全年活产数</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人，</w:t>
      </w:r>
      <w:r>
        <w:rPr>
          <w:rFonts w:hint="eastAsia" w:ascii="仿宋" w:hAnsi="仿宋" w:eastAsia="仿宋" w:cs="仿宋"/>
          <w:color w:val="auto"/>
          <w:sz w:val="28"/>
          <w:szCs w:val="28"/>
          <w:highlight w:val="none"/>
          <w:lang w:val="en-US" w:eastAsia="zh-CN"/>
        </w:rPr>
        <w:t>0-6</w:t>
      </w:r>
      <w:r>
        <w:rPr>
          <w:rFonts w:hint="eastAsia" w:ascii="仿宋" w:hAnsi="仿宋" w:eastAsia="仿宋" w:cs="仿宋"/>
          <w:color w:val="auto"/>
          <w:sz w:val="28"/>
          <w:szCs w:val="28"/>
          <w:highlight w:val="none"/>
        </w:rPr>
        <w:t>儿童</w:t>
      </w:r>
      <w:r>
        <w:rPr>
          <w:rFonts w:hint="eastAsia" w:ascii="仿宋" w:hAnsi="仿宋" w:eastAsia="仿宋" w:cs="仿宋"/>
          <w:color w:val="auto"/>
          <w:sz w:val="28"/>
          <w:szCs w:val="28"/>
          <w:highlight w:val="none"/>
          <w:lang w:val="en-US" w:eastAsia="zh-CN"/>
        </w:rPr>
        <w:t>62</w:t>
      </w:r>
      <w:r>
        <w:rPr>
          <w:rFonts w:hint="eastAsia" w:ascii="仿宋" w:hAnsi="仿宋" w:eastAsia="仿宋" w:cs="仿宋"/>
          <w:color w:val="auto"/>
          <w:sz w:val="28"/>
          <w:szCs w:val="28"/>
          <w:highlight w:val="none"/>
        </w:rPr>
        <w:t>，共完成6岁以下儿童体检</w:t>
      </w:r>
      <w:r>
        <w:rPr>
          <w:rFonts w:hint="eastAsia" w:ascii="仿宋" w:hAnsi="仿宋" w:eastAsia="仿宋" w:cs="仿宋"/>
          <w:color w:val="auto"/>
          <w:sz w:val="28"/>
          <w:szCs w:val="28"/>
          <w:highlight w:val="none"/>
          <w:lang w:val="en-US" w:eastAsia="zh-CN"/>
        </w:rPr>
        <w:t>62</w:t>
      </w:r>
      <w:r>
        <w:rPr>
          <w:rFonts w:hint="eastAsia" w:ascii="仿宋" w:hAnsi="仿宋" w:eastAsia="仿宋" w:cs="仿宋"/>
          <w:color w:val="auto"/>
          <w:sz w:val="28"/>
          <w:szCs w:val="28"/>
          <w:highlight w:val="none"/>
        </w:rPr>
        <w:t>人次，规范管理率95%</w:t>
      </w:r>
      <w:r>
        <w:rPr>
          <w:rFonts w:hint="eastAsia" w:ascii="仿宋" w:hAnsi="仿宋" w:cs="仿宋"/>
          <w:color w:val="auto"/>
          <w:sz w:val="28"/>
          <w:szCs w:val="28"/>
          <w:highlight w:val="none"/>
          <w:lang w:eastAsia="zh-CN"/>
        </w:rPr>
        <w:t>；</w:t>
      </w:r>
      <w:r>
        <w:rPr>
          <w:rFonts w:hint="eastAsia" w:ascii="仿宋" w:hAnsi="仿宋" w:eastAsia="仿宋" w:cs="仿宋"/>
          <w:color w:val="auto"/>
          <w:sz w:val="28"/>
          <w:szCs w:val="28"/>
          <w:highlight w:val="none"/>
        </w:rPr>
        <w:t>住院分娩率100%，在管孕妇</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人，早孕建卡率</w:t>
      </w:r>
      <w:r>
        <w:rPr>
          <w:rFonts w:hint="eastAsia" w:ascii="仿宋" w:hAnsi="仿宋" w:eastAsia="仿宋" w:cs="仿宋"/>
          <w:color w:val="auto"/>
          <w:sz w:val="28"/>
          <w:szCs w:val="28"/>
          <w:highlight w:val="none"/>
          <w:lang w:val="en-US" w:eastAsia="zh-CN"/>
        </w:rPr>
        <w:t>100</w:t>
      </w:r>
      <w:r>
        <w:rPr>
          <w:rFonts w:hint="eastAsia" w:ascii="仿宋" w:hAnsi="仿宋" w:eastAsia="仿宋" w:cs="仿宋"/>
          <w:color w:val="auto"/>
          <w:sz w:val="28"/>
          <w:szCs w:val="28"/>
          <w:highlight w:val="none"/>
        </w:rPr>
        <w:t>%，认真做好相关监测、报表。开展母乳喂养周和小儿常见病防治知识宣传活动，宣传妇幼保健知识。</w:t>
      </w:r>
      <w:r>
        <w:rPr>
          <w:rFonts w:hint="eastAsia" w:ascii="仿宋" w:hAnsi="仿宋" w:eastAsia="仿宋" w:cs="仿宋"/>
          <w:color w:val="auto"/>
          <w:sz w:val="28"/>
          <w:szCs w:val="28"/>
          <w:highlight w:val="none"/>
        </w:rPr>
        <w:br w:type="textWrapping"/>
      </w:r>
      <w:r>
        <w:rPr>
          <w:rFonts w:hint="eastAsia" w:ascii="方正仿宋_GBK" w:hAnsi="方正仿宋_GBK" w:eastAsia="方正仿宋_GBK" w:cs="方正仿宋_GBK"/>
          <w:b/>
          <w:bCs/>
          <w:color w:val="auto"/>
          <w:sz w:val="31"/>
          <w:szCs w:val="31"/>
          <w:highlight w:val="none"/>
          <w:lang w:val="en-US" w:eastAsia="zh-CN"/>
        </w:rPr>
        <w:t xml:space="preserve">   （</w:t>
      </w:r>
      <w:r>
        <w:rPr>
          <w:rFonts w:hint="eastAsia" w:ascii="楷体" w:hAnsi="楷体" w:eastAsia="楷体" w:cs="楷体"/>
          <w:b/>
          <w:bCs/>
          <w:color w:val="auto"/>
          <w:sz w:val="28"/>
          <w:szCs w:val="28"/>
          <w:highlight w:val="none"/>
          <w:lang w:val="en-US" w:eastAsia="zh-CN"/>
        </w:rPr>
        <w:t>2）</w:t>
      </w:r>
      <w:r>
        <w:rPr>
          <w:rFonts w:hint="eastAsia" w:ascii="楷体" w:hAnsi="楷体" w:eastAsia="楷体" w:cs="楷体"/>
          <w:b/>
          <w:bCs/>
          <w:color w:val="auto"/>
          <w:sz w:val="28"/>
          <w:szCs w:val="28"/>
          <w:highlight w:val="none"/>
        </w:rPr>
        <w:t>基本</w:t>
      </w:r>
      <w:r>
        <w:rPr>
          <w:rFonts w:hint="eastAsia" w:ascii="楷体" w:hAnsi="楷体" w:eastAsia="楷体" w:cs="楷体"/>
          <w:b/>
          <w:bCs/>
          <w:color w:val="auto"/>
          <w:sz w:val="28"/>
          <w:szCs w:val="28"/>
          <w:highlight w:val="none"/>
          <w:lang w:eastAsia="zh-CN"/>
        </w:rPr>
        <w:t>医疗及基本药物</w:t>
      </w:r>
    </w:p>
    <w:p w14:paraId="12D580EE">
      <w:pPr>
        <w:ind w:firstLine="560"/>
        <w:rPr>
          <w:rFonts w:hint="eastAsia"/>
          <w:color w:val="auto"/>
          <w:szCs w:val="28"/>
          <w:highlight w:val="none"/>
          <w:lang w:val="en-US" w:eastAsia="zh-CN"/>
        </w:rPr>
      </w:pPr>
      <w:r>
        <w:rPr>
          <w:rFonts w:hint="eastAsia"/>
          <w:color w:val="auto"/>
          <w:szCs w:val="28"/>
          <w:highlight w:val="none"/>
          <w:lang w:val="en-US" w:eastAsia="zh-CN"/>
        </w:rPr>
        <w:t>严格执行诊疗常规和操作规程，处方书写规范；认真执行护理常规，基础护理工作无漏洞。巴音郭楞乡卫生院现配备基本药物类别108种，村卫生室配备80种，基本药物为100%，基本药100%零差率销售。</w:t>
      </w:r>
    </w:p>
    <w:p w14:paraId="0773981B">
      <w:pPr>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（3）乡村一体化管理情况</w:t>
      </w:r>
    </w:p>
    <w:p w14:paraId="13A3D7F0">
      <w:pPr>
        <w:ind w:firstLine="560"/>
        <w:rPr>
          <w:rFonts w:hint="eastAsia"/>
          <w:color w:val="auto"/>
          <w:szCs w:val="28"/>
          <w:highlight w:val="none"/>
          <w:lang w:val="en-US" w:eastAsia="zh-CN"/>
        </w:rPr>
      </w:pPr>
      <w:r>
        <w:rPr>
          <w:rFonts w:hint="eastAsia"/>
          <w:color w:val="auto"/>
          <w:szCs w:val="28"/>
          <w:highlight w:val="none"/>
          <w:lang w:val="en-US" w:eastAsia="zh-CN"/>
        </w:rPr>
        <w:t>制度统一制订。全县统一制订村卫生室综合目标、村医工资发放等有关管理办法，建立健全卫生室各项规章制度和人员职责。</w:t>
      </w:r>
    </w:p>
    <w:p w14:paraId="72F218BF">
      <w:pPr>
        <w:ind w:firstLine="560"/>
        <w:rPr>
          <w:rFonts w:hint="eastAsia"/>
          <w:color w:val="auto"/>
          <w:szCs w:val="28"/>
          <w:highlight w:val="none"/>
          <w:lang w:val="en-US" w:eastAsia="zh-CN"/>
        </w:rPr>
      </w:pPr>
      <w:r>
        <w:rPr>
          <w:rFonts w:hint="eastAsia"/>
          <w:color w:val="auto"/>
          <w:szCs w:val="28"/>
          <w:highlight w:val="none"/>
          <w:lang w:val="en-US" w:eastAsia="zh-CN"/>
        </w:rPr>
        <w:t>财务统一管理。卫生室统一使用财政部门监制的收费票据，建立健全有关账目。社保报账款由乡卫生院统一管理，实行报账制。</w:t>
      </w:r>
    </w:p>
    <w:p w14:paraId="570D7FCC">
      <w:pPr>
        <w:ind w:firstLine="560"/>
        <w:rPr>
          <w:rFonts w:hint="eastAsia"/>
          <w:color w:val="auto"/>
          <w:szCs w:val="28"/>
          <w:highlight w:val="none"/>
          <w:lang w:val="en-US" w:eastAsia="zh-CN"/>
        </w:rPr>
      </w:pPr>
      <w:r>
        <w:rPr>
          <w:rFonts w:hint="eastAsia"/>
          <w:color w:val="auto"/>
          <w:szCs w:val="28"/>
          <w:highlight w:val="none"/>
          <w:lang w:val="en-US" w:eastAsia="zh-CN"/>
        </w:rPr>
        <w:t>药械统一调拨。卫健委制定村卫生室基本用药目录，乡村医生根据上月用药情况上报本月用药计划，卫生院建立中心药库，村卫生室所需药品、医疗器械和卫生材料由卫生院从卫健委规定的采购渠道统一采购和调拨，医疗废物有焚烧医疗废物固定地点。</w:t>
      </w:r>
    </w:p>
    <w:p w14:paraId="501E6474">
      <w:pPr>
        <w:ind w:firstLine="560"/>
        <w:rPr>
          <w:rFonts w:hint="eastAsia"/>
          <w:color w:val="auto"/>
          <w:szCs w:val="28"/>
          <w:highlight w:val="none"/>
          <w:lang w:val="en-US" w:eastAsia="zh-CN"/>
        </w:rPr>
      </w:pPr>
      <w:r>
        <w:rPr>
          <w:rFonts w:hint="eastAsia"/>
          <w:color w:val="auto"/>
          <w:szCs w:val="28"/>
          <w:highlight w:val="none"/>
          <w:lang w:val="en-US" w:eastAsia="zh-CN"/>
        </w:rPr>
        <w:t>业务统一考核。按照绩效考核方案，卫生院每月对村卫生室履行公共卫生服务职责、基本药物使用情况、免疫规划和基本医疗服务质量实行考核。村卫生室要求各项服务有登记，用药有处方，收费有凭单，转诊有记录。</w:t>
      </w:r>
    </w:p>
    <w:p w14:paraId="5CA19B95">
      <w:pPr>
        <w:pStyle w:val="4"/>
        <w:bidi w:val="0"/>
        <w:ind w:left="0" w:leftChars="0" w:firstLine="321" w:firstLineChars="100"/>
        <w:rPr>
          <w:rFonts w:hint="default"/>
          <w:color w:val="auto"/>
          <w:highlight w:val="none"/>
          <w:lang w:val="en-US" w:eastAsia="zh-CN"/>
        </w:rPr>
      </w:pPr>
      <w:r>
        <w:rPr>
          <w:rFonts w:hint="eastAsia"/>
          <w:color w:val="auto"/>
          <w:highlight w:val="none"/>
          <w:lang w:val="en-US" w:eastAsia="zh-CN"/>
        </w:rPr>
        <w:t>（三）部门单位整体预算规模及安排情况</w:t>
      </w:r>
    </w:p>
    <w:p w14:paraId="1AAC22D7">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78C41C8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2952B041">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我单位年初预算数为126.26万元，实际预算执行数126.26万元，预算执行率为100%。</w:t>
      </w:r>
    </w:p>
    <w:p w14:paraId="129F9EBA">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5671756B">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全年预算数为176.11万元，全年实际支出资金176.11万元，预算执行率为100%。</w:t>
      </w:r>
    </w:p>
    <w:p w14:paraId="1392AA91">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04F3B11C">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126.26</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49.85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176.11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39.48</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39.48</w:t>
      </w:r>
      <w:r>
        <w:rPr>
          <w:rFonts w:hint="eastAsia" w:ascii="Times New Roman" w:hAnsi="Times New Roman" w:cs="Times New Roman"/>
          <w:bCs/>
          <w:color w:val="auto"/>
          <w:highlight w:val="none"/>
          <w:lang w:eastAsia="zh-CN"/>
        </w:rPr>
        <w:t>%）。</w:t>
      </w:r>
    </w:p>
    <w:p w14:paraId="63D3ED2A">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439D0054">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176.11</w:t>
      </w:r>
      <w:r>
        <w:rPr>
          <w:rFonts w:hint="default"/>
          <w:color w:val="auto"/>
          <w:highlight w:val="none"/>
          <w:lang w:val="en-US" w:eastAsia="zh-CN"/>
        </w:rPr>
        <w:t>万元，其中：</w:t>
      </w:r>
    </w:p>
    <w:p w14:paraId="57A3C2B4">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160.06</w:t>
      </w:r>
      <w:r>
        <w:rPr>
          <w:rFonts w:hint="default"/>
          <w:color w:val="auto"/>
          <w:highlight w:val="none"/>
          <w:lang w:val="en-US" w:eastAsia="zh-CN"/>
        </w:rPr>
        <w:t>万元，资金的使用方向为我单位机关人员经费支出</w:t>
      </w:r>
      <w:r>
        <w:rPr>
          <w:rFonts w:hint="eastAsia"/>
          <w:color w:val="auto"/>
          <w:highlight w:val="none"/>
          <w:lang w:val="en-US" w:eastAsia="zh-CN"/>
        </w:rPr>
        <w:t>140.05</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w:t>
      </w:r>
      <w:r>
        <w:rPr>
          <w:rFonts w:hint="default"/>
          <w:color w:val="auto"/>
          <w:highlight w:val="none"/>
          <w:lang w:val="en-US" w:eastAsia="zh-CN"/>
        </w:rPr>
        <w:t>日常公用经费支出</w:t>
      </w:r>
      <w:r>
        <w:rPr>
          <w:rFonts w:hint="eastAsia"/>
          <w:color w:val="auto"/>
          <w:highlight w:val="none"/>
          <w:lang w:val="en-US" w:eastAsia="zh-CN"/>
        </w:rPr>
        <w:t>20.01</w:t>
      </w:r>
      <w:r>
        <w:rPr>
          <w:rFonts w:hint="default"/>
          <w:color w:val="auto"/>
          <w:highlight w:val="none"/>
          <w:lang w:val="en-US" w:eastAsia="zh-CN"/>
        </w:rPr>
        <w:t>万元</w:t>
      </w:r>
      <w:r>
        <w:rPr>
          <w:rFonts w:hint="eastAsia"/>
          <w:color w:val="auto"/>
          <w:highlight w:val="none"/>
          <w:lang w:val="en-US" w:eastAsia="zh-CN"/>
        </w:rPr>
        <w:t>，单位办公用品购买及车辆燃油费及维修等方面支出。</w:t>
      </w:r>
    </w:p>
    <w:p w14:paraId="2EFBE59D">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16.06</w:t>
      </w:r>
      <w:r>
        <w:rPr>
          <w:rFonts w:hint="default"/>
          <w:color w:val="auto"/>
          <w:highlight w:val="none"/>
          <w:lang w:val="en-US" w:eastAsia="zh-CN"/>
        </w:rPr>
        <w:t>万元，主要</w:t>
      </w:r>
      <w:r>
        <w:rPr>
          <w:rFonts w:hint="eastAsia"/>
          <w:color w:val="auto"/>
          <w:highlight w:val="none"/>
          <w:lang w:val="en-US" w:eastAsia="zh-CN"/>
        </w:rPr>
        <w:t>：</w:t>
      </w:r>
      <w:r>
        <w:rPr>
          <w:rFonts w:hint="eastAsia"/>
          <w:color w:val="auto"/>
          <w:szCs w:val="28"/>
          <w:highlight w:val="none"/>
          <w:lang w:val="en-US" w:eastAsia="zh-CN"/>
        </w:rPr>
        <w:t>基本</w:t>
      </w:r>
      <w:r>
        <w:rPr>
          <w:rFonts w:hint="eastAsia" w:ascii="仿宋" w:hAnsi="仿宋" w:eastAsia="仿宋" w:cs="Times New Roman"/>
          <w:color w:val="auto"/>
          <w:kern w:val="2"/>
          <w:sz w:val="28"/>
          <w:szCs w:val="28"/>
          <w:highlight w:val="none"/>
          <w:lang w:val="en-US" w:eastAsia="zh-CN" w:bidi="ar-SA"/>
        </w:rPr>
        <w:t>药物制度补助</w:t>
      </w:r>
      <w:r>
        <w:rPr>
          <w:rFonts w:hint="eastAsia"/>
          <w:color w:val="auto"/>
          <w:szCs w:val="28"/>
          <w:highlight w:val="none"/>
        </w:rPr>
        <w:t>项目资金</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eastAsia"/>
          <w:color w:val="auto"/>
          <w:szCs w:val="28"/>
          <w:highlight w:val="none"/>
        </w:rPr>
        <w:t>项目资金</w:t>
      </w:r>
      <w:r>
        <w:rPr>
          <w:rFonts w:hint="eastAsia" w:ascii="仿宋" w:hAnsi="仿宋" w:eastAsia="仿宋" w:cs="Times New Roman"/>
          <w:color w:val="auto"/>
          <w:kern w:val="2"/>
          <w:sz w:val="28"/>
          <w:szCs w:val="28"/>
          <w:highlight w:val="none"/>
          <w:lang w:val="en-US" w:eastAsia="zh-CN" w:bidi="ar-SA"/>
        </w:rPr>
        <w:t>、重大公共卫生服务</w:t>
      </w:r>
      <w:r>
        <w:rPr>
          <w:rFonts w:hint="eastAsia"/>
          <w:color w:val="auto"/>
          <w:szCs w:val="28"/>
          <w:highlight w:val="none"/>
        </w:rPr>
        <w:t>项目资金</w:t>
      </w:r>
      <w:r>
        <w:rPr>
          <w:rFonts w:hint="default"/>
          <w:color w:val="auto"/>
          <w:highlight w:val="none"/>
          <w:lang w:val="en-US" w:eastAsia="zh-CN"/>
        </w:rPr>
        <w:t>等项目支出。</w:t>
      </w:r>
    </w:p>
    <w:p w14:paraId="2F64476D">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0E515297">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3EB2A6B5">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160.06万元，全年实际支出160.06万元，资金执行率100%。基本支出严格按照财务管理制度执行，其中：</w:t>
      </w:r>
    </w:p>
    <w:p w14:paraId="4E811734">
      <w:pPr>
        <w:bidi w:val="0"/>
        <w:rPr>
          <w:rFonts w:hint="eastAsia"/>
          <w:color w:val="auto"/>
          <w:highlight w:val="none"/>
          <w:lang w:val="en-US" w:eastAsia="zh-CN"/>
        </w:rPr>
      </w:pPr>
      <w:r>
        <w:rPr>
          <w:rFonts w:hint="eastAsia"/>
          <w:color w:val="auto"/>
          <w:highlight w:val="none"/>
          <w:lang w:val="en-US" w:eastAsia="zh-CN"/>
        </w:rPr>
        <w:t>人员经费支出140.05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418F536A">
      <w:pPr>
        <w:bidi w:val="0"/>
        <w:rPr>
          <w:rFonts w:hint="eastAsia"/>
          <w:color w:val="auto"/>
          <w:highlight w:val="none"/>
          <w:lang w:val="en-US" w:eastAsia="zh-CN"/>
        </w:rPr>
      </w:pPr>
      <w:r>
        <w:rPr>
          <w:rFonts w:hint="eastAsia"/>
          <w:color w:val="auto"/>
          <w:highlight w:val="none"/>
          <w:lang w:val="en-US" w:eastAsia="zh-CN"/>
        </w:rPr>
        <w:t>公用经费支出20.01万元，主要包括：办公费、印刷费、电费、邮电费、取暖费、公务用车运行维护费、其他交通费用、其他商品和服务支出。</w:t>
      </w:r>
    </w:p>
    <w:p w14:paraId="08BB52DE">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384FB6F8">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5520AF85">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项目支出预算16.06</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其中：上级专项资金11.66万元，本级财政资金4.4万元</w:t>
      </w:r>
      <w:r>
        <w:rPr>
          <w:rFonts w:hint="eastAsia"/>
          <w:color w:val="auto"/>
          <w:highlight w:val="none"/>
          <w:lang w:eastAsia="zh-CN"/>
        </w:rPr>
        <w:t>。</w:t>
      </w:r>
    </w:p>
    <w:p w14:paraId="089578AB">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29B2B40E">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16.06万元，其中</w:t>
      </w:r>
      <w:r>
        <w:rPr>
          <w:rFonts w:hint="eastAsia"/>
          <w:color w:val="auto"/>
          <w:szCs w:val="28"/>
          <w:highlight w:val="none"/>
          <w:lang w:val="en-US" w:eastAsia="zh-CN"/>
        </w:rPr>
        <w:t>基本</w:t>
      </w:r>
      <w:r>
        <w:rPr>
          <w:rFonts w:hint="eastAsia" w:ascii="仿宋" w:hAnsi="仿宋" w:eastAsia="仿宋" w:cs="Times New Roman"/>
          <w:color w:val="auto"/>
          <w:kern w:val="2"/>
          <w:sz w:val="28"/>
          <w:szCs w:val="28"/>
          <w:highlight w:val="none"/>
          <w:lang w:val="en-US" w:eastAsia="zh-CN" w:bidi="ar-SA"/>
        </w:rPr>
        <w:t>药物制度补助</w:t>
      </w:r>
      <w:r>
        <w:rPr>
          <w:rFonts w:hint="eastAsia"/>
          <w:color w:val="auto"/>
          <w:szCs w:val="28"/>
          <w:highlight w:val="none"/>
        </w:rPr>
        <w:t>项目资金</w:t>
      </w:r>
      <w:r>
        <w:rPr>
          <w:rFonts w:hint="eastAsia"/>
          <w:color w:val="auto"/>
          <w:szCs w:val="28"/>
          <w:highlight w:val="none"/>
          <w:lang w:val="en-US" w:eastAsia="zh-CN"/>
        </w:rPr>
        <w:t>2.59</w:t>
      </w:r>
      <w:r>
        <w:rPr>
          <w:rFonts w:hint="eastAsia"/>
          <w:color w:val="auto"/>
          <w:szCs w:val="28"/>
          <w:highlight w:val="none"/>
        </w:rPr>
        <w:t>万元</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eastAsia"/>
          <w:color w:val="auto"/>
          <w:szCs w:val="28"/>
          <w:highlight w:val="none"/>
        </w:rPr>
        <w:t>项目资金</w:t>
      </w:r>
      <w:r>
        <w:rPr>
          <w:rFonts w:hint="eastAsia"/>
          <w:color w:val="auto"/>
          <w:szCs w:val="28"/>
          <w:highlight w:val="none"/>
          <w:lang w:val="en-US" w:eastAsia="zh-CN"/>
        </w:rPr>
        <w:t>12.75</w:t>
      </w:r>
      <w:r>
        <w:rPr>
          <w:rFonts w:hint="eastAsia"/>
          <w:color w:val="auto"/>
          <w:szCs w:val="28"/>
          <w:highlight w:val="none"/>
        </w:rPr>
        <w:t>万元</w:t>
      </w:r>
      <w:r>
        <w:rPr>
          <w:rFonts w:hint="eastAsia" w:ascii="仿宋" w:hAnsi="仿宋" w:eastAsia="仿宋" w:cs="Times New Roman"/>
          <w:color w:val="auto"/>
          <w:kern w:val="2"/>
          <w:sz w:val="28"/>
          <w:szCs w:val="28"/>
          <w:highlight w:val="none"/>
          <w:lang w:val="en-US" w:eastAsia="zh-CN" w:bidi="ar-SA"/>
        </w:rPr>
        <w:t>、重大公共卫生服务</w:t>
      </w:r>
      <w:r>
        <w:rPr>
          <w:rFonts w:hint="eastAsia"/>
          <w:color w:val="auto"/>
          <w:szCs w:val="28"/>
          <w:highlight w:val="none"/>
        </w:rPr>
        <w:t>项目资金</w:t>
      </w:r>
      <w:r>
        <w:rPr>
          <w:rFonts w:hint="eastAsia"/>
          <w:color w:val="auto"/>
          <w:szCs w:val="28"/>
          <w:highlight w:val="none"/>
          <w:lang w:val="en-US" w:eastAsia="zh-CN"/>
        </w:rPr>
        <w:t>0.72</w:t>
      </w:r>
      <w:r>
        <w:rPr>
          <w:rFonts w:hint="eastAsia"/>
          <w:color w:val="auto"/>
          <w:szCs w:val="28"/>
          <w:highlight w:val="none"/>
        </w:rPr>
        <w:t>万元</w:t>
      </w:r>
      <w:r>
        <w:rPr>
          <w:rFonts w:hint="eastAsia"/>
          <w:color w:val="auto"/>
          <w:highlight w:val="none"/>
          <w:lang w:val="en-US" w:eastAsia="zh-CN"/>
        </w:rPr>
        <w:t>。项目资金全部通过财政国库集中支付方式直接拨给项目实施单位。</w:t>
      </w:r>
    </w:p>
    <w:p w14:paraId="3D8FE54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该项目</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14:paraId="6EF74FF2">
      <w:pPr>
        <w:pStyle w:val="2"/>
        <w:bidi w:val="0"/>
        <w:ind w:left="0" w:leftChars="0" w:firstLine="602" w:firstLineChars="200"/>
        <w:rPr>
          <w:rFonts w:hint="eastAsia"/>
          <w:color w:val="auto"/>
          <w:highlight w:val="none"/>
          <w:lang w:val="en-US" w:eastAsia="zh-CN"/>
        </w:rPr>
      </w:pPr>
      <w:r>
        <w:rPr>
          <w:rFonts w:hint="eastAsia"/>
          <w:color w:val="auto"/>
          <w:highlight w:val="none"/>
          <w:lang w:val="en-US" w:eastAsia="zh-CN"/>
        </w:rPr>
        <w:t>3.政策、项目支出总体实际使用情况</w:t>
      </w:r>
    </w:p>
    <w:p w14:paraId="69B9D6A7">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度安排项目支出资金16.06万元，</w:t>
      </w:r>
      <w:r>
        <w:rPr>
          <w:rFonts w:hint="eastAsia"/>
          <w:color w:val="auto"/>
          <w:highlight w:val="none"/>
          <w:lang w:eastAsia="zh-CN"/>
        </w:rPr>
        <w:t>实际</w:t>
      </w:r>
      <w:r>
        <w:rPr>
          <w:rFonts w:hint="eastAsia"/>
          <w:color w:val="auto"/>
          <w:highlight w:val="none"/>
          <w:lang w:val="en-US" w:eastAsia="zh-CN"/>
        </w:rPr>
        <w:t>支出16.06</w:t>
      </w:r>
      <w:r>
        <w:rPr>
          <w:rFonts w:hint="eastAsia"/>
          <w:color w:val="auto"/>
          <w:highlight w:val="none"/>
          <w:lang w:eastAsia="zh-CN"/>
        </w:rPr>
        <w:t>万元，</w:t>
      </w:r>
      <w:r>
        <w:rPr>
          <w:rFonts w:hint="eastAsia"/>
          <w:color w:val="auto"/>
          <w:highlight w:val="none"/>
          <w:lang w:val="en-US" w:eastAsia="zh-CN"/>
        </w:rPr>
        <w:t>其中：上级专项资金支出11.66万元，本级财政安排项目资金支出4.4万元，项目预算资金</w:t>
      </w:r>
      <w:r>
        <w:rPr>
          <w:rFonts w:hint="eastAsia"/>
          <w:color w:val="auto"/>
          <w:highlight w:val="none"/>
        </w:rPr>
        <w:t>执行率</w:t>
      </w:r>
      <w:r>
        <w:rPr>
          <w:rFonts w:hint="eastAsia"/>
          <w:color w:val="auto"/>
          <w:highlight w:val="none"/>
          <w:lang w:val="en-US" w:eastAsia="zh-CN"/>
        </w:rPr>
        <w:t>100%</w:t>
      </w:r>
      <w:bookmarkStart w:id="2" w:name="_Toc1734_WPSOffice_Level1"/>
      <w:r>
        <w:rPr>
          <w:rFonts w:hint="eastAsia"/>
          <w:color w:val="auto"/>
          <w:highlight w:val="none"/>
          <w:lang w:eastAsia="zh-CN"/>
        </w:rPr>
        <w:t>。</w:t>
      </w:r>
    </w:p>
    <w:p w14:paraId="68FA69FF">
      <w:pPr>
        <w:bidi w:val="0"/>
        <w:rPr>
          <w:rFonts w:hint="default"/>
          <w:color w:val="auto"/>
          <w:highlight w:val="none"/>
          <w:lang w:val="en-US" w:eastAsia="zh-CN"/>
        </w:rPr>
      </w:pPr>
      <w:r>
        <w:rPr>
          <w:rFonts w:hint="default"/>
          <w:color w:val="auto"/>
          <w:highlight w:val="none"/>
          <w:lang w:val="en-US" w:eastAsia="zh-CN"/>
        </w:rPr>
        <w:t>我单位2023年度安排项目支出主要</w:t>
      </w:r>
      <w:r>
        <w:rPr>
          <w:rFonts w:hint="eastAsia"/>
          <w:color w:val="auto"/>
          <w:highlight w:val="none"/>
          <w:lang w:val="en-US" w:eastAsia="zh-CN"/>
        </w:rPr>
        <w:t>内容包括：</w:t>
      </w:r>
      <w:r>
        <w:rPr>
          <w:rFonts w:hint="eastAsia"/>
          <w:color w:val="auto"/>
          <w:szCs w:val="28"/>
          <w:highlight w:val="none"/>
          <w:lang w:val="en-US" w:eastAsia="zh-CN"/>
        </w:rPr>
        <w:t>基本</w:t>
      </w:r>
      <w:r>
        <w:rPr>
          <w:rFonts w:hint="eastAsia" w:ascii="仿宋" w:hAnsi="仿宋" w:eastAsia="仿宋" w:cs="Times New Roman"/>
          <w:color w:val="auto"/>
          <w:kern w:val="2"/>
          <w:sz w:val="28"/>
          <w:szCs w:val="28"/>
          <w:highlight w:val="none"/>
          <w:lang w:val="en-US" w:eastAsia="zh-CN" w:bidi="ar-SA"/>
        </w:rPr>
        <w:t>药物制度补助</w:t>
      </w:r>
      <w:r>
        <w:rPr>
          <w:rFonts w:hint="eastAsia"/>
          <w:color w:val="auto"/>
          <w:szCs w:val="28"/>
          <w:highlight w:val="none"/>
        </w:rPr>
        <w:t>项目</w:t>
      </w:r>
      <w:r>
        <w:rPr>
          <w:rFonts w:hint="eastAsia"/>
          <w:color w:val="auto"/>
          <w:szCs w:val="28"/>
          <w:highlight w:val="none"/>
          <w:lang w:eastAsia="zh-CN"/>
        </w:rPr>
        <w:t>，</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eastAsia"/>
          <w:color w:val="auto"/>
          <w:szCs w:val="28"/>
          <w:highlight w:val="none"/>
        </w:rPr>
        <w:t>项</w:t>
      </w:r>
      <w:r>
        <w:rPr>
          <w:rFonts w:hint="eastAsia"/>
          <w:color w:val="auto"/>
          <w:szCs w:val="28"/>
          <w:highlight w:val="none"/>
          <w:lang w:eastAsia="zh-CN"/>
        </w:rPr>
        <w:t>目和</w:t>
      </w:r>
      <w:r>
        <w:rPr>
          <w:rFonts w:hint="eastAsia" w:ascii="仿宋" w:hAnsi="仿宋" w:eastAsia="仿宋" w:cs="Times New Roman"/>
          <w:color w:val="auto"/>
          <w:kern w:val="2"/>
          <w:sz w:val="28"/>
          <w:szCs w:val="28"/>
          <w:highlight w:val="none"/>
          <w:lang w:val="en-US" w:eastAsia="zh-CN" w:bidi="ar-SA"/>
        </w:rPr>
        <w:t>重大公共卫生服务</w:t>
      </w:r>
      <w:r>
        <w:rPr>
          <w:rFonts w:hint="eastAsia"/>
          <w:color w:val="auto"/>
          <w:szCs w:val="28"/>
          <w:highlight w:val="none"/>
        </w:rPr>
        <w:t>项目</w:t>
      </w:r>
      <w:r>
        <w:rPr>
          <w:rFonts w:hint="eastAsia"/>
          <w:color w:val="auto"/>
          <w:szCs w:val="28"/>
          <w:highlight w:val="none"/>
          <w:lang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2100399其他基层医疗卫生机构支出</w:t>
      </w:r>
      <w:r>
        <w:rPr>
          <w:rFonts w:hint="eastAsia"/>
          <w:color w:val="auto"/>
          <w:highlight w:val="none"/>
          <w:lang w:val="en-US" w:eastAsia="zh-CN"/>
        </w:rPr>
        <w:t>2.59</w:t>
      </w:r>
      <w:r>
        <w:rPr>
          <w:rFonts w:hint="default"/>
          <w:color w:val="auto"/>
          <w:highlight w:val="none"/>
          <w:lang w:val="en-US" w:eastAsia="zh-CN"/>
        </w:rPr>
        <w:t>万元，2100408  基本公共卫生服务</w:t>
      </w:r>
      <w:r>
        <w:rPr>
          <w:rFonts w:hint="eastAsia"/>
          <w:color w:val="auto"/>
          <w:highlight w:val="none"/>
          <w:lang w:val="en-US" w:eastAsia="zh-CN"/>
        </w:rPr>
        <w:t>12.75</w:t>
      </w:r>
      <w:r>
        <w:rPr>
          <w:rFonts w:hint="default"/>
          <w:color w:val="auto"/>
          <w:highlight w:val="none"/>
          <w:lang w:val="en-US" w:eastAsia="zh-CN"/>
        </w:rPr>
        <w:t>万元，2100409 重大公共卫生服务</w:t>
      </w:r>
      <w:r>
        <w:rPr>
          <w:rFonts w:hint="eastAsia"/>
          <w:color w:val="auto"/>
          <w:highlight w:val="none"/>
          <w:lang w:val="en-US" w:eastAsia="zh-CN"/>
        </w:rPr>
        <w:t>0.72</w:t>
      </w:r>
      <w:r>
        <w:rPr>
          <w:rFonts w:hint="default"/>
          <w:color w:val="auto"/>
          <w:highlight w:val="none"/>
          <w:lang w:val="en-US" w:eastAsia="zh-CN"/>
        </w:rPr>
        <w:t>万元</w:t>
      </w:r>
      <w:r>
        <w:rPr>
          <w:rFonts w:hint="eastAsia"/>
          <w:color w:val="auto"/>
          <w:highlight w:val="none"/>
          <w:lang w:val="en-US" w:eastAsia="zh-CN"/>
        </w:rPr>
        <w:t>。</w:t>
      </w:r>
    </w:p>
    <w:bookmarkEnd w:id="2"/>
    <w:p w14:paraId="5F6F1EF3">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32F5B082">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13</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12</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6D8EFCA4">
      <w:pPr>
        <w:pStyle w:val="4"/>
        <w:numPr>
          <w:ilvl w:val="0"/>
          <w:numId w:val="3"/>
        </w:numPr>
        <w:bidi w:val="0"/>
        <w:rPr>
          <w:color w:val="auto"/>
          <w:highlight w:val="none"/>
        </w:rPr>
      </w:pPr>
      <w:r>
        <w:rPr>
          <w:rFonts w:hint="eastAsia"/>
          <w:color w:val="auto"/>
          <w:highlight w:val="none"/>
          <w:lang w:val="en-US" w:eastAsia="zh-CN"/>
        </w:rPr>
        <w:t>基本支出预算执行率</w:t>
      </w:r>
    </w:p>
    <w:p w14:paraId="6D334B18">
      <w:pPr>
        <w:bidi w:val="0"/>
        <w:rPr>
          <w:rFonts w:hint="eastAsia"/>
          <w:color w:val="auto"/>
          <w:highlight w:val="none"/>
          <w:lang w:val="en-US" w:eastAsia="zh-CN"/>
        </w:rPr>
      </w:pPr>
      <w:r>
        <w:rPr>
          <w:rFonts w:hint="eastAsia"/>
          <w:color w:val="auto"/>
          <w:highlight w:val="none"/>
          <w:lang w:val="en-US" w:eastAsia="zh-CN"/>
        </w:rPr>
        <w:t>“基本支出预算执行率”控制率指标年初设定目标是=100%，年中绩效运行监控时完成值54.31%，年终实际完成值是100%，指标完成率是100%，达到了“基本支出预算执行率”合理控制的预期目标。偏差原因：无偏差。</w:t>
      </w:r>
    </w:p>
    <w:p w14:paraId="225B787C">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（二）在职人员经费保障人数指标完成情况分析</w:t>
      </w:r>
    </w:p>
    <w:p w14:paraId="793F5E20">
      <w:pPr>
        <w:pStyle w:val="4"/>
        <w:numPr>
          <w:ilvl w:val="0"/>
          <w:numId w:val="0"/>
        </w:numPr>
        <w:bidi w:val="0"/>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在职人员经费保障人数指标年初设定目标是&gt;=7人，年中绩效运行监控时完成值</w:t>
      </w:r>
      <w:r>
        <w:rPr>
          <w:rFonts w:hint="eastAsia" w:cs="仿宋_GB2312"/>
          <w:b w:val="0"/>
          <w:bCs w:val="0"/>
          <w:color w:val="auto"/>
          <w:kern w:val="2"/>
          <w:sz w:val="28"/>
          <w:szCs w:val="24"/>
          <w:highlight w:val="none"/>
          <w:lang w:val="en-US" w:eastAsia="zh-CN" w:bidi="ar-SA"/>
        </w:rPr>
        <w:t>7</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8人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114.29</w:t>
      </w:r>
      <w:r>
        <w:rPr>
          <w:rFonts w:hint="eastAsia" w:ascii="仿宋_GB2312" w:hAnsi="仿宋_GB2312" w:eastAsia="仿宋" w:cs="仿宋_GB2312"/>
          <w:b w:val="0"/>
          <w:bCs w:val="0"/>
          <w:color w:val="auto"/>
          <w:kern w:val="2"/>
          <w:sz w:val="28"/>
          <w:szCs w:val="24"/>
          <w:highlight w:val="none"/>
          <w:lang w:val="en-US" w:eastAsia="zh-CN" w:bidi="ar-SA"/>
        </w:rPr>
        <w:t>%，达到了职工人员工资按时发放、社保按时缴纳的预期目标。偏差原因：本年度单位考入新增1人，年末在职人数增加。</w:t>
      </w:r>
    </w:p>
    <w:p w14:paraId="6714366A">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（三）退休人员经费保障人数指标完成情况分析</w:t>
      </w:r>
    </w:p>
    <w:p w14:paraId="1E2DFA27">
      <w:pPr>
        <w:pStyle w:val="4"/>
        <w:numPr>
          <w:ilvl w:val="0"/>
          <w:numId w:val="0"/>
        </w:numPr>
        <w:bidi w:val="0"/>
        <w:ind w:firstLine="560" w:firstLineChars="200"/>
        <w:rPr>
          <w:rFonts w:hint="eastAsia" w:ascii="仿宋_GB2312" w:hAnsi="仿宋_GB2312" w:eastAsia="仿宋" w:cs="仿宋_GB2312"/>
          <w:b w:val="0"/>
          <w:bCs/>
          <w:color w:val="auto"/>
          <w:kern w:val="2"/>
          <w:sz w:val="28"/>
          <w:szCs w:val="28"/>
          <w:highlight w:val="none"/>
          <w:lang w:val="en-US" w:eastAsia="zh-CN" w:bidi="ar-SA"/>
        </w:rPr>
      </w:pPr>
      <w:r>
        <w:rPr>
          <w:rFonts w:hint="eastAsia" w:ascii="仿宋_GB2312" w:hAnsi="仿宋_GB2312" w:eastAsia="仿宋" w:cs="仿宋_GB2312"/>
          <w:b w:val="0"/>
          <w:bCs/>
          <w:color w:val="auto"/>
          <w:kern w:val="2"/>
          <w:sz w:val="28"/>
          <w:szCs w:val="28"/>
          <w:highlight w:val="none"/>
          <w:lang w:val="en-US" w:eastAsia="zh-CN" w:bidi="ar-SA"/>
        </w:rPr>
        <w:t>保障退休人员人数指标：预期指标值为=4人，实际完成指标值为4人，指标完成率为100%，达到了职工人员工资按时发放、社保按时缴纳的预期目标。</w:t>
      </w:r>
    </w:p>
    <w:p w14:paraId="12B7AE0D">
      <w:pPr>
        <w:ind w:left="0" w:leftChars="0" w:firstLine="560" w:firstLineChars="200"/>
        <w:rPr>
          <w:rFonts w:hint="eastAsia"/>
          <w:color w:val="auto"/>
          <w:highlight w:val="none"/>
          <w:lang w:val="en-US" w:eastAsia="zh-CN"/>
        </w:rPr>
      </w:pPr>
    </w:p>
    <w:p w14:paraId="24583643">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（四）门诊就诊患者人数指标完成情况分析</w:t>
      </w:r>
    </w:p>
    <w:p w14:paraId="4DD314C6">
      <w:pPr>
        <w:ind w:left="0" w:leftChars="0"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门诊就诊人次指标年初设定目标是&gt;=</w:t>
      </w:r>
      <w:r>
        <w:rPr>
          <w:rFonts w:hint="eastAsia" w:cs="仿宋_GB2312"/>
          <w:b w:val="0"/>
          <w:bCs w:val="0"/>
          <w:color w:val="auto"/>
          <w:kern w:val="2"/>
          <w:sz w:val="28"/>
          <w:szCs w:val="24"/>
          <w:highlight w:val="none"/>
          <w:lang w:val="en-US" w:eastAsia="zh-CN" w:bidi="ar-SA"/>
        </w:rPr>
        <w:t>1197</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886</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1797</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150.13</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14:paraId="5AE6A7CE">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（五）基层医务人员培训人数指标完成情况分析</w:t>
      </w:r>
    </w:p>
    <w:p w14:paraId="37E8494C">
      <w:pPr>
        <w:numPr>
          <w:ilvl w:val="0"/>
          <w:numId w:val="0"/>
        </w:numPr>
        <w:ind w:firstLine="560" w:firstLineChars="200"/>
        <w:rPr>
          <w:rFonts w:hint="eastAsia" w:cs="仿宋_GB2312"/>
          <w:b w:val="0"/>
          <w:bCs w:val="0"/>
          <w:color w:val="auto"/>
          <w:kern w:val="2"/>
          <w:sz w:val="28"/>
          <w:szCs w:val="24"/>
          <w:highlight w:val="none"/>
          <w:lang w:val="en-US" w:eastAsia="zh-CN" w:bidi="ar-SA"/>
        </w:rPr>
      </w:pPr>
      <w:r>
        <w:rPr>
          <w:rFonts w:hint="eastAsia"/>
          <w:color w:val="auto"/>
          <w:highlight w:val="none"/>
          <w:lang w:val="en-US" w:eastAsia="zh-CN"/>
        </w:rPr>
        <w:t>基层医务人员培训人数</w:t>
      </w:r>
      <w:r>
        <w:rPr>
          <w:rFonts w:hint="eastAsia" w:ascii="仿宋_GB2312" w:hAnsi="仿宋_GB2312" w:eastAsia="仿宋" w:cs="仿宋_GB2312"/>
          <w:b w:val="0"/>
          <w:bCs w:val="0"/>
          <w:color w:val="auto"/>
          <w:kern w:val="2"/>
          <w:sz w:val="28"/>
          <w:szCs w:val="24"/>
          <w:highlight w:val="none"/>
          <w:lang w:val="en-US" w:eastAsia="zh-CN" w:bidi="ar-SA"/>
        </w:rPr>
        <w:t>指标年初设定目标是&gt;=</w:t>
      </w:r>
      <w:r>
        <w:rPr>
          <w:rFonts w:hint="eastAsia" w:cs="仿宋_GB2312"/>
          <w:b w:val="0"/>
          <w:bCs w:val="0"/>
          <w:color w:val="auto"/>
          <w:kern w:val="2"/>
          <w:sz w:val="28"/>
          <w:szCs w:val="24"/>
          <w:highlight w:val="none"/>
          <w:lang w:val="en-US" w:eastAsia="zh-CN" w:bidi="ar-SA"/>
        </w:rPr>
        <w:t>5</w:t>
      </w:r>
      <w:r>
        <w:rPr>
          <w:rFonts w:hint="eastAsia" w:ascii="仿宋_GB2312" w:hAnsi="仿宋_GB2312" w:eastAsia="仿宋" w:cs="仿宋_GB2312"/>
          <w:b w:val="0"/>
          <w:bCs w:val="0"/>
          <w:color w:val="auto"/>
          <w:kern w:val="2"/>
          <w:sz w:val="28"/>
          <w:szCs w:val="24"/>
          <w:highlight w:val="none"/>
          <w:lang w:val="en-US" w:eastAsia="zh-CN" w:bidi="ar-SA"/>
        </w:rPr>
        <w:t>人次，年中绩效运行监控时完成值</w:t>
      </w:r>
      <w:r>
        <w:rPr>
          <w:rFonts w:hint="eastAsia" w:cs="仿宋_GB2312"/>
          <w:b w:val="0"/>
          <w:bCs w:val="0"/>
          <w:color w:val="auto"/>
          <w:kern w:val="2"/>
          <w:sz w:val="28"/>
          <w:szCs w:val="24"/>
          <w:highlight w:val="none"/>
          <w:lang w:val="en-US" w:eastAsia="zh-CN" w:bidi="ar-SA"/>
        </w:rPr>
        <w:t>5</w:t>
      </w:r>
      <w:r>
        <w:rPr>
          <w:rFonts w:hint="eastAsia" w:ascii="仿宋_GB2312" w:hAnsi="仿宋_GB2312" w:eastAsia="仿宋" w:cs="仿宋_GB2312"/>
          <w:b w:val="0"/>
          <w:bCs w:val="0"/>
          <w:color w:val="auto"/>
          <w:kern w:val="2"/>
          <w:sz w:val="28"/>
          <w:szCs w:val="24"/>
          <w:highlight w:val="none"/>
          <w:lang w:val="en-US" w:eastAsia="zh-CN" w:bidi="ar-SA"/>
        </w:rPr>
        <w:t>人次，年终实际完成值是</w:t>
      </w:r>
      <w:r>
        <w:rPr>
          <w:rFonts w:hint="eastAsia" w:cs="仿宋_GB2312"/>
          <w:b w:val="0"/>
          <w:bCs w:val="0"/>
          <w:color w:val="auto"/>
          <w:kern w:val="2"/>
          <w:sz w:val="28"/>
          <w:szCs w:val="24"/>
          <w:highlight w:val="none"/>
          <w:lang w:val="en-US" w:eastAsia="zh-CN" w:bidi="ar-SA"/>
        </w:rPr>
        <w:t>5</w:t>
      </w:r>
      <w:r>
        <w:rPr>
          <w:rFonts w:hint="eastAsia" w:ascii="仿宋_GB2312" w:hAnsi="仿宋_GB2312" w:eastAsia="仿宋" w:cs="仿宋_GB2312"/>
          <w:b w:val="0"/>
          <w:bCs w:val="0"/>
          <w:color w:val="auto"/>
          <w:kern w:val="2"/>
          <w:sz w:val="28"/>
          <w:szCs w:val="24"/>
          <w:highlight w:val="none"/>
          <w:lang w:val="en-US" w:eastAsia="zh-CN" w:bidi="ar-SA"/>
        </w:rPr>
        <w:t>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r>
        <w:rPr>
          <w:rFonts w:hint="eastAsia" w:cs="仿宋_GB2312"/>
          <w:b w:val="0"/>
          <w:bCs w:val="0"/>
          <w:color w:val="auto"/>
          <w:kern w:val="2"/>
          <w:sz w:val="28"/>
          <w:szCs w:val="24"/>
          <w:highlight w:val="none"/>
          <w:lang w:val="en-US" w:eastAsia="zh-CN" w:bidi="ar-SA"/>
        </w:rPr>
        <w:t>。</w:t>
      </w:r>
    </w:p>
    <w:p w14:paraId="1C1829FB">
      <w:pPr>
        <w:pStyle w:val="4"/>
        <w:numPr>
          <w:ilvl w:val="0"/>
          <w:numId w:val="0"/>
        </w:numPr>
        <w:bidi w:val="0"/>
        <w:spacing w:before="0" w:beforeLines="0" w:line="240" w:lineRule="auto"/>
        <w:ind w:left="560" w:leftChars="0"/>
        <w:rPr>
          <w:rFonts w:hint="eastAsia"/>
          <w:color w:val="auto"/>
          <w:highlight w:val="none"/>
          <w:lang w:val="en-US" w:eastAsia="zh-CN"/>
        </w:rPr>
      </w:pPr>
      <w:r>
        <w:rPr>
          <w:rFonts w:hint="eastAsia"/>
          <w:color w:val="auto"/>
          <w:highlight w:val="none"/>
          <w:lang w:val="en-US" w:eastAsia="zh-CN"/>
        </w:rPr>
        <w:t>（六）人员经费保障率指标完成情况分析</w:t>
      </w:r>
    </w:p>
    <w:p w14:paraId="289D7ED9">
      <w:pPr>
        <w:pStyle w:val="2"/>
        <w:ind w:left="0" w:leftChars="0" w:firstLine="600" w:firstLineChars="200"/>
        <w:rPr>
          <w:rFonts w:hint="eastAsia"/>
          <w:color w:val="auto"/>
          <w:highlight w:val="none"/>
          <w:lang w:val="en-US" w:eastAsia="zh-CN"/>
        </w:rPr>
      </w:pPr>
      <w:r>
        <w:rPr>
          <w:rFonts w:hint="eastAsia"/>
          <w:b w:val="0"/>
          <w:bCs w:val="0"/>
          <w:color w:val="auto"/>
          <w:highlight w:val="none"/>
          <w:lang w:val="en-US" w:eastAsia="zh-CN"/>
        </w:rPr>
        <w:t>人员经费保障率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6FE2621A">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（七）乡镇门诊治疗准确率指标完成情况分析</w:t>
      </w:r>
    </w:p>
    <w:p w14:paraId="04242F00">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乡镇门诊治疗准确率</w:t>
      </w:r>
      <w:r>
        <w:rPr>
          <w:rFonts w:hint="eastAsia"/>
          <w:color w:val="auto"/>
          <w:highlight w:val="none"/>
          <w:lang w:val="en-US" w:eastAsia="zh-CN"/>
        </w:rPr>
        <w:t>指标年初设定目标是=&gt;97%，年中绩效运行监控时完成值100%，年终实际完成值是</w:t>
      </w:r>
      <w:r>
        <w:rPr>
          <w:rFonts w:hint="eastAsia"/>
          <w:color w:val="auto"/>
          <w:sz w:val="28"/>
          <w:szCs w:val="28"/>
          <w:highlight w:val="none"/>
          <w:lang w:val="en-US" w:eastAsia="zh-CN"/>
        </w:rPr>
        <w:t>103.09%，指标</w:t>
      </w:r>
      <w:r>
        <w:rPr>
          <w:rFonts w:hint="eastAsia"/>
          <w:color w:val="auto"/>
          <w:highlight w:val="none"/>
          <w:lang w:val="en-US" w:eastAsia="zh-CN"/>
        </w:rPr>
        <w:t>完成率是100%，</w:t>
      </w:r>
      <w:r>
        <w:rPr>
          <w:rFonts w:hint="eastAsia" w:cs="仿宋_GB2312"/>
          <w:b w:val="0"/>
          <w:bCs w:val="0"/>
          <w:color w:val="auto"/>
          <w:kern w:val="2"/>
          <w:sz w:val="28"/>
          <w:szCs w:val="24"/>
          <w:highlight w:val="none"/>
          <w:lang w:val="en-US" w:eastAsia="zh-CN" w:bidi="ar-SA"/>
        </w:rPr>
        <w:t>达到了</w:t>
      </w:r>
      <w:r>
        <w:rPr>
          <w:rFonts w:hint="eastAsia"/>
          <w:color w:val="auto"/>
          <w:highlight w:val="none"/>
          <w:lang w:val="en-US" w:eastAsia="zh-CN"/>
        </w:rPr>
        <w:t>乡镇门诊治疗准确率</w:t>
      </w:r>
      <w:r>
        <w:rPr>
          <w:rFonts w:hint="eastAsia" w:cs="仿宋_GB2312"/>
          <w:b w:val="0"/>
          <w:bCs w:val="0"/>
          <w:color w:val="auto"/>
          <w:kern w:val="2"/>
          <w:sz w:val="28"/>
          <w:szCs w:val="24"/>
          <w:highlight w:val="none"/>
          <w:lang w:val="en-US" w:eastAsia="zh-CN" w:bidi="ar-SA"/>
        </w:rPr>
        <w:t>，提升</w:t>
      </w:r>
      <w:r>
        <w:rPr>
          <w:rFonts w:hint="eastAsia"/>
          <w:color w:val="auto"/>
          <w:highlight w:val="none"/>
          <w:lang w:val="en-US" w:eastAsia="zh-CN"/>
        </w:rPr>
        <w:t>乡镇门诊治疗</w:t>
      </w:r>
      <w:r>
        <w:rPr>
          <w:rFonts w:hint="eastAsia" w:cs="仿宋_GB2312"/>
          <w:b w:val="0"/>
          <w:bCs w:val="0"/>
          <w:color w:val="auto"/>
          <w:kern w:val="2"/>
          <w:sz w:val="28"/>
          <w:szCs w:val="24"/>
          <w:highlight w:val="none"/>
          <w:lang w:val="en-US" w:eastAsia="zh-CN" w:bidi="ar-SA"/>
        </w:rPr>
        <w:t>按时完成</w:t>
      </w:r>
      <w:r>
        <w:rPr>
          <w:rFonts w:hint="eastAsia" w:ascii="仿宋_GB2312" w:hAnsi="仿宋_GB2312" w:eastAsia="仿宋" w:cs="仿宋_GB2312"/>
          <w:b w:val="0"/>
          <w:bCs w:val="0"/>
          <w:color w:val="auto"/>
          <w:kern w:val="2"/>
          <w:sz w:val="28"/>
          <w:szCs w:val="24"/>
          <w:highlight w:val="none"/>
          <w:lang w:val="en-US" w:eastAsia="zh-CN" w:bidi="ar-SA"/>
        </w:rPr>
        <w:t>预期目标。</w:t>
      </w:r>
      <w:r>
        <w:rPr>
          <w:rFonts w:hint="eastAsia"/>
          <w:color w:val="auto"/>
          <w:highlight w:val="none"/>
          <w:lang w:val="en-US" w:eastAsia="zh-CN"/>
        </w:rPr>
        <w:t>偏差原因：无偏差。</w:t>
      </w:r>
    </w:p>
    <w:p w14:paraId="1D4A4D44">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（八）提供医疗与护理保健服务率指标完成情况分析</w:t>
      </w:r>
    </w:p>
    <w:p w14:paraId="0B67CA17">
      <w:pPr>
        <w:pStyle w:val="2"/>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98</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98</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98</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6718C1B8">
      <w:pPr>
        <w:pStyle w:val="2"/>
        <w:numPr>
          <w:ilvl w:val="0"/>
          <w:numId w:val="0"/>
        </w:numPr>
        <w:ind w:left="560" w:leftChars="0"/>
        <w:rPr>
          <w:rFonts w:hint="eastAsia"/>
          <w:color w:val="auto"/>
          <w:highlight w:val="none"/>
          <w:lang w:val="en-US" w:eastAsia="zh-CN"/>
        </w:rPr>
      </w:pPr>
      <w:r>
        <w:rPr>
          <w:rFonts w:hint="eastAsia"/>
          <w:color w:val="auto"/>
          <w:highlight w:val="none"/>
          <w:lang w:val="en-US" w:eastAsia="zh-CN"/>
        </w:rPr>
        <w:t>（九）辖区基本公共卫生服务覆盖率指标完成情况分析</w:t>
      </w:r>
    </w:p>
    <w:p w14:paraId="2582ADC1">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指标年初设定目标是&gt;=98%，年中绩效运行监控时完成值98%，年终实际完成值是100%，指标完成率是100%，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14:paraId="6214D2D0">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14:paraId="4B2EAC4B">
      <w:pPr>
        <w:numPr>
          <w:ilvl w:val="0"/>
          <w:numId w:val="0"/>
        </w:numPr>
        <w:ind w:firstLine="560" w:firstLineChars="200"/>
        <w:rPr>
          <w:rFonts w:hint="eastAsia"/>
          <w:color w:val="auto"/>
          <w:highlight w:val="none"/>
          <w:lang w:val="en-US" w:eastAsia="zh-CN"/>
        </w:rPr>
      </w:pPr>
      <w:r>
        <w:rPr>
          <w:rFonts w:hint="eastAsia"/>
          <w:color w:val="auto"/>
          <w:highlight w:val="none"/>
          <w:lang w:val="en-US" w:eastAsia="zh-CN"/>
        </w:rPr>
        <w:t>医保政策知晓率指标年初设定目标是&gt;=90%，年中绩效运行监控时完成值90%，年终实际完成值是100%，指标完成率是100%，提高了居民对医保政策的理解和信任的预期目标。偏差原因：无偏差。</w:t>
      </w:r>
    </w:p>
    <w:p w14:paraId="159CE9A6">
      <w:pPr>
        <w:pStyle w:val="2"/>
        <w:numPr>
          <w:ilvl w:val="0"/>
          <w:numId w:val="0"/>
        </w:numPr>
        <w:ind w:firstLine="643" w:firstLineChars="200"/>
        <w:rPr>
          <w:rFonts w:hint="eastAsia"/>
          <w:color w:val="auto"/>
          <w:highlight w:val="none"/>
          <w:lang w:val="en-US" w:eastAsia="zh-CN"/>
        </w:rPr>
      </w:pPr>
      <w:r>
        <w:rPr>
          <w:rFonts w:hint="eastAsia" w:ascii="Arial" w:hAnsi="Arial" w:eastAsia="楷体_GB2312" w:cs="仿宋_GB2312"/>
          <w:b/>
          <w:bCs w:val="0"/>
          <w:color w:val="auto"/>
          <w:kern w:val="2"/>
          <w:sz w:val="32"/>
          <w:szCs w:val="24"/>
          <w:highlight w:val="none"/>
          <w:lang w:val="en-US" w:eastAsia="zh-CN" w:bidi="ar-SA"/>
        </w:rPr>
        <w:t>（十一）</w:t>
      </w:r>
      <w:r>
        <w:rPr>
          <w:rFonts w:hint="eastAsia"/>
          <w:color w:val="auto"/>
          <w:highlight w:val="none"/>
          <w:lang w:val="en-US" w:eastAsia="zh-CN"/>
        </w:rPr>
        <w:t>提升本辖区居民健康水平指标完成情况分析</w:t>
      </w:r>
    </w:p>
    <w:p w14:paraId="61BDA127">
      <w:pPr>
        <w:bidi w:val="0"/>
        <w:rPr>
          <w:rFonts w:hint="eastAsia"/>
          <w:b/>
          <w:bCs/>
          <w:color w:val="auto"/>
          <w:highlight w:val="none"/>
          <w:lang w:val="en-US" w:eastAsia="zh-CN"/>
        </w:rPr>
      </w:pPr>
      <w:r>
        <w:rPr>
          <w:rFonts w:hint="eastAsia"/>
          <w:color w:val="auto"/>
          <w:highlight w:val="none"/>
          <w:lang w:val="en-US" w:eastAsia="zh-CN"/>
        </w:rPr>
        <w:t>提升本辖区居民健康水平指标年初设定目标是&gt;=90%，年中绩效运行监控时完成值未达监控节点，年终实际完成值是100%，指标完成率是100%，提高了本辖区居民健康水平的预期目标。偏差原因：无偏差。</w:t>
      </w:r>
    </w:p>
    <w:p w14:paraId="1A8A6F76">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（十二）患者对医疗服务的满意度指标完成情况分析</w:t>
      </w:r>
    </w:p>
    <w:p w14:paraId="4E4D3AA8">
      <w:pPr>
        <w:pStyle w:val="2"/>
        <w:rPr>
          <w:rFonts w:hint="eastAsia"/>
          <w:b w:val="0"/>
          <w:bCs w:val="0"/>
          <w:color w:val="auto"/>
          <w:highlight w:val="none"/>
          <w:lang w:val="en-US" w:eastAsia="zh-CN"/>
        </w:rPr>
      </w:pPr>
      <w:r>
        <w:rPr>
          <w:rFonts w:hint="eastAsia"/>
          <w:b w:val="0"/>
          <w:bCs w:val="0"/>
          <w:color w:val="auto"/>
          <w:highlight w:val="none"/>
          <w:lang w:val="en-US" w:eastAsia="zh-CN"/>
        </w:rPr>
        <w:t>患者对医疗服务的满意度指标年初设定目标是&gt;=95%，年中绩效运行监控时完成值未达监控节点，年终实际完成值是100%，指标完成率是100%，提升了患者满意度和就诊体验的预期目标。偏差原因：无偏差。</w:t>
      </w:r>
    </w:p>
    <w:p w14:paraId="09C0E78F">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（十三）职工满意度指标完成情况分析</w:t>
      </w:r>
    </w:p>
    <w:p w14:paraId="3B0302B0">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98%，年中绩效运行监控时完成值未达监控节点，年终实际完成值是100%，指标完成率是100%，增强了员工的积极性，提高了工作效率，减少人员流失的预期目标。偏差原因：无偏差。</w:t>
      </w:r>
    </w:p>
    <w:p w14:paraId="2D18F97B">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15E00AEB">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39676C27">
      <w:pPr>
        <w:bidi w:val="0"/>
        <w:spacing w:line="560" w:lineRule="exact"/>
        <w:ind w:firstLine="560" w:firstLineChars="200"/>
        <w:rPr>
          <w:rFonts w:hint="default"/>
          <w:color w:val="auto"/>
          <w:highlight w:val="none"/>
          <w:lang w:eastAsia="zh-CN"/>
        </w:rPr>
      </w:pPr>
      <w:r>
        <w:rPr>
          <w:rFonts w:hint="default"/>
          <w:color w:val="auto"/>
          <w:highlight w:val="none"/>
          <w:lang w:eastAsia="zh-CN"/>
        </w:rPr>
        <w:t>2023年，</w:t>
      </w:r>
      <w:r>
        <w:rPr>
          <w:rFonts w:hint="default"/>
          <w:color w:val="auto"/>
          <w:highlight w:val="none"/>
          <w:lang w:val="en-US" w:eastAsia="zh-CN"/>
        </w:rPr>
        <w:t>和静县</w:t>
      </w:r>
      <w:r>
        <w:rPr>
          <w:rFonts w:hint="eastAsia"/>
          <w:color w:val="auto"/>
          <w:highlight w:val="none"/>
          <w:lang w:val="en-US" w:eastAsia="zh-CN"/>
        </w:rPr>
        <w:t>巴音郭楞乡卫生院</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14:paraId="3C269DA0">
      <w:pPr>
        <w:pStyle w:val="3"/>
        <w:numPr>
          <w:ilvl w:val="0"/>
          <w:numId w:val="4"/>
        </w:numPr>
        <w:bidi w:val="0"/>
        <w:ind w:left="0" w:leftChars="0" w:firstLine="640" w:firstLineChars="200"/>
        <w:rPr>
          <w:rFonts w:hint="eastAsia"/>
          <w:color w:val="auto"/>
          <w:highlight w:val="none"/>
          <w:lang w:val="en-US" w:eastAsia="zh-CN"/>
        </w:rPr>
      </w:pPr>
      <w:bookmarkStart w:id="4" w:name="_Toc22800_WPSOffice_Level1"/>
      <w:r>
        <w:rPr>
          <w:rFonts w:hint="eastAsia"/>
          <w:color w:val="auto"/>
          <w:highlight w:val="none"/>
        </w:rPr>
        <w:t>存在的主要问题</w:t>
      </w:r>
      <w:bookmarkEnd w:id="4"/>
      <w:r>
        <w:rPr>
          <w:rFonts w:hint="eastAsia"/>
          <w:color w:val="auto"/>
          <w:highlight w:val="none"/>
          <w:lang w:val="en-US" w:eastAsia="zh-CN"/>
        </w:rPr>
        <w:t>及原因分析</w:t>
      </w:r>
    </w:p>
    <w:p w14:paraId="280D4F80">
      <w:pPr>
        <w:spacing w:line="360" w:lineRule="auto"/>
        <w:ind w:firstLine="560" w:firstLineChars="200"/>
        <w:jc w:val="left"/>
        <w:rPr>
          <w:rFonts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14:paraId="17995C81">
      <w:pPr>
        <w:numPr>
          <w:ilvl w:val="0"/>
          <w:numId w:val="5"/>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14:paraId="5CF5E2A8">
      <w:pPr>
        <w:numPr>
          <w:ilvl w:val="0"/>
          <w:numId w:val="5"/>
        </w:numPr>
        <w:spacing w:line="360" w:lineRule="auto"/>
        <w:ind w:firstLine="560" w:firstLineChars="200"/>
        <w:jc w:val="left"/>
        <w:rPr>
          <w:rFonts w:hint="eastAsia" w:ascii="Times New Roman" w:hAnsi="Times New Roman" w:cs="Times New Roman"/>
          <w:color w:val="auto"/>
          <w:kern w:val="0"/>
          <w:szCs w:val="28"/>
          <w:highlight w:val="none"/>
          <w:lang w:val="en-US" w:eastAsia="zh-CN"/>
        </w:rPr>
      </w:pPr>
      <w:r>
        <w:rPr>
          <w:rFonts w:hint="eastAsia" w:ascii="Times New Roman" w:hAnsi="Times New Roman" w:cs="Times New Roman"/>
          <w:color w:val="auto"/>
          <w:kern w:val="0"/>
          <w:szCs w:val="28"/>
          <w:highlight w:val="none"/>
          <w:lang w:val="en-US" w:eastAsia="zh-CN"/>
        </w:rPr>
        <w:t>年初预算的编制未细化到每个科室，医院属于业务型单位，突发公共事件、紧急采购、临时维修、培训学习等项目较多，因此对于追加的预算资金，没有进行预算分解，涉及追加预算资金的预算管理仅从总额进行控制。</w:t>
      </w:r>
    </w:p>
    <w:p w14:paraId="4B5D7030">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14:paraId="1ED26A94">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14:paraId="75BB204E">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2436129A">
      <w:pPr>
        <w:rPr>
          <w:rFonts w:hint="eastAsia"/>
          <w:color w:val="auto"/>
          <w:highlight w:val="none"/>
        </w:rPr>
      </w:pPr>
    </w:p>
    <w:p w14:paraId="0F1CBCA2">
      <w:pPr>
        <w:bidi w:val="0"/>
        <w:rPr>
          <w:rFonts w:hint="eastAsia" w:ascii="黑体" w:hAnsi="黑体" w:eastAsia="黑体" w:cs="黑体"/>
          <w:b/>
          <w:bCs/>
          <w:color w:val="auto"/>
          <w:sz w:val="32"/>
          <w:szCs w:val="32"/>
          <w:highlight w:val="none"/>
          <w:lang w:val="en-US" w:eastAsia="zh-CN"/>
        </w:rPr>
      </w:pPr>
      <w:r>
        <w:rPr>
          <w:rFonts w:hint="eastAsia" w:ascii="黑体" w:hAnsi="黑体" w:eastAsia="黑体" w:cs="黑体"/>
          <w:b/>
          <w:bCs/>
          <w:color w:val="auto"/>
          <w:sz w:val="32"/>
          <w:szCs w:val="32"/>
          <w:highlight w:val="none"/>
          <w:lang w:val="en-US" w:eastAsia="zh-CN"/>
        </w:rPr>
        <w:t>七、附件上传</w:t>
      </w:r>
    </w:p>
    <w:p w14:paraId="3D694E24">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80496">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24432484">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abstractNum w:abstractNumId="1">
    <w:nsid w:val="1F4C4E0F"/>
    <w:multiLevelType w:val="singleLevel"/>
    <w:tmpl w:val="1F4C4E0F"/>
    <w:lvl w:ilvl="0" w:tentative="0">
      <w:start w:val="1"/>
      <w:numFmt w:val="chineseCounting"/>
      <w:suff w:val="nothing"/>
      <w:lvlText w:val="（%1）"/>
      <w:lvlJc w:val="left"/>
      <w:rPr>
        <w:rFonts w:hint="eastAsia"/>
      </w:rPr>
    </w:lvl>
  </w:abstractNum>
  <w:abstractNum w:abstractNumId="2">
    <w:nsid w:val="2A2C6F6F"/>
    <w:multiLevelType w:val="singleLevel"/>
    <w:tmpl w:val="2A2C6F6F"/>
    <w:lvl w:ilvl="0" w:tentative="0">
      <w:start w:val="1"/>
      <w:numFmt w:val="decimalEnclosedCircleChinese"/>
      <w:suff w:val="nothing"/>
      <w:lvlText w:val="%1　"/>
      <w:lvlJc w:val="left"/>
      <w:pPr>
        <w:ind w:left="160" w:firstLine="400"/>
      </w:pPr>
      <w:rPr>
        <w:rFonts w:hint="eastAsia"/>
      </w:rPr>
    </w:lvl>
  </w:abstractNum>
  <w:abstractNum w:abstractNumId="3">
    <w:nsid w:val="3E228427"/>
    <w:multiLevelType w:val="singleLevel"/>
    <w:tmpl w:val="3E228427"/>
    <w:lvl w:ilvl="0" w:tentative="0">
      <w:start w:val="5"/>
      <w:numFmt w:val="chineseCounting"/>
      <w:suff w:val="nothing"/>
      <w:lvlText w:val="%1、"/>
      <w:lvlJc w:val="left"/>
      <w:rPr>
        <w:rFonts w:hint="eastAsia"/>
      </w:rPr>
    </w:lvl>
  </w:abstractNum>
  <w:abstractNum w:abstractNumId="4">
    <w:nsid w:val="6F612B8B"/>
    <w:multiLevelType w:val="singleLevel"/>
    <w:tmpl w:val="6F612B8B"/>
    <w:lvl w:ilvl="0" w:tentative="0">
      <w:start w:val="2"/>
      <w:numFmt w:val="chineseCounting"/>
      <w:suff w:val="nothing"/>
      <w:lvlText w:val="（%1）"/>
      <w:lvlJc w:val="left"/>
      <w:rPr>
        <w:rFonts w:hint="eastAsia"/>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72A86"/>
    <w:rsid w:val="00491D09"/>
    <w:rsid w:val="004E1483"/>
    <w:rsid w:val="0054132C"/>
    <w:rsid w:val="005B1250"/>
    <w:rsid w:val="006258B7"/>
    <w:rsid w:val="00633862"/>
    <w:rsid w:val="00643BE3"/>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84114"/>
    <w:rsid w:val="00EB1FFE"/>
    <w:rsid w:val="00F326C7"/>
    <w:rsid w:val="00F84215"/>
    <w:rsid w:val="00FF2ACD"/>
    <w:rsid w:val="01162728"/>
    <w:rsid w:val="012008EE"/>
    <w:rsid w:val="013B41EB"/>
    <w:rsid w:val="01941124"/>
    <w:rsid w:val="019E4ED3"/>
    <w:rsid w:val="01BC68B7"/>
    <w:rsid w:val="01CC583F"/>
    <w:rsid w:val="021F6013"/>
    <w:rsid w:val="02337D11"/>
    <w:rsid w:val="02610413"/>
    <w:rsid w:val="02994018"/>
    <w:rsid w:val="02C40969"/>
    <w:rsid w:val="02D50DC8"/>
    <w:rsid w:val="0337738D"/>
    <w:rsid w:val="037405E1"/>
    <w:rsid w:val="03DF5390"/>
    <w:rsid w:val="04163446"/>
    <w:rsid w:val="045F6B9B"/>
    <w:rsid w:val="04DB4953"/>
    <w:rsid w:val="04FF0482"/>
    <w:rsid w:val="05062887"/>
    <w:rsid w:val="051A51B8"/>
    <w:rsid w:val="05464D81"/>
    <w:rsid w:val="05F70F85"/>
    <w:rsid w:val="0607573C"/>
    <w:rsid w:val="06547701"/>
    <w:rsid w:val="06FF4665"/>
    <w:rsid w:val="071E0F8F"/>
    <w:rsid w:val="072B19D6"/>
    <w:rsid w:val="078B5EF9"/>
    <w:rsid w:val="07FB4D4E"/>
    <w:rsid w:val="084208C4"/>
    <w:rsid w:val="087D5842"/>
    <w:rsid w:val="08A90D2D"/>
    <w:rsid w:val="095962AF"/>
    <w:rsid w:val="098A3C0A"/>
    <w:rsid w:val="09A24E4E"/>
    <w:rsid w:val="09DF42DA"/>
    <w:rsid w:val="0A375D4C"/>
    <w:rsid w:val="0A87276B"/>
    <w:rsid w:val="0A9A7091"/>
    <w:rsid w:val="0B8B417D"/>
    <w:rsid w:val="0BC1013B"/>
    <w:rsid w:val="0BE36304"/>
    <w:rsid w:val="0C00695E"/>
    <w:rsid w:val="0C254A1B"/>
    <w:rsid w:val="0C2C6F36"/>
    <w:rsid w:val="0C6738B8"/>
    <w:rsid w:val="0C803B53"/>
    <w:rsid w:val="0CF06F2A"/>
    <w:rsid w:val="0CF11C7D"/>
    <w:rsid w:val="0D26294C"/>
    <w:rsid w:val="0D533015"/>
    <w:rsid w:val="0DF95B46"/>
    <w:rsid w:val="0E7D784C"/>
    <w:rsid w:val="0E87566C"/>
    <w:rsid w:val="0E9D4E90"/>
    <w:rsid w:val="0F1D7D7F"/>
    <w:rsid w:val="0F615EBD"/>
    <w:rsid w:val="0FC73292"/>
    <w:rsid w:val="101271B8"/>
    <w:rsid w:val="1025513D"/>
    <w:rsid w:val="10300946"/>
    <w:rsid w:val="10A1053B"/>
    <w:rsid w:val="10BD330A"/>
    <w:rsid w:val="10E84FC9"/>
    <w:rsid w:val="10FE60D7"/>
    <w:rsid w:val="115A5EBE"/>
    <w:rsid w:val="116C2DA6"/>
    <w:rsid w:val="11F052D6"/>
    <w:rsid w:val="12587CF9"/>
    <w:rsid w:val="134F7771"/>
    <w:rsid w:val="138309AD"/>
    <w:rsid w:val="13A05616"/>
    <w:rsid w:val="13E513B9"/>
    <w:rsid w:val="14085134"/>
    <w:rsid w:val="141D43FE"/>
    <w:rsid w:val="14627FE2"/>
    <w:rsid w:val="14A800EA"/>
    <w:rsid w:val="1527393E"/>
    <w:rsid w:val="154020D1"/>
    <w:rsid w:val="15791F29"/>
    <w:rsid w:val="158C5316"/>
    <w:rsid w:val="15B904C0"/>
    <w:rsid w:val="160F7CF5"/>
    <w:rsid w:val="16287735"/>
    <w:rsid w:val="165C118C"/>
    <w:rsid w:val="172D035F"/>
    <w:rsid w:val="175D58E3"/>
    <w:rsid w:val="177C13BA"/>
    <w:rsid w:val="17D2722C"/>
    <w:rsid w:val="18061B60"/>
    <w:rsid w:val="185C36C6"/>
    <w:rsid w:val="189D7DFD"/>
    <w:rsid w:val="18B85447"/>
    <w:rsid w:val="18E13B03"/>
    <w:rsid w:val="190C3DF8"/>
    <w:rsid w:val="192F2B88"/>
    <w:rsid w:val="19AA4D08"/>
    <w:rsid w:val="19D61256"/>
    <w:rsid w:val="19F83E30"/>
    <w:rsid w:val="1AA80E44"/>
    <w:rsid w:val="1B403139"/>
    <w:rsid w:val="1B662AAD"/>
    <w:rsid w:val="1BCA6B98"/>
    <w:rsid w:val="1C6D319F"/>
    <w:rsid w:val="1C737230"/>
    <w:rsid w:val="1CD557F5"/>
    <w:rsid w:val="1D322C47"/>
    <w:rsid w:val="1D384A93"/>
    <w:rsid w:val="1D4D74D6"/>
    <w:rsid w:val="1D7C0366"/>
    <w:rsid w:val="1DA11B7B"/>
    <w:rsid w:val="1DBE272D"/>
    <w:rsid w:val="1DE32CFD"/>
    <w:rsid w:val="1E366767"/>
    <w:rsid w:val="1E5303AE"/>
    <w:rsid w:val="1EB51D82"/>
    <w:rsid w:val="1EFF4DAB"/>
    <w:rsid w:val="1F1A602A"/>
    <w:rsid w:val="1F2854B6"/>
    <w:rsid w:val="20146634"/>
    <w:rsid w:val="21717AB6"/>
    <w:rsid w:val="217D20CE"/>
    <w:rsid w:val="21C67E02"/>
    <w:rsid w:val="21C768CD"/>
    <w:rsid w:val="220F3557"/>
    <w:rsid w:val="228E4DC3"/>
    <w:rsid w:val="228F4698"/>
    <w:rsid w:val="22AE0FC2"/>
    <w:rsid w:val="22B10AB2"/>
    <w:rsid w:val="22E14253"/>
    <w:rsid w:val="23931BB2"/>
    <w:rsid w:val="23F209A3"/>
    <w:rsid w:val="2403516E"/>
    <w:rsid w:val="241035B6"/>
    <w:rsid w:val="2415065A"/>
    <w:rsid w:val="2435301D"/>
    <w:rsid w:val="244420F8"/>
    <w:rsid w:val="245E4322"/>
    <w:rsid w:val="24E71FCC"/>
    <w:rsid w:val="24EC7B7F"/>
    <w:rsid w:val="256A2A9E"/>
    <w:rsid w:val="257162D7"/>
    <w:rsid w:val="26031625"/>
    <w:rsid w:val="268B3412"/>
    <w:rsid w:val="26BB5A5B"/>
    <w:rsid w:val="27F7226E"/>
    <w:rsid w:val="2805537E"/>
    <w:rsid w:val="288E0F4E"/>
    <w:rsid w:val="289437EE"/>
    <w:rsid w:val="292A336C"/>
    <w:rsid w:val="292C0E92"/>
    <w:rsid w:val="297873DB"/>
    <w:rsid w:val="29C410CB"/>
    <w:rsid w:val="29F35E61"/>
    <w:rsid w:val="2A285817"/>
    <w:rsid w:val="2A641244"/>
    <w:rsid w:val="2AD92954"/>
    <w:rsid w:val="2B6F150A"/>
    <w:rsid w:val="2B822FEC"/>
    <w:rsid w:val="2B8A1EA0"/>
    <w:rsid w:val="2B9C671C"/>
    <w:rsid w:val="2BB557CB"/>
    <w:rsid w:val="2BC51751"/>
    <w:rsid w:val="2CF41CC7"/>
    <w:rsid w:val="2D166684"/>
    <w:rsid w:val="2D984D48"/>
    <w:rsid w:val="2DDE76C8"/>
    <w:rsid w:val="2E840E29"/>
    <w:rsid w:val="2E8B12D6"/>
    <w:rsid w:val="2EBF757D"/>
    <w:rsid w:val="2EE47B19"/>
    <w:rsid w:val="2EF835C5"/>
    <w:rsid w:val="305667F5"/>
    <w:rsid w:val="31085D41"/>
    <w:rsid w:val="31215055"/>
    <w:rsid w:val="313A1C72"/>
    <w:rsid w:val="316B2774"/>
    <w:rsid w:val="319121DA"/>
    <w:rsid w:val="31927D00"/>
    <w:rsid w:val="31AE39CE"/>
    <w:rsid w:val="31B83F5F"/>
    <w:rsid w:val="31E0281A"/>
    <w:rsid w:val="31E81F23"/>
    <w:rsid w:val="324C4353"/>
    <w:rsid w:val="328E2AB6"/>
    <w:rsid w:val="329B12EA"/>
    <w:rsid w:val="329B2BE5"/>
    <w:rsid w:val="32C1089D"/>
    <w:rsid w:val="32D81743"/>
    <w:rsid w:val="32FB1A54"/>
    <w:rsid w:val="331A3077"/>
    <w:rsid w:val="33291F9F"/>
    <w:rsid w:val="33A01558"/>
    <w:rsid w:val="33A83F87"/>
    <w:rsid w:val="340D2D0F"/>
    <w:rsid w:val="340D366E"/>
    <w:rsid w:val="348F1A9E"/>
    <w:rsid w:val="34BC3BD5"/>
    <w:rsid w:val="34D04DC8"/>
    <w:rsid w:val="35341CB5"/>
    <w:rsid w:val="355C2B3F"/>
    <w:rsid w:val="356B4AF0"/>
    <w:rsid w:val="35AC1BFA"/>
    <w:rsid w:val="35F12468"/>
    <w:rsid w:val="362D1DA6"/>
    <w:rsid w:val="36851B5C"/>
    <w:rsid w:val="37645C9B"/>
    <w:rsid w:val="37661A13"/>
    <w:rsid w:val="379871D0"/>
    <w:rsid w:val="37BA58BB"/>
    <w:rsid w:val="37D360CA"/>
    <w:rsid w:val="38CB5066"/>
    <w:rsid w:val="38E054C9"/>
    <w:rsid w:val="38E5105E"/>
    <w:rsid w:val="393873DF"/>
    <w:rsid w:val="397B107A"/>
    <w:rsid w:val="39AA4541"/>
    <w:rsid w:val="39D013C6"/>
    <w:rsid w:val="3A565DE9"/>
    <w:rsid w:val="3A7A1463"/>
    <w:rsid w:val="3A802DEC"/>
    <w:rsid w:val="3AC36A27"/>
    <w:rsid w:val="3ADB2718"/>
    <w:rsid w:val="3B1B48C3"/>
    <w:rsid w:val="3B327257"/>
    <w:rsid w:val="3B4A3407"/>
    <w:rsid w:val="3BBA40DC"/>
    <w:rsid w:val="3BF27D19"/>
    <w:rsid w:val="3E624571"/>
    <w:rsid w:val="3F2B709E"/>
    <w:rsid w:val="3F301058"/>
    <w:rsid w:val="3F4A5777"/>
    <w:rsid w:val="3F9B5FD2"/>
    <w:rsid w:val="40384169"/>
    <w:rsid w:val="40642868"/>
    <w:rsid w:val="41406E31"/>
    <w:rsid w:val="41630D72"/>
    <w:rsid w:val="417A34F9"/>
    <w:rsid w:val="418810F4"/>
    <w:rsid w:val="41A37673"/>
    <w:rsid w:val="41A73354"/>
    <w:rsid w:val="41D5429B"/>
    <w:rsid w:val="42503F5E"/>
    <w:rsid w:val="427F607F"/>
    <w:rsid w:val="4292190E"/>
    <w:rsid w:val="42AE618F"/>
    <w:rsid w:val="42B20202"/>
    <w:rsid w:val="42C30950"/>
    <w:rsid w:val="42C6780A"/>
    <w:rsid w:val="459B4F7E"/>
    <w:rsid w:val="45A65C7F"/>
    <w:rsid w:val="45F13359"/>
    <w:rsid w:val="464253F9"/>
    <w:rsid w:val="468C2A4A"/>
    <w:rsid w:val="46AD2493"/>
    <w:rsid w:val="46B862C7"/>
    <w:rsid w:val="46C202E8"/>
    <w:rsid w:val="46EC7F14"/>
    <w:rsid w:val="46EE732F"/>
    <w:rsid w:val="477517FF"/>
    <w:rsid w:val="47CA7D9C"/>
    <w:rsid w:val="47DB3D58"/>
    <w:rsid w:val="47F92430"/>
    <w:rsid w:val="47FE7A46"/>
    <w:rsid w:val="480D0379"/>
    <w:rsid w:val="480D1A37"/>
    <w:rsid w:val="48194880"/>
    <w:rsid w:val="48594C7C"/>
    <w:rsid w:val="48AF4C7F"/>
    <w:rsid w:val="48FA242C"/>
    <w:rsid w:val="49177011"/>
    <w:rsid w:val="49957F36"/>
    <w:rsid w:val="499A72FA"/>
    <w:rsid w:val="49D92519"/>
    <w:rsid w:val="4A421E6C"/>
    <w:rsid w:val="4A5B46DD"/>
    <w:rsid w:val="4A6F6A56"/>
    <w:rsid w:val="4A81677A"/>
    <w:rsid w:val="4AA743C5"/>
    <w:rsid w:val="4AFC316A"/>
    <w:rsid w:val="4B3B5348"/>
    <w:rsid w:val="4B622640"/>
    <w:rsid w:val="4B751DCD"/>
    <w:rsid w:val="4D5C1497"/>
    <w:rsid w:val="4DA177B2"/>
    <w:rsid w:val="4DA370C6"/>
    <w:rsid w:val="4DF36D4F"/>
    <w:rsid w:val="4E037827"/>
    <w:rsid w:val="4E2C132C"/>
    <w:rsid w:val="4E564138"/>
    <w:rsid w:val="4E5C7274"/>
    <w:rsid w:val="4F3D60A1"/>
    <w:rsid w:val="4F893200"/>
    <w:rsid w:val="501B7C76"/>
    <w:rsid w:val="502E69EF"/>
    <w:rsid w:val="503C110B"/>
    <w:rsid w:val="504D5CCF"/>
    <w:rsid w:val="50AF18DD"/>
    <w:rsid w:val="50E27F05"/>
    <w:rsid w:val="511A2CA6"/>
    <w:rsid w:val="51A76A58"/>
    <w:rsid w:val="51BA2C30"/>
    <w:rsid w:val="5243507E"/>
    <w:rsid w:val="524D7411"/>
    <w:rsid w:val="528079D5"/>
    <w:rsid w:val="530F6FAB"/>
    <w:rsid w:val="533A7469"/>
    <w:rsid w:val="53526129"/>
    <w:rsid w:val="538B4CD8"/>
    <w:rsid w:val="53A21BCD"/>
    <w:rsid w:val="5411465D"/>
    <w:rsid w:val="54394F3D"/>
    <w:rsid w:val="5454111A"/>
    <w:rsid w:val="54C0102B"/>
    <w:rsid w:val="553B7BE4"/>
    <w:rsid w:val="55472A2C"/>
    <w:rsid w:val="55E24503"/>
    <w:rsid w:val="563F54B2"/>
    <w:rsid w:val="564B3E56"/>
    <w:rsid w:val="565F61A9"/>
    <w:rsid w:val="56AD4B11"/>
    <w:rsid w:val="570A1F63"/>
    <w:rsid w:val="57232FC4"/>
    <w:rsid w:val="572D2326"/>
    <w:rsid w:val="57365691"/>
    <w:rsid w:val="58242BB1"/>
    <w:rsid w:val="58BC103B"/>
    <w:rsid w:val="590B5B1F"/>
    <w:rsid w:val="592D1F39"/>
    <w:rsid w:val="59EE1E48"/>
    <w:rsid w:val="5A490F5C"/>
    <w:rsid w:val="5AF22227"/>
    <w:rsid w:val="5B184523"/>
    <w:rsid w:val="5B67083D"/>
    <w:rsid w:val="5B805E16"/>
    <w:rsid w:val="5BD21464"/>
    <w:rsid w:val="5BDE2B83"/>
    <w:rsid w:val="5C777282"/>
    <w:rsid w:val="5D042FB1"/>
    <w:rsid w:val="5EE43E74"/>
    <w:rsid w:val="5F105C3D"/>
    <w:rsid w:val="5F304531"/>
    <w:rsid w:val="5F571ABE"/>
    <w:rsid w:val="5FBE38EB"/>
    <w:rsid w:val="5FF23595"/>
    <w:rsid w:val="5FFE63DD"/>
    <w:rsid w:val="60752978"/>
    <w:rsid w:val="61020404"/>
    <w:rsid w:val="610A2B60"/>
    <w:rsid w:val="61635F72"/>
    <w:rsid w:val="618606C5"/>
    <w:rsid w:val="61930DA7"/>
    <w:rsid w:val="61C732C5"/>
    <w:rsid w:val="61CB0541"/>
    <w:rsid w:val="61F53810"/>
    <w:rsid w:val="62065A1D"/>
    <w:rsid w:val="6224402D"/>
    <w:rsid w:val="63442359"/>
    <w:rsid w:val="6384067A"/>
    <w:rsid w:val="638D125E"/>
    <w:rsid w:val="6396333E"/>
    <w:rsid w:val="63D87F09"/>
    <w:rsid w:val="63E114D3"/>
    <w:rsid w:val="64495219"/>
    <w:rsid w:val="64A31301"/>
    <w:rsid w:val="64CD0D44"/>
    <w:rsid w:val="651D5558"/>
    <w:rsid w:val="65735178"/>
    <w:rsid w:val="66052B24"/>
    <w:rsid w:val="662B31CD"/>
    <w:rsid w:val="662F5543"/>
    <w:rsid w:val="66434B4A"/>
    <w:rsid w:val="66BC67C3"/>
    <w:rsid w:val="672F7562"/>
    <w:rsid w:val="676204CA"/>
    <w:rsid w:val="67876CB8"/>
    <w:rsid w:val="69AB1384"/>
    <w:rsid w:val="6A026ACA"/>
    <w:rsid w:val="6A576E16"/>
    <w:rsid w:val="6A845731"/>
    <w:rsid w:val="6AD46D46"/>
    <w:rsid w:val="6AE230B4"/>
    <w:rsid w:val="6B07083C"/>
    <w:rsid w:val="6B623CC4"/>
    <w:rsid w:val="6B6C65E0"/>
    <w:rsid w:val="6BBA3B00"/>
    <w:rsid w:val="6BC009EB"/>
    <w:rsid w:val="6C2B67AC"/>
    <w:rsid w:val="6CB31465"/>
    <w:rsid w:val="6CE64481"/>
    <w:rsid w:val="6D233542"/>
    <w:rsid w:val="6D714693"/>
    <w:rsid w:val="6DD30EA9"/>
    <w:rsid w:val="6DD8201C"/>
    <w:rsid w:val="6DE07909"/>
    <w:rsid w:val="6E492F1A"/>
    <w:rsid w:val="6E58438A"/>
    <w:rsid w:val="6E7066F8"/>
    <w:rsid w:val="6E9543B1"/>
    <w:rsid w:val="6E9D5508"/>
    <w:rsid w:val="6EA2262A"/>
    <w:rsid w:val="6EB5235D"/>
    <w:rsid w:val="6EFA06B8"/>
    <w:rsid w:val="6EFB3EE0"/>
    <w:rsid w:val="6F245A4B"/>
    <w:rsid w:val="6F871359"/>
    <w:rsid w:val="7077120D"/>
    <w:rsid w:val="70F57389"/>
    <w:rsid w:val="711B7F18"/>
    <w:rsid w:val="713954C7"/>
    <w:rsid w:val="71EB22B3"/>
    <w:rsid w:val="72010FA6"/>
    <w:rsid w:val="723F4D5F"/>
    <w:rsid w:val="726631D8"/>
    <w:rsid w:val="733F48EB"/>
    <w:rsid w:val="73702CF6"/>
    <w:rsid w:val="74212849"/>
    <w:rsid w:val="744C1D4E"/>
    <w:rsid w:val="7480340D"/>
    <w:rsid w:val="748A4F72"/>
    <w:rsid w:val="74961819"/>
    <w:rsid w:val="74BB61F3"/>
    <w:rsid w:val="750202C6"/>
    <w:rsid w:val="752E4C17"/>
    <w:rsid w:val="75664078"/>
    <w:rsid w:val="757F68C2"/>
    <w:rsid w:val="761262E7"/>
    <w:rsid w:val="761E4132"/>
    <w:rsid w:val="770245AD"/>
    <w:rsid w:val="77721097"/>
    <w:rsid w:val="78061A79"/>
    <w:rsid w:val="78072707"/>
    <w:rsid w:val="782A7918"/>
    <w:rsid w:val="78915BE9"/>
    <w:rsid w:val="78AD22F7"/>
    <w:rsid w:val="78C31B1A"/>
    <w:rsid w:val="79181486"/>
    <w:rsid w:val="79674B9C"/>
    <w:rsid w:val="799C2A97"/>
    <w:rsid w:val="7A184717"/>
    <w:rsid w:val="7AFE508C"/>
    <w:rsid w:val="7B2561EC"/>
    <w:rsid w:val="7BC003CA"/>
    <w:rsid w:val="7BF87D2D"/>
    <w:rsid w:val="7CB93960"/>
    <w:rsid w:val="7CBF4BB4"/>
    <w:rsid w:val="7CD5227A"/>
    <w:rsid w:val="7CE16A13"/>
    <w:rsid w:val="7D1C7A4B"/>
    <w:rsid w:val="7DCC321F"/>
    <w:rsid w:val="7E53749D"/>
    <w:rsid w:val="7E5D346D"/>
    <w:rsid w:val="7ECC4CE0"/>
    <w:rsid w:val="7ECE71D0"/>
    <w:rsid w:val="7EDC7492"/>
    <w:rsid w:val="7EE84089"/>
    <w:rsid w:val="7F923FF5"/>
    <w:rsid w:val="7FB83A5B"/>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5631</Words>
  <Characters>6035</Characters>
  <Lines>7</Lines>
  <Paragraphs>2</Paragraphs>
  <TotalTime>4</TotalTime>
  <ScaleCrop>false</ScaleCrop>
  <LinksUpToDate>false</LinksUpToDate>
  <CharactersWithSpaces>6044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2024-11-21T05:25:59Z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