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1FFE47">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71831EB2">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56A338B0">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00205EC3">
      <w:pPr>
        <w:pStyle w:val="2"/>
        <w:bidi w:val="0"/>
        <w:rPr>
          <w:rFonts w:hint="eastAsia"/>
          <w:color w:val="auto"/>
          <w:highlight w:val="none"/>
          <w:lang w:val="en-US" w:eastAsia="zh-CN"/>
        </w:rPr>
      </w:pPr>
      <w:r>
        <w:rPr>
          <w:rFonts w:hint="eastAsia"/>
          <w:color w:val="auto"/>
          <w:highlight w:val="none"/>
          <w:lang w:val="en-US" w:eastAsia="zh-CN"/>
        </w:rPr>
        <w:t>1.部门主要职能</w:t>
      </w:r>
    </w:p>
    <w:p w14:paraId="503244B7">
      <w:pPr>
        <w:rPr>
          <w:rFonts w:hint="eastAsia"/>
          <w:color w:val="auto"/>
          <w:szCs w:val="28"/>
          <w:highlight w:val="none"/>
        </w:rPr>
      </w:pPr>
      <w:r>
        <w:rPr>
          <w:rFonts w:hint="eastAsia"/>
          <w:color w:val="auto"/>
          <w:szCs w:val="28"/>
          <w:highlight w:val="none"/>
          <w:lang w:val="en-US" w:eastAsia="zh-CN"/>
        </w:rPr>
        <w:t>和静县克尔古提乡卫生院</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14:paraId="728733F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14:paraId="53EB88B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w:t>
      </w:r>
      <w:r>
        <w:rPr>
          <w:rFonts w:hint="eastAsia" w:hAnsi="仿宋" w:eastAsia="仿宋_GB2312" w:cs="仿宋"/>
          <w:color w:val="auto"/>
          <w:kern w:val="0"/>
          <w:sz w:val="28"/>
          <w:szCs w:val="28"/>
          <w:highlight w:val="none"/>
          <w:lang w:val="en-US" w:eastAsia="zh-CN"/>
        </w:rPr>
        <w:t>Ⅱ型</w:t>
      </w:r>
      <w:r>
        <w:rPr>
          <w:rFonts w:hint="eastAsia" w:ascii="仿宋_GB2312" w:hAnsi="仿宋" w:eastAsia="仿宋_GB2312" w:cs="仿宋"/>
          <w:color w:val="auto"/>
          <w:kern w:val="0"/>
          <w:sz w:val="28"/>
          <w:szCs w:val="28"/>
          <w:highlight w:val="none"/>
          <w:lang w:val="en-US" w:eastAsia="zh-CN"/>
        </w:rPr>
        <w:t>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14:paraId="1412EBE0">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14:paraId="5E73CD7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14:paraId="7E94EA2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14:paraId="34A23ED0">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14:paraId="72064593">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2E918E1A">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olor w:val="auto"/>
          <w:sz w:val="28"/>
          <w:szCs w:val="28"/>
          <w:highlight w:val="none"/>
        </w:rPr>
      </w:pPr>
      <w:r>
        <w:rPr>
          <w:rFonts w:hint="eastAsia" w:ascii="仿宋_GB2312" w:hAnsi="宋体" w:eastAsia="仿宋_GB2312"/>
          <w:color w:val="auto"/>
          <w:sz w:val="28"/>
          <w:szCs w:val="28"/>
          <w:highlight w:val="none"/>
        </w:rPr>
        <w:t>和静县克尔古提乡卫生院是全额拨款事业单位，</w:t>
      </w:r>
      <w:r>
        <w:rPr>
          <w:rFonts w:hint="eastAsia" w:ascii="仿宋_GB2312" w:eastAsia="仿宋_GB2312" w:cs="仿宋_GB2312"/>
          <w:color w:val="auto"/>
          <w:sz w:val="28"/>
          <w:szCs w:val="28"/>
          <w:highlight w:val="none"/>
        </w:rPr>
        <w:t>无下属预算单位，</w:t>
      </w:r>
      <w:r>
        <w:rPr>
          <w:rFonts w:hint="eastAsia" w:ascii="仿宋_GB2312" w:hAnsi="黑体" w:eastAsia="仿宋_GB2312" w:cs="仿宋_GB2312"/>
          <w:color w:val="auto"/>
          <w:sz w:val="28"/>
          <w:szCs w:val="28"/>
          <w:highlight w:val="none"/>
        </w:rPr>
        <w:t>下设7个</w:t>
      </w:r>
      <w:r>
        <w:rPr>
          <w:rFonts w:hint="eastAsia" w:ascii="仿宋_GB2312" w:hAnsi="黑体" w:eastAsia="仿宋_GB2312" w:cs="仿宋_GB2312"/>
          <w:color w:val="auto"/>
          <w:sz w:val="28"/>
          <w:szCs w:val="28"/>
          <w:highlight w:val="none"/>
          <w:lang w:val="en-US" w:eastAsia="zh-CN"/>
        </w:rPr>
        <w:t>科</w:t>
      </w:r>
      <w:r>
        <w:rPr>
          <w:rFonts w:hint="eastAsia" w:ascii="仿宋_GB2312" w:hAnsi="黑体" w:eastAsia="仿宋_GB2312" w:cs="仿宋_GB2312"/>
          <w:color w:val="auto"/>
          <w:sz w:val="28"/>
          <w:szCs w:val="28"/>
          <w:highlight w:val="none"/>
        </w:rPr>
        <w:t>室，分别是：</w:t>
      </w:r>
      <w:r>
        <w:rPr>
          <w:rFonts w:hint="eastAsia" w:ascii="仿宋_GB2312" w:hAnsi="仿宋" w:eastAsia="仿宋_GB2312"/>
          <w:color w:val="auto"/>
          <w:sz w:val="28"/>
          <w:szCs w:val="28"/>
          <w:highlight w:val="none"/>
        </w:rPr>
        <w:t>门诊部，药房，收费室，财务室、公共卫生科、防疫科、内科等。</w:t>
      </w:r>
    </w:p>
    <w:p w14:paraId="52D5A80C">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和静县克尔古提乡卫生院编制数</w:t>
      </w:r>
      <w:r>
        <w:rPr>
          <w:rFonts w:hint="eastAsia" w:ascii="仿宋_GB2312" w:hAnsi="宋体" w:eastAsia="仿宋_GB2312"/>
          <w:color w:val="auto"/>
          <w:sz w:val="28"/>
          <w:szCs w:val="28"/>
          <w:highlight w:val="none"/>
          <w:lang w:val="en-US" w:eastAsia="zh-CN"/>
        </w:rPr>
        <w:t>共8</w:t>
      </w:r>
      <w:r>
        <w:rPr>
          <w:rFonts w:hint="eastAsia" w:ascii="仿宋_GB2312" w:hAnsi="宋体" w:eastAsia="仿宋_GB2312"/>
          <w:color w:val="auto"/>
          <w:sz w:val="28"/>
          <w:szCs w:val="28"/>
          <w:highlight w:val="none"/>
        </w:rPr>
        <w:t>人，其中：行政编制</w:t>
      </w:r>
      <w:r>
        <w:rPr>
          <w:rFonts w:hint="eastAsia" w:ascii="仿宋_GB2312" w:hAnsi="宋体" w:eastAsia="仿宋_GB2312"/>
          <w:color w:val="auto"/>
          <w:sz w:val="28"/>
          <w:szCs w:val="28"/>
          <w:highlight w:val="none"/>
          <w:lang w:val="en-US" w:eastAsia="zh-CN"/>
        </w:rPr>
        <w:t>0</w:t>
      </w:r>
      <w:r>
        <w:rPr>
          <w:rFonts w:hint="eastAsia" w:ascii="仿宋_GB2312" w:hAnsi="宋体" w:eastAsia="仿宋_GB2312"/>
          <w:color w:val="auto"/>
          <w:sz w:val="28"/>
          <w:szCs w:val="28"/>
          <w:highlight w:val="none"/>
        </w:rPr>
        <w:t>人，事业编制</w:t>
      </w:r>
      <w:r>
        <w:rPr>
          <w:rFonts w:hint="eastAsia" w:ascii="仿宋_GB2312" w:hAnsi="宋体" w:eastAsia="仿宋_GB2312"/>
          <w:color w:val="auto"/>
          <w:sz w:val="28"/>
          <w:szCs w:val="28"/>
          <w:highlight w:val="none"/>
          <w:lang w:val="en-US" w:eastAsia="zh-CN"/>
        </w:rPr>
        <w:t>8</w:t>
      </w:r>
      <w:r>
        <w:rPr>
          <w:rFonts w:hint="eastAsia" w:ascii="仿宋_GB2312" w:hAnsi="宋体" w:eastAsia="仿宋_GB2312"/>
          <w:color w:val="auto"/>
          <w:sz w:val="28"/>
          <w:szCs w:val="28"/>
          <w:highlight w:val="none"/>
        </w:rPr>
        <w:t>人</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工勤</w:t>
      </w:r>
      <w:r>
        <w:rPr>
          <w:rFonts w:hint="eastAsia" w:ascii="仿宋_GB2312" w:hAnsi="宋体" w:eastAsia="仿宋_GB2312"/>
          <w:color w:val="auto"/>
          <w:sz w:val="28"/>
          <w:szCs w:val="28"/>
          <w:highlight w:val="none"/>
          <w:lang w:val="en-US" w:eastAsia="zh-CN"/>
        </w:rPr>
        <w:t>0人</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年初预算实有在职人员</w:t>
      </w:r>
      <w:r>
        <w:rPr>
          <w:rFonts w:hint="eastAsia" w:ascii="仿宋_GB2312" w:hAnsi="宋体" w:eastAsia="仿宋_GB2312"/>
          <w:color w:val="auto"/>
          <w:sz w:val="28"/>
          <w:szCs w:val="28"/>
          <w:highlight w:val="none"/>
          <w:lang w:val="en-US" w:eastAsia="zh-CN"/>
        </w:rPr>
        <w:t>7</w:t>
      </w:r>
      <w:r>
        <w:rPr>
          <w:rFonts w:hint="eastAsia" w:ascii="仿宋_GB2312" w:hAnsi="宋体" w:eastAsia="仿宋_GB2312"/>
          <w:color w:val="auto"/>
          <w:sz w:val="28"/>
          <w:szCs w:val="28"/>
          <w:highlight w:val="none"/>
        </w:rPr>
        <w:t>人，</w:t>
      </w:r>
      <w:r>
        <w:rPr>
          <w:rFonts w:hint="eastAsia" w:ascii="仿宋_GB2312" w:hAnsi="宋体" w:eastAsia="仿宋_GB2312"/>
          <w:color w:val="auto"/>
          <w:sz w:val="28"/>
          <w:szCs w:val="28"/>
          <w:highlight w:val="none"/>
          <w:lang w:val="en-US" w:eastAsia="zh-CN"/>
        </w:rPr>
        <w:t>事业岗人员1人，</w:t>
      </w:r>
      <w:r>
        <w:rPr>
          <w:rFonts w:hint="eastAsia" w:ascii="仿宋_GB2312" w:hAnsi="宋体" w:eastAsia="仿宋_GB2312"/>
          <w:color w:val="auto"/>
          <w:sz w:val="28"/>
          <w:szCs w:val="28"/>
          <w:highlight w:val="none"/>
        </w:rPr>
        <w:t>退休人员</w:t>
      </w:r>
      <w:r>
        <w:rPr>
          <w:rFonts w:hint="eastAsia" w:ascii="仿宋_GB2312" w:hAnsi="宋体" w:eastAsia="仿宋_GB2312"/>
          <w:color w:val="auto"/>
          <w:sz w:val="28"/>
          <w:szCs w:val="28"/>
          <w:highlight w:val="none"/>
          <w:lang w:val="en-US" w:eastAsia="zh-CN"/>
        </w:rPr>
        <w:t>1</w:t>
      </w:r>
      <w:r>
        <w:rPr>
          <w:rFonts w:hint="eastAsia" w:ascii="仿宋_GB2312" w:hAnsi="宋体" w:eastAsia="仿宋_GB2312"/>
          <w:color w:val="auto"/>
          <w:sz w:val="28"/>
          <w:szCs w:val="28"/>
          <w:highlight w:val="none"/>
        </w:rPr>
        <w:t>人</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遗属人员1人</w:t>
      </w:r>
      <w:r>
        <w:rPr>
          <w:rFonts w:hint="eastAsia" w:ascii="仿宋_GB2312" w:hAnsi="宋体" w:eastAsia="仿宋_GB2312"/>
          <w:color w:val="auto"/>
          <w:sz w:val="28"/>
          <w:szCs w:val="28"/>
          <w:highlight w:val="none"/>
        </w:rPr>
        <w:t>。年末实有在职人数</w:t>
      </w:r>
      <w:r>
        <w:rPr>
          <w:rFonts w:hint="eastAsia" w:ascii="仿宋_GB2312" w:hAnsi="宋体" w:eastAsia="仿宋_GB2312"/>
          <w:color w:val="auto"/>
          <w:sz w:val="28"/>
          <w:szCs w:val="28"/>
          <w:highlight w:val="none"/>
          <w:lang w:val="en-US" w:eastAsia="zh-CN"/>
        </w:rPr>
        <w:t>7</w:t>
      </w:r>
      <w:r>
        <w:rPr>
          <w:rFonts w:hint="eastAsia" w:ascii="仿宋_GB2312" w:hAnsi="宋体" w:eastAsia="仿宋_GB2312"/>
          <w:color w:val="auto"/>
          <w:sz w:val="28"/>
          <w:szCs w:val="28"/>
          <w:highlight w:val="none"/>
        </w:rPr>
        <w:t>人，</w:t>
      </w:r>
      <w:r>
        <w:rPr>
          <w:rFonts w:hint="eastAsia" w:ascii="仿宋_GB2312" w:hAnsi="宋体" w:eastAsia="仿宋_GB2312"/>
          <w:color w:val="auto"/>
          <w:sz w:val="28"/>
          <w:szCs w:val="28"/>
          <w:highlight w:val="none"/>
          <w:lang w:val="en-US" w:eastAsia="zh-CN"/>
        </w:rPr>
        <w:t>事业岗人员1人，</w:t>
      </w:r>
      <w:r>
        <w:rPr>
          <w:rFonts w:hint="eastAsia" w:ascii="仿宋_GB2312" w:hAnsi="宋体" w:eastAsia="仿宋_GB2312"/>
          <w:color w:val="auto"/>
          <w:sz w:val="28"/>
          <w:szCs w:val="28"/>
          <w:highlight w:val="none"/>
        </w:rPr>
        <w:t>退休人员</w:t>
      </w:r>
      <w:r>
        <w:rPr>
          <w:rFonts w:hint="eastAsia" w:ascii="仿宋_GB2312" w:hAnsi="宋体" w:eastAsia="仿宋_GB2312"/>
          <w:color w:val="auto"/>
          <w:sz w:val="28"/>
          <w:szCs w:val="28"/>
          <w:highlight w:val="none"/>
          <w:lang w:val="en-US" w:eastAsia="zh-CN"/>
        </w:rPr>
        <w:t>1</w:t>
      </w:r>
      <w:r>
        <w:rPr>
          <w:rFonts w:hint="eastAsia" w:ascii="仿宋_GB2312" w:hAnsi="宋体" w:eastAsia="仿宋_GB2312"/>
          <w:color w:val="auto"/>
          <w:sz w:val="28"/>
          <w:szCs w:val="28"/>
          <w:highlight w:val="none"/>
        </w:rPr>
        <w:t>人</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遗属人员1人</w:t>
      </w:r>
      <w:r>
        <w:rPr>
          <w:rFonts w:hint="eastAsia" w:ascii="仿宋_GB2312" w:hAnsi="宋体" w:eastAsia="仿宋_GB2312"/>
          <w:color w:val="auto"/>
          <w:sz w:val="28"/>
          <w:szCs w:val="28"/>
          <w:highlight w:val="none"/>
        </w:rPr>
        <w:t>。</w:t>
      </w:r>
    </w:p>
    <w:p w14:paraId="2C6CE1A0">
      <w:pPr>
        <w:pStyle w:val="4"/>
        <w:numPr>
          <w:ilvl w:val="0"/>
          <w:numId w:val="1"/>
        </w:numPr>
        <w:bidi w:val="0"/>
        <w:ind w:left="-80" w:leftChars="0" w:firstLineChars="0"/>
        <w:outlineLvl w:val="1"/>
        <w:rPr>
          <w:rFonts w:hint="eastAsia"/>
          <w:color w:val="auto"/>
          <w:highlight w:val="none"/>
          <w:lang w:val="en-US" w:eastAsia="zh-CN"/>
        </w:rPr>
      </w:pPr>
      <w:r>
        <w:rPr>
          <w:rFonts w:hint="eastAsia"/>
          <w:color w:val="auto"/>
          <w:highlight w:val="none"/>
          <w:lang w:val="en-US" w:eastAsia="zh-CN"/>
        </w:rPr>
        <w:t>部门单位年度重点工作</w:t>
      </w:r>
    </w:p>
    <w:p w14:paraId="6C820979">
      <w:pPr>
        <w:ind w:firstLine="560"/>
        <w:rPr>
          <w:rFonts w:hint="eastAsia"/>
          <w:color w:val="auto"/>
          <w:szCs w:val="28"/>
          <w:highlight w:val="none"/>
          <w:lang w:val="en-US" w:eastAsia="zh-CN"/>
        </w:rPr>
      </w:pPr>
      <w:r>
        <w:rPr>
          <w:rFonts w:hint="eastAsia" w:cs="Times New Roman"/>
          <w:color w:val="auto"/>
          <w:szCs w:val="28"/>
          <w:highlight w:val="none"/>
          <w:lang w:val="en-US" w:eastAsia="zh-CN"/>
        </w:rPr>
        <w:t>2023年，我单位</w:t>
      </w:r>
      <w:r>
        <w:rPr>
          <w:rFonts w:hint="eastAsia"/>
          <w:color w:val="auto"/>
          <w:szCs w:val="28"/>
          <w:highlight w:val="none"/>
          <w:lang w:val="en-US" w:eastAsia="zh-CN"/>
        </w:rPr>
        <w:t>着力解决突出问题，深入推进干部能力建设。具体如下：</w:t>
      </w:r>
    </w:p>
    <w:p w14:paraId="47A41878">
      <w:pPr>
        <w:ind w:firstLine="560"/>
        <w:rPr>
          <w:rFonts w:hint="eastAsia"/>
          <w:color w:val="auto"/>
          <w:szCs w:val="28"/>
          <w:highlight w:val="none"/>
          <w:lang w:val="en-US" w:eastAsia="zh-CN"/>
        </w:rPr>
      </w:pPr>
      <w:r>
        <w:rPr>
          <w:rFonts w:hint="eastAsia"/>
          <w:color w:val="auto"/>
          <w:szCs w:val="28"/>
          <w:highlight w:val="none"/>
          <w:lang w:val="en-US" w:eastAsia="zh-CN"/>
        </w:rPr>
        <w:t>（1）深入开展工作，强化思想教育，提高整体素质务求工作实效</w:t>
      </w:r>
    </w:p>
    <w:p w14:paraId="06946B12">
      <w:pPr>
        <w:rPr>
          <w:rFonts w:hint="eastAsia"/>
          <w:color w:val="auto"/>
          <w:szCs w:val="28"/>
          <w:highlight w:val="none"/>
          <w:lang w:val="en-US" w:eastAsia="zh-CN"/>
        </w:rPr>
      </w:pPr>
      <w:r>
        <w:rPr>
          <w:rFonts w:hint="eastAsia"/>
          <w:color w:val="auto"/>
          <w:szCs w:val="28"/>
          <w:highlight w:val="none"/>
          <w:lang w:val="en-US" w:eastAsia="zh-CN"/>
        </w:rPr>
        <w:t xml:space="preserve">认真贯彻落实平安医院创建工作的要求，及时成立了以院长为组长的工作领导小组，设立了办公室，进一步完善我院治安综合治理工作和平安医院建设工作机制，全面推进治安防控体系建设，形成各个科室、部门齐抓共管协调建设平安工作，保障“平安医院”创建工作顺利开展。认真开展医德医风教育，引导全院医务人员，努力发扬人道主义精神和“严谨、求精、务实、奉献”的精神，大力弘扬白求恩精神、“病人至上、创优服务、凝聚力量、共建和谐”的精神。在医疗服务过程中真正体现“以人为本”的思想，从而做到尊重病人、关爱病人、方便病人、服务病人。 </w:t>
      </w:r>
    </w:p>
    <w:p w14:paraId="6B61E373">
      <w:pPr>
        <w:ind w:firstLine="560"/>
        <w:rPr>
          <w:rFonts w:hint="eastAsia"/>
          <w:color w:val="auto"/>
          <w:szCs w:val="28"/>
          <w:highlight w:val="none"/>
          <w:lang w:val="en-US" w:eastAsia="zh-CN"/>
        </w:rPr>
      </w:pPr>
      <w:r>
        <w:rPr>
          <w:rFonts w:hint="eastAsia"/>
          <w:color w:val="auto"/>
          <w:szCs w:val="28"/>
          <w:highlight w:val="none"/>
          <w:lang w:val="en-US" w:eastAsia="zh-CN"/>
        </w:rPr>
        <w:t>（2）深入开展医疗质量，提高管理水平和服务能力</w:t>
      </w:r>
    </w:p>
    <w:p w14:paraId="5FFB7821">
      <w:pPr>
        <w:ind w:firstLine="560"/>
        <w:rPr>
          <w:rFonts w:hint="eastAsia"/>
          <w:color w:val="auto"/>
          <w:szCs w:val="28"/>
          <w:highlight w:val="none"/>
          <w:lang w:val="en-US" w:eastAsia="zh-CN"/>
        </w:rPr>
      </w:pPr>
      <w:r>
        <w:rPr>
          <w:rFonts w:hint="eastAsia"/>
          <w:color w:val="auto"/>
          <w:szCs w:val="28"/>
          <w:highlight w:val="none"/>
          <w:lang w:val="en-US" w:eastAsia="zh-CN"/>
        </w:rPr>
        <w:t>成立领导小组，制定医院工作实施方案，贯彻落实“安全第一、预防为主、综合治理”的方针，大力开展卫生法律法规和医疗安全宣传教育，不断强化“三基三严”培训和考核工作，努力提高医务人员的理论水平和业务素质，增强医务人员法律、责任、质量意识和安全意识，全面提升医院质量安全管理能力。</w:t>
      </w:r>
    </w:p>
    <w:p w14:paraId="0F4FD1D8">
      <w:pPr>
        <w:ind w:firstLine="560"/>
        <w:rPr>
          <w:rFonts w:hint="eastAsia"/>
          <w:color w:val="auto"/>
          <w:szCs w:val="28"/>
          <w:highlight w:val="none"/>
          <w:lang w:val="en-US" w:eastAsia="zh-CN"/>
        </w:rPr>
      </w:pPr>
      <w:r>
        <w:rPr>
          <w:rFonts w:hint="eastAsia"/>
          <w:color w:val="auto"/>
          <w:szCs w:val="28"/>
          <w:highlight w:val="none"/>
          <w:lang w:val="en-US" w:eastAsia="zh-CN"/>
        </w:rPr>
        <w:t xml:space="preserve"> （3）加强质量管理、保障医疗安全</w:t>
      </w:r>
    </w:p>
    <w:p w14:paraId="78FB8EF5">
      <w:pPr>
        <w:ind w:firstLine="560"/>
        <w:rPr>
          <w:rFonts w:hint="eastAsia"/>
          <w:color w:val="auto"/>
          <w:szCs w:val="28"/>
          <w:highlight w:val="none"/>
          <w:lang w:val="en-US" w:eastAsia="zh-CN"/>
        </w:rPr>
      </w:pPr>
      <w:r>
        <w:rPr>
          <w:rFonts w:hint="eastAsia"/>
          <w:color w:val="auto"/>
          <w:szCs w:val="28"/>
          <w:highlight w:val="none"/>
          <w:lang w:val="en-US" w:eastAsia="zh-CN"/>
        </w:rPr>
        <w:t>　规范医务人员的医疗行为，严格做好依法执业。组织医务人员认真学习，结合我院实际，针对工作中存在的问题开展自查自纠，并制定切实可行的整改措施加以整改，促进了医院管理工作制度化、规范化、科学化。强化“三基三严”训练，认真落实核心制度，有计划、有目的的开展对医护人员进行“三基三严”训练和考核，组织业务学习，传输新的知识，训练业务技能。紧紧围绕加强“三基三严”训练、落实核心制度等重点工作，开展理论知识学习与考试、业务技术训练与比武工作，在全院营造了重学习、重安全、重质量、重技术、重服务、重实效的良好氛围。</w:t>
      </w:r>
    </w:p>
    <w:p w14:paraId="245E6FA0">
      <w:pPr>
        <w:pStyle w:val="4"/>
        <w:numPr>
          <w:ilvl w:val="0"/>
          <w:numId w:val="1"/>
        </w:numPr>
        <w:bidi w:val="0"/>
        <w:ind w:left="-80" w:leftChars="0" w:firstLineChars="0"/>
        <w:outlineLvl w:val="1"/>
        <w:rPr>
          <w:rFonts w:hint="default"/>
          <w:color w:val="auto"/>
          <w:highlight w:val="none"/>
          <w:lang w:val="en-US" w:eastAsia="zh-CN"/>
        </w:rPr>
      </w:pPr>
      <w:r>
        <w:rPr>
          <w:rFonts w:hint="eastAsia"/>
          <w:color w:val="auto"/>
          <w:highlight w:val="none"/>
          <w:lang w:val="en-US" w:eastAsia="zh-CN"/>
        </w:rPr>
        <w:t>部门单位整体预算规模及安排情况</w:t>
      </w:r>
    </w:p>
    <w:p w14:paraId="165E2C94">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1D11BFDE">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6BB7172A">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我单位年初预算数为110.21万元，实际预算执行数110.21万元，预算执行率为100%。</w:t>
      </w:r>
    </w:p>
    <w:p w14:paraId="342EE9E7">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5C514210">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全年预算数为156.61万元，全年实际支出资金156.61万元，预算执行率为100%。</w:t>
      </w:r>
    </w:p>
    <w:p w14:paraId="40EAB861">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06485209">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110.21</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46.40</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156.61</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42.10</w:t>
      </w:r>
      <w:r>
        <w:rPr>
          <w:rFonts w:hint="eastAsia" w:ascii="Times New Roman" w:hAnsi="Times New Roman" w:cs="Times New Roman"/>
          <w:bCs/>
          <w:color w:val="auto"/>
          <w:highlight w:val="none"/>
          <w:lang w:eastAsia="zh-CN"/>
        </w:rPr>
        <w:t>%。</w:t>
      </w:r>
    </w:p>
    <w:p w14:paraId="4F08038B">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3EF21606">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156.61</w:t>
      </w:r>
      <w:r>
        <w:rPr>
          <w:rFonts w:hint="default"/>
          <w:color w:val="auto"/>
          <w:highlight w:val="none"/>
          <w:lang w:val="en-US" w:eastAsia="zh-CN"/>
        </w:rPr>
        <w:t>万元，其中：</w:t>
      </w:r>
    </w:p>
    <w:p w14:paraId="3D067512">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144.25</w:t>
      </w:r>
      <w:r>
        <w:rPr>
          <w:rFonts w:hint="default"/>
          <w:color w:val="auto"/>
          <w:highlight w:val="none"/>
          <w:lang w:val="en-US" w:eastAsia="zh-CN"/>
        </w:rPr>
        <w:t>万元，资金的使用方向为我单位机关人员经费支出</w:t>
      </w:r>
      <w:r>
        <w:rPr>
          <w:rFonts w:hint="eastAsia"/>
          <w:color w:val="auto"/>
          <w:highlight w:val="none"/>
          <w:lang w:val="en-US" w:eastAsia="zh-CN"/>
        </w:rPr>
        <w:t>121.88</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22.37</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173B71BD">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12.36</w:t>
      </w:r>
      <w:r>
        <w:rPr>
          <w:rFonts w:hint="default"/>
          <w:color w:val="auto"/>
          <w:highlight w:val="none"/>
          <w:lang w:val="en-US" w:eastAsia="zh-CN"/>
        </w:rPr>
        <w:t>万元，主要用于</w:t>
      </w:r>
      <w:r>
        <w:rPr>
          <w:rFonts w:hint="eastAsia" w:ascii="仿宋" w:hAnsi="仿宋" w:eastAsia="仿宋" w:cs="Times New Roman"/>
          <w:color w:val="auto"/>
          <w:kern w:val="2"/>
          <w:sz w:val="28"/>
          <w:szCs w:val="28"/>
          <w:highlight w:val="none"/>
          <w:lang w:val="en-US" w:eastAsia="zh-CN" w:bidi="ar-SA"/>
        </w:rPr>
        <w:t>基本公共卫生服务</w:t>
      </w:r>
      <w:r>
        <w:rPr>
          <w:rFonts w:hint="eastAsia" w:cs="Times New Roman"/>
          <w:color w:val="auto"/>
          <w:kern w:val="2"/>
          <w:sz w:val="28"/>
          <w:szCs w:val="28"/>
          <w:highlight w:val="none"/>
          <w:lang w:val="en-US" w:eastAsia="zh-CN" w:bidi="ar-SA"/>
        </w:rPr>
        <w:t>补助</w:t>
      </w:r>
      <w:r>
        <w:rPr>
          <w:rFonts w:hint="default"/>
          <w:color w:val="auto"/>
          <w:highlight w:val="none"/>
          <w:lang w:val="en-US" w:eastAsia="zh-CN"/>
        </w:rPr>
        <w:t>项目、</w:t>
      </w:r>
      <w:r>
        <w:rPr>
          <w:rFonts w:hint="eastAsia" w:ascii="仿宋" w:hAnsi="仿宋" w:eastAsia="仿宋" w:cs="Times New Roman"/>
          <w:color w:val="auto"/>
          <w:kern w:val="2"/>
          <w:sz w:val="28"/>
          <w:szCs w:val="28"/>
          <w:highlight w:val="none"/>
          <w:lang w:val="en-US" w:eastAsia="zh-CN" w:bidi="ar-SA"/>
        </w:rPr>
        <w:t>重大公共卫生服务</w:t>
      </w:r>
      <w:r>
        <w:rPr>
          <w:rFonts w:hint="default"/>
          <w:color w:val="auto"/>
          <w:highlight w:val="none"/>
          <w:lang w:val="en-US" w:eastAsia="zh-CN"/>
        </w:rPr>
        <w:t>项目、</w:t>
      </w:r>
      <w:r>
        <w:rPr>
          <w:rFonts w:hint="eastAsia"/>
          <w:color w:val="auto"/>
          <w:szCs w:val="28"/>
          <w:highlight w:val="none"/>
          <w:lang w:val="en-US" w:eastAsia="zh-CN"/>
        </w:rPr>
        <w:t>基本</w:t>
      </w:r>
      <w:r>
        <w:rPr>
          <w:rFonts w:hint="eastAsia" w:ascii="仿宋" w:hAnsi="仿宋" w:eastAsia="仿宋" w:cs="Times New Roman"/>
          <w:color w:val="auto"/>
          <w:kern w:val="2"/>
          <w:sz w:val="28"/>
          <w:szCs w:val="28"/>
          <w:highlight w:val="none"/>
          <w:lang w:val="en-US" w:eastAsia="zh-CN" w:bidi="ar-SA"/>
        </w:rPr>
        <w:t>药物制度补助</w:t>
      </w:r>
      <w:r>
        <w:rPr>
          <w:rFonts w:hint="default"/>
          <w:color w:val="auto"/>
          <w:highlight w:val="none"/>
          <w:lang w:val="en-US" w:eastAsia="zh-CN"/>
        </w:rPr>
        <w:t>等项目支出。</w:t>
      </w:r>
    </w:p>
    <w:p w14:paraId="5CCD0ECF">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136F43FA">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150B0488">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144.25万元，全年实际支出144.25万元，资金执行率100%。基本支出严格按照财务管理制度执行，其中：</w:t>
      </w:r>
    </w:p>
    <w:p w14:paraId="0137FB52">
      <w:pPr>
        <w:bidi w:val="0"/>
        <w:rPr>
          <w:rFonts w:hint="eastAsia"/>
          <w:color w:val="auto"/>
          <w:highlight w:val="none"/>
          <w:lang w:val="en-US" w:eastAsia="zh-CN"/>
        </w:rPr>
      </w:pPr>
      <w:r>
        <w:rPr>
          <w:rFonts w:hint="eastAsia"/>
          <w:color w:val="auto"/>
          <w:highlight w:val="none"/>
          <w:lang w:val="en-US" w:eastAsia="zh-CN"/>
        </w:rPr>
        <w:t>人员经费支出121.88万元，主要包括：基本工资、津贴补贴、奖金、绩效工资、机关事业单位基本养老保险缴费、职工基本医疗保险缴费、其他社会保障缴费、住房公积金、其他工资福利支出、退休费、生活补助等。</w:t>
      </w:r>
    </w:p>
    <w:p w14:paraId="2AD19B17">
      <w:pPr>
        <w:bidi w:val="0"/>
        <w:rPr>
          <w:rFonts w:hint="eastAsia"/>
          <w:color w:val="auto"/>
          <w:highlight w:val="none"/>
          <w:lang w:val="en-US" w:eastAsia="zh-CN"/>
        </w:rPr>
      </w:pPr>
      <w:r>
        <w:rPr>
          <w:rFonts w:hint="eastAsia"/>
          <w:color w:val="auto"/>
          <w:highlight w:val="none"/>
          <w:lang w:val="en-US" w:eastAsia="zh-CN"/>
        </w:rPr>
        <w:t>公用经费支出22.37万元，主要包括：办公费、印刷费、电费、邮电费、取暖费、培训费、专用材料费、劳务费、委托业务费、其他交通费用。</w:t>
      </w:r>
    </w:p>
    <w:p w14:paraId="49FFC3D5">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796344DA">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22C353EA">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项目支出预算12.36</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其中：上级专项资金8.82万元，本级财政资金3.54万元</w:t>
      </w:r>
      <w:r>
        <w:rPr>
          <w:rFonts w:hint="eastAsia"/>
          <w:color w:val="auto"/>
          <w:highlight w:val="none"/>
          <w:lang w:eastAsia="zh-CN"/>
        </w:rPr>
        <w:t>。</w:t>
      </w:r>
    </w:p>
    <w:p w14:paraId="272E3E64">
      <w:pPr>
        <w:pStyle w:val="2"/>
        <w:bidi w:val="0"/>
        <w:rPr>
          <w:rFonts w:hint="default"/>
          <w:color w:val="auto"/>
          <w:highlight w:val="none"/>
          <w:lang w:val="en-US" w:eastAsia="zh-CN"/>
        </w:rPr>
      </w:pPr>
      <w:r>
        <w:rPr>
          <w:rFonts w:hint="eastAsia"/>
          <w:color w:val="auto"/>
          <w:highlight w:val="none"/>
          <w:lang w:val="en-US" w:eastAsia="zh-CN"/>
        </w:rPr>
        <w:t>2.政策、项目支出管理情况</w:t>
      </w:r>
    </w:p>
    <w:p w14:paraId="024240B7">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12.36万元，其中</w:t>
      </w:r>
      <w:r>
        <w:rPr>
          <w:rFonts w:hint="eastAsia" w:cs="Times New Roman"/>
          <w:color w:val="auto"/>
          <w:kern w:val="2"/>
          <w:sz w:val="28"/>
          <w:szCs w:val="24"/>
          <w:highlight w:val="none"/>
          <w:lang w:val="en-US" w:eastAsia="zh-CN" w:bidi="ar-SA"/>
        </w:rPr>
        <w:t>基本药物项目资金2.2万元</w:t>
      </w:r>
      <w:r>
        <w:rPr>
          <w:rFonts w:hint="eastAsia" w:ascii="仿宋" w:hAnsi="仿宋" w:eastAsia="仿宋" w:cs="仿宋"/>
          <w:b w:val="0"/>
          <w:bCs w:val="0"/>
          <w:color w:val="auto"/>
          <w:szCs w:val="28"/>
          <w:highlight w:val="none"/>
        </w:rPr>
        <w:t>、</w:t>
      </w:r>
      <w:r>
        <w:rPr>
          <w:rFonts w:hint="eastAsia"/>
          <w:b w:val="0"/>
          <w:bCs w:val="0"/>
          <w:color w:val="auto"/>
          <w:highlight w:val="none"/>
        </w:rPr>
        <w:t>基本公共卫生服务项目</w:t>
      </w:r>
      <w:r>
        <w:rPr>
          <w:rFonts w:hint="eastAsia"/>
          <w:b w:val="0"/>
          <w:bCs w:val="0"/>
          <w:color w:val="auto"/>
          <w:highlight w:val="none"/>
          <w:lang w:val="en-US" w:eastAsia="zh-CN"/>
        </w:rPr>
        <w:t>资金</w:t>
      </w:r>
      <w:r>
        <w:rPr>
          <w:rFonts w:hint="eastAsia" w:cs="仿宋"/>
          <w:b w:val="0"/>
          <w:bCs w:val="0"/>
          <w:color w:val="auto"/>
          <w:szCs w:val="28"/>
          <w:highlight w:val="none"/>
          <w:shd w:val="clear" w:color="auto" w:fill="auto"/>
          <w:lang w:val="en-US" w:eastAsia="zh-CN"/>
        </w:rPr>
        <w:t>9.38</w:t>
      </w:r>
      <w:r>
        <w:rPr>
          <w:rFonts w:hint="eastAsia" w:ascii="仿宋" w:hAnsi="仿宋" w:eastAsia="仿宋" w:cs="仿宋"/>
          <w:b w:val="0"/>
          <w:bCs w:val="0"/>
          <w:color w:val="auto"/>
          <w:szCs w:val="28"/>
          <w:highlight w:val="none"/>
          <w:shd w:val="clear" w:color="auto" w:fill="auto"/>
        </w:rPr>
        <w:t>万</w:t>
      </w:r>
      <w:r>
        <w:rPr>
          <w:rFonts w:hint="eastAsia" w:ascii="仿宋" w:hAnsi="仿宋" w:eastAsia="仿宋" w:cs="仿宋"/>
          <w:b w:val="0"/>
          <w:bCs w:val="0"/>
          <w:color w:val="auto"/>
          <w:szCs w:val="28"/>
          <w:highlight w:val="none"/>
        </w:rPr>
        <w:t>元、</w:t>
      </w:r>
      <w:r>
        <w:rPr>
          <w:rFonts w:hint="eastAsia"/>
          <w:color w:val="auto"/>
          <w:highlight w:val="none"/>
          <w:lang w:val="en-US" w:eastAsia="zh-CN"/>
        </w:rPr>
        <w:t>重大传染病防治补助资金0.78万元。项目资金全部通过财政国库集中支付方式直接拨给项目实施单位。</w:t>
      </w:r>
    </w:p>
    <w:p w14:paraId="7D4B706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80" w:firstLineChars="100"/>
        <w:textAlignment w:val="auto"/>
        <w:rPr>
          <w:rFonts w:hint="eastAsia" w:ascii="仿宋" w:hAnsi="仿宋" w:eastAsia="仿宋" w:cs="仿宋"/>
          <w:b w:val="0"/>
          <w:bCs w:val="0"/>
          <w:color w:val="auto"/>
          <w:szCs w:val="28"/>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该项目</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14:paraId="19AE4C52">
      <w:pPr>
        <w:pStyle w:val="2"/>
        <w:bidi w:val="0"/>
        <w:ind w:left="0" w:leftChars="0" w:firstLine="602" w:firstLineChars="200"/>
        <w:rPr>
          <w:rFonts w:hint="eastAsia"/>
          <w:color w:val="auto"/>
          <w:highlight w:val="none"/>
          <w:lang w:val="en-US" w:eastAsia="zh-CN"/>
        </w:rPr>
      </w:pPr>
      <w:r>
        <w:rPr>
          <w:rFonts w:hint="eastAsia"/>
          <w:color w:val="auto"/>
          <w:highlight w:val="none"/>
          <w:lang w:val="en-US" w:eastAsia="zh-CN"/>
        </w:rPr>
        <w:t>3.政策、项目支出总体实际使用情况</w:t>
      </w:r>
    </w:p>
    <w:p w14:paraId="1A6B82CA">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度安排项目支出资金12.36万元，</w:t>
      </w:r>
      <w:r>
        <w:rPr>
          <w:rFonts w:hint="eastAsia"/>
          <w:color w:val="auto"/>
          <w:highlight w:val="none"/>
          <w:lang w:eastAsia="zh-CN"/>
        </w:rPr>
        <w:t>实际</w:t>
      </w:r>
      <w:r>
        <w:rPr>
          <w:rFonts w:hint="eastAsia"/>
          <w:color w:val="auto"/>
          <w:highlight w:val="none"/>
          <w:lang w:val="en-US" w:eastAsia="zh-CN"/>
        </w:rPr>
        <w:t>支出12.36</w:t>
      </w:r>
      <w:r>
        <w:rPr>
          <w:rFonts w:hint="eastAsia"/>
          <w:color w:val="auto"/>
          <w:highlight w:val="none"/>
          <w:lang w:eastAsia="zh-CN"/>
        </w:rPr>
        <w:t>万元，</w:t>
      </w:r>
      <w:r>
        <w:rPr>
          <w:rFonts w:hint="eastAsia"/>
          <w:color w:val="auto"/>
          <w:highlight w:val="none"/>
          <w:lang w:val="en-US" w:eastAsia="zh-CN"/>
        </w:rPr>
        <w:t>其中：上级专项资金支出8.82万元，本级财政安排项目资金支出3.54万元，项目预算资金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14:paraId="58ABC759">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包括基层医疗卫生机构</w:t>
      </w:r>
      <w:r>
        <w:rPr>
          <w:rFonts w:hint="eastAsia"/>
          <w:color w:val="auto"/>
          <w:highlight w:val="none"/>
          <w:lang w:val="en-US" w:eastAsia="zh-CN"/>
        </w:rPr>
        <w:t>支付2.2</w:t>
      </w:r>
      <w:r>
        <w:rPr>
          <w:rFonts w:hint="default"/>
          <w:color w:val="auto"/>
          <w:highlight w:val="none"/>
          <w:lang w:val="en-US" w:eastAsia="zh-CN"/>
        </w:rPr>
        <w:t>万元，公共卫生支出</w:t>
      </w:r>
      <w:r>
        <w:rPr>
          <w:rFonts w:hint="eastAsia"/>
          <w:color w:val="auto"/>
          <w:highlight w:val="none"/>
          <w:lang w:val="en-US" w:eastAsia="zh-CN"/>
        </w:rPr>
        <w:t>10.16</w:t>
      </w:r>
      <w:r>
        <w:rPr>
          <w:rFonts w:hint="default"/>
          <w:color w:val="auto"/>
          <w:highlight w:val="none"/>
          <w:lang w:val="en-US" w:eastAsia="zh-CN"/>
        </w:rPr>
        <w:t>万元</w:t>
      </w:r>
      <w:r>
        <w:rPr>
          <w:rFonts w:hint="eastAsia"/>
          <w:color w:val="auto"/>
          <w:highlight w:val="none"/>
          <w:lang w:val="en-US" w:eastAsia="zh-CN"/>
        </w:rPr>
        <w:t>。</w:t>
      </w:r>
    </w:p>
    <w:bookmarkEnd w:id="2"/>
    <w:p w14:paraId="75367990">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33965556">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4</w:t>
      </w:r>
      <w:r>
        <w:rPr>
          <w:rFonts w:hint="eastAsia"/>
          <w:color w:val="auto"/>
          <w:highlight w:val="none"/>
        </w:rPr>
        <w:t>个，三级指标</w:t>
      </w:r>
      <w:r>
        <w:rPr>
          <w:rFonts w:hint="eastAsia"/>
          <w:color w:val="auto"/>
          <w:highlight w:val="none"/>
          <w:lang w:val="en-US" w:eastAsia="zh-CN"/>
        </w:rPr>
        <w:t>9</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9</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55C28627">
      <w:pPr>
        <w:bidi w:val="0"/>
        <w:rPr>
          <w:rFonts w:hint="eastAsia"/>
          <w:color w:val="auto"/>
          <w:highlight w:val="none"/>
          <w:lang w:eastAsia="zh-CN"/>
        </w:rPr>
      </w:pPr>
      <w:r>
        <w:rPr>
          <w:rFonts w:hint="eastAsia"/>
          <w:color w:val="auto"/>
          <w:highlight w:val="none"/>
          <w:lang w:val="en-US" w:eastAsia="zh-CN"/>
        </w:rPr>
        <w:t>（一）“三公经费”控制率</w:t>
      </w:r>
      <w:r>
        <w:rPr>
          <w:rFonts w:hint="eastAsia"/>
          <w:color w:val="auto"/>
          <w:highlight w:val="none"/>
          <w:lang w:eastAsia="zh-CN"/>
        </w:rPr>
        <w:t>指标完成情况分析</w:t>
      </w:r>
    </w:p>
    <w:p w14:paraId="2CD360BA">
      <w:pPr>
        <w:bidi w:val="0"/>
        <w:rPr>
          <w:rFonts w:hint="eastAsia"/>
          <w:color w:val="auto"/>
          <w:highlight w:val="none"/>
          <w:lang w:val="en-US" w:eastAsia="zh-CN"/>
        </w:rPr>
      </w:pPr>
      <w:r>
        <w:rPr>
          <w:rFonts w:hint="eastAsia"/>
          <w:color w:val="auto"/>
          <w:highlight w:val="none"/>
          <w:lang w:val="en-US" w:eastAsia="zh-CN"/>
        </w:rPr>
        <w:t xml:space="preserve">“基本支出预算执行率”控制率指标年初设定目标是=100%，年中绩效运行监控时完成值59.04%，年终实际完成值是100%，指标完成率是100%，达到了“基本支出预算执行率”合理控制的预期目标。偏差原因：无偏差。 </w:t>
      </w:r>
    </w:p>
    <w:p w14:paraId="7C578F54">
      <w:pPr>
        <w:numPr>
          <w:ilvl w:val="0"/>
          <w:numId w:val="2"/>
        </w:numPr>
        <w:bidi w:val="0"/>
        <w:rPr>
          <w:rFonts w:hint="eastAsia"/>
          <w:b/>
          <w:bCs/>
          <w:color w:val="auto"/>
          <w:highlight w:val="none"/>
          <w:lang w:val="en-US" w:eastAsia="zh-CN"/>
        </w:rPr>
      </w:pPr>
      <w:r>
        <w:rPr>
          <w:rFonts w:hint="eastAsia"/>
          <w:b/>
          <w:bCs/>
          <w:color w:val="auto"/>
          <w:highlight w:val="none"/>
          <w:lang w:val="en-US" w:eastAsia="zh-CN"/>
        </w:rPr>
        <w:t>在职人员经费保障人数指标完成情况分析</w:t>
      </w:r>
    </w:p>
    <w:p w14:paraId="3CBDDAC0">
      <w:pPr>
        <w:numPr>
          <w:ilvl w:val="0"/>
          <w:numId w:val="0"/>
        </w:numPr>
        <w:bidi w:val="0"/>
        <w:ind w:firstLine="560" w:firstLineChars="200"/>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在职人员经费保障人数指标年初设定目标是&gt;=7人，年中绩效运行监控时完成值7人，年终实际完成值是8人，指标完成率是100%，达到了职工人员工资按时发放、社保按时缴纳的预期目标。偏差原因：无偏差。</w:t>
      </w:r>
    </w:p>
    <w:p w14:paraId="39DEC903">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（三）保障退休及遗属人数指标完成情况分析</w:t>
      </w:r>
    </w:p>
    <w:p w14:paraId="235FD282">
      <w:pPr>
        <w:pStyle w:val="4"/>
        <w:numPr>
          <w:ilvl w:val="0"/>
          <w:numId w:val="0"/>
        </w:numPr>
        <w:bidi w:val="0"/>
        <w:ind w:firstLine="560" w:firstLineChars="200"/>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val="0"/>
          <w:color w:val="auto"/>
          <w:kern w:val="2"/>
          <w:sz w:val="28"/>
          <w:szCs w:val="24"/>
          <w:highlight w:val="none"/>
          <w:lang w:val="en-US" w:eastAsia="zh-CN" w:bidi="ar-SA"/>
        </w:rPr>
        <w:t>保障退休及遗属人数指标年初设定目标是&gt;=2人，年中绩效运行监控时完成值2人，年终实际完成值是2人，指标完成率是100%，达到退休及遗属人员生活补助按时发放的预期目标。偏差原因：无偏差。</w:t>
      </w:r>
    </w:p>
    <w:p w14:paraId="5449D4A3">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（四）门诊就诊患者人数指标完成情况分析</w:t>
      </w:r>
    </w:p>
    <w:p w14:paraId="7E0B8261">
      <w:pPr>
        <w:ind w:left="0" w:leftChars="0" w:firstLine="560" w:firstLineChars="20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门诊就诊人次指标年初设定目标是&gt;=</w:t>
      </w:r>
      <w:r>
        <w:rPr>
          <w:rFonts w:hint="eastAsia" w:cs="仿宋_GB2312"/>
          <w:b w:val="0"/>
          <w:bCs w:val="0"/>
          <w:color w:val="auto"/>
          <w:kern w:val="2"/>
          <w:sz w:val="28"/>
          <w:szCs w:val="24"/>
          <w:highlight w:val="none"/>
          <w:lang w:val="en-US" w:eastAsia="zh-CN" w:bidi="ar-SA"/>
        </w:rPr>
        <w:t>966</w:t>
      </w:r>
      <w:r>
        <w:rPr>
          <w:rFonts w:hint="eastAsia" w:ascii="仿宋_GB2312" w:hAnsi="仿宋_GB2312" w:eastAsia="仿宋" w:cs="仿宋_GB2312"/>
          <w:b w:val="0"/>
          <w:bCs w:val="0"/>
          <w:color w:val="auto"/>
          <w:kern w:val="2"/>
          <w:sz w:val="28"/>
          <w:szCs w:val="24"/>
          <w:highlight w:val="none"/>
          <w:lang w:val="en-US" w:eastAsia="zh-CN" w:bidi="ar-SA"/>
        </w:rPr>
        <w:t>人</w:t>
      </w:r>
      <w:r>
        <w:rPr>
          <w:rFonts w:hint="eastAsia" w:cs="仿宋_GB2312"/>
          <w:b w:val="0"/>
          <w:bCs w:val="0"/>
          <w:color w:val="auto"/>
          <w:kern w:val="2"/>
          <w:sz w:val="28"/>
          <w:szCs w:val="24"/>
          <w:highlight w:val="none"/>
          <w:lang w:val="en-US" w:eastAsia="zh-CN" w:bidi="ar-SA"/>
        </w:rPr>
        <w:t>次</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966</w:t>
      </w:r>
      <w:r>
        <w:rPr>
          <w:rFonts w:hint="eastAsia" w:ascii="仿宋_GB2312" w:hAnsi="仿宋_GB2312" w:eastAsia="仿宋" w:cs="仿宋_GB2312"/>
          <w:b w:val="0"/>
          <w:bCs w:val="0"/>
          <w:color w:val="auto"/>
          <w:kern w:val="2"/>
          <w:sz w:val="28"/>
          <w:szCs w:val="24"/>
          <w:highlight w:val="none"/>
          <w:lang w:val="en-US" w:eastAsia="zh-CN" w:bidi="ar-SA"/>
        </w:rPr>
        <w:t>人</w:t>
      </w:r>
      <w:r>
        <w:rPr>
          <w:rFonts w:hint="eastAsia" w:cs="仿宋_GB2312"/>
          <w:b w:val="0"/>
          <w:bCs w:val="0"/>
          <w:color w:val="auto"/>
          <w:kern w:val="2"/>
          <w:sz w:val="28"/>
          <w:szCs w:val="24"/>
          <w:highlight w:val="none"/>
          <w:lang w:val="en-US" w:eastAsia="zh-CN" w:bidi="ar-SA"/>
        </w:rPr>
        <w:t>次</w:t>
      </w:r>
      <w:r>
        <w:rPr>
          <w:rFonts w:hint="eastAsia" w:ascii="仿宋_GB2312" w:hAnsi="仿宋_GB2312" w:eastAsia="仿宋" w:cs="仿宋_GB2312"/>
          <w:b w:val="0"/>
          <w:bCs w:val="0"/>
          <w:color w:val="auto"/>
          <w:kern w:val="2"/>
          <w:sz w:val="28"/>
          <w:szCs w:val="24"/>
          <w:highlight w:val="none"/>
          <w:lang w:val="en-US" w:eastAsia="zh-CN" w:bidi="ar-SA"/>
        </w:rPr>
        <w:t>，年终实际完成值是</w:t>
      </w:r>
      <w:r>
        <w:rPr>
          <w:rFonts w:hint="eastAsia" w:cs="仿宋_GB2312"/>
          <w:b w:val="0"/>
          <w:bCs w:val="0"/>
          <w:color w:val="auto"/>
          <w:kern w:val="2"/>
          <w:sz w:val="28"/>
          <w:szCs w:val="24"/>
          <w:highlight w:val="none"/>
          <w:lang w:val="en-US" w:eastAsia="zh-CN" w:bidi="ar-SA"/>
        </w:rPr>
        <w:t>2073</w:t>
      </w:r>
      <w:r>
        <w:rPr>
          <w:rFonts w:hint="eastAsia" w:ascii="仿宋_GB2312" w:hAnsi="仿宋_GB2312" w:eastAsia="仿宋" w:cs="仿宋_GB2312"/>
          <w:b w:val="0"/>
          <w:bCs w:val="0"/>
          <w:color w:val="auto"/>
          <w:kern w:val="2"/>
          <w:sz w:val="28"/>
          <w:szCs w:val="24"/>
          <w:highlight w:val="none"/>
          <w:lang w:val="en-US" w:eastAsia="zh-CN" w:bidi="ar-SA"/>
        </w:rPr>
        <w:t>人</w:t>
      </w:r>
      <w:r>
        <w:rPr>
          <w:rFonts w:hint="eastAsia" w:cs="仿宋_GB2312"/>
          <w:b w:val="0"/>
          <w:bCs w:val="0"/>
          <w:color w:val="auto"/>
          <w:kern w:val="2"/>
          <w:sz w:val="28"/>
          <w:szCs w:val="24"/>
          <w:highlight w:val="none"/>
          <w:lang w:val="en-US" w:eastAsia="zh-CN" w:bidi="ar-SA"/>
        </w:rPr>
        <w:t>次</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214.6</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14:paraId="655144DD">
      <w:pPr>
        <w:numPr>
          <w:ilvl w:val="0"/>
          <w:numId w:val="3"/>
        </w:numPr>
        <w:ind w:left="0" w:leftChars="0" w:firstLine="562" w:firstLineChars="200"/>
        <w:rPr>
          <w:rFonts w:hint="eastAsia"/>
          <w:b/>
          <w:bCs/>
          <w:color w:val="auto"/>
          <w:highlight w:val="none"/>
          <w:lang w:val="en-US" w:eastAsia="zh-CN"/>
        </w:rPr>
      </w:pPr>
      <w:r>
        <w:rPr>
          <w:rFonts w:hint="eastAsia"/>
          <w:b/>
          <w:bCs/>
          <w:color w:val="auto"/>
          <w:highlight w:val="none"/>
          <w:lang w:val="en-US" w:eastAsia="zh-CN"/>
        </w:rPr>
        <w:t>提供医疗与护理保健服务率指标完成情况分析</w:t>
      </w:r>
    </w:p>
    <w:p w14:paraId="7B0E5578">
      <w:pPr>
        <w:numPr>
          <w:ilvl w:val="0"/>
          <w:numId w:val="0"/>
        </w:numPr>
        <w:ind w:firstLine="560" w:firstLineChars="200"/>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90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50%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90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58E20514">
      <w:pPr>
        <w:pStyle w:val="4"/>
        <w:numPr>
          <w:ilvl w:val="0"/>
          <w:numId w:val="0"/>
        </w:numPr>
        <w:bidi w:val="0"/>
        <w:spacing w:before="0" w:beforeLines="0" w:line="240" w:lineRule="auto"/>
        <w:ind w:left="560" w:leftChars="0"/>
        <w:rPr>
          <w:rFonts w:hint="eastAsia"/>
          <w:color w:val="auto"/>
          <w:highlight w:val="none"/>
          <w:lang w:val="en-US" w:eastAsia="zh-CN"/>
        </w:rPr>
      </w:pPr>
      <w:r>
        <w:rPr>
          <w:rFonts w:hint="eastAsia"/>
          <w:color w:val="auto"/>
          <w:highlight w:val="none"/>
          <w:lang w:val="en-US" w:eastAsia="zh-CN"/>
        </w:rPr>
        <w:t>（六）人员经费足额发放率指标完成情况分析</w:t>
      </w:r>
    </w:p>
    <w:p w14:paraId="1A61D101">
      <w:pPr>
        <w:ind w:left="0" w:leftChars="0" w:firstLine="560" w:firstLineChars="200"/>
        <w:rPr>
          <w:rFonts w:hint="eastAsia" w:cs="仿宋_GB2312"/>
          <w:b w:val="0"/>
          <w:bCs w:val="0"/>
          <w:color w:val="auto"/>
          <w:kern w:val="2"/>
          <w:sz w:val="28"/>
          <w:szCs w:val="24"/>
          <w:highlight w:val="none"/>
          <w:lang w:val="en-US" w:eastAsia="zh-CN" w:bidi="ar-SA"/>
        </w:rPr>
      </w:pPr>
      <w:r>
        <w:rPr>
          <w:rFonts w:hint="eastAsia"/>
          <w:color w:val="auto"/>
          <w:highlight w:val="none"/>
          <w:lang w:val="en-US" w:eastAsia="zh-CN"/>
        </w:rPr>
        <w:t>人员经费足额发放率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67172626">
      <w:pPr>
        <w:pStyle w:val="2"/>
        <w:numPr>
          <w:ilvl w:val="0"/>
          <w:numId w:val="0"/>
        </w:numPr>
        <w:ind w:left="560" w:leftChars="0"/>
        <w:rPr>
          <w:rFonts w:hint="eastAsia"/>
          <w:color w:val="auto"/>
          <w:highlight w:val="none"/>
          <w:lang w:val="en-US" w:eastAsia="zh-CN"/>
        </w:rPr>
      </w:pPr>
      <w:r>
        <w:rPr>
          <w:rFonts w:hint="eastAsia"/>
          <w:color w:val="auto"/>
          <w:highlight w:val="none"/>
          <w:lang w:val="en-US" w:eastAsia="zh-CN"/>
        </w:rPr>
        <w:t>（七）辖区基本公共卫生服务覆盖率指标完成情况分析</w:t>
      </w:r>
    </w:p>
    <w:p w14:paraId="7A8EAEF8">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辖区基本公共卫生服务覆盖率</w:t>
      </w:r>
      <w:r>
        <w:rPr>
          <w:rFonts w:hint="eastAsia"/>
          <w:color w:val="auto"/>
          <w:highlight w:val="none"/>
          <w:lang w:val="en-US" w:eastAsia="zh-CN"/>
        </w:rPr>
        <w:t>指标年初设定目标是=100%，年中绩效运行监控时完成值50%，年终实际完成值是100%，指标完成率是100%，</w:t>
      </w:r>
      <w:r>
        <w:rPr>
          <w:rFonts w:hint="eastAsia" w:cs="Times New Roman"/>
          <w:color w:val="auto"/>
          <w:kern w:val="2"/>
          <w:sz w:val="28"/>
          <w:szCs w:val="24"/>
          <w:highlight w:val="none"/>
          <w:lang w:val="en-US" w:eastAsia="zh-CN" w:bidi="ar-SA"/>
        </w:rPr>
        <w:t>实现了基本公共卫生服务全覆盖</w:t>
      </w:r>
      <w:r>
        <w:rPr>
          <w:rFonts w:hint="eastAsia"/>
          <w:color w:val="auto"/>
          <w:highlight w:val="none"/>
          <w:lang w:val="en-US" w:eastAsia="zh-CN"/>
        </w:rPr>
        <w:t>的预期目标。偏差原因：无偏差。</w:t>
      </w:r>
    </w:p>
    <w:p w14:paraId="122C6461">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（八）医保政策知晓率指标完成情况分析</w:t>
      </w:r>
    </w:p>
    <w:p w14:paraId="7524964B">
      <w:pPr>
        <w:bidi w:val="0"/>
        <w:rPr>
          <w:rFonts w:hint="eastAsia"/>
          <w:color w:val="auto"/>
          <w:highlight w:val="none"/>
          <w:lang w:val="en-US" w:eastAsia="zh-CN"/>
        </w:rPr>
      </w:pPr>
      <w:r>
        <w:rPr>
          <w:rFonts w:hint="eastAsia"/>
          <w:color w:val="auto"/>
          <w:highlight w:val="none"/>
          <w:lang w:val="en-US" w:eastAsia="zh-CN"/>
        </w:rPr>
        <w:t>医保政策知晓率指标年初设定目标是&gt;=85%，年中绩效运行监控时完成值50%，年终实际完成值是100%，指标完成率是100%，提高了居民对医保政策的理解和信任的预期目标。偏差原因：无偏差。</w:t>
      </w:r>
    </w:p>
    <w:p w14:paraId="01E8FCC7">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（九）居民满意度指标完成情况分析</w:t>
      </w:r>
    </w:p>
    <w:p w14:paraId="2CFA57B8">
      <w:pPr>
        <w:bidi w:val="0"/>
        <w:rPr>
          <w:rFonts w:hint="eastAsia"/>
          <w:color w:val="auto"/>
          <w:highlight w:val="none"/>
          <w:lang w:val="en-US" w:eastAsia="zh-CN"/>
        </w:rPr>
      </w:pPr>
      <w:r>
        <w:rPr>
          <w:rFonts w:hint="eastAsia"/>
          <w:color w:val="auto"/>
          <w:highlight w:val="none"/>
          <w:lang w:val="en-US" w:eastAsia="zh-CN"/>
        </w:rPr>
        <w:t>居民满意度指标年初设定目标是&gt;=90%，年中绩效运行监控时完成值未达监控节点，年终实际完成值是100%，指标完成率是100%，提升了患者满意度和就诊体验的预期目标。偏差原因：无偏差。</w:t>
      </w:r>
    </w:p>
    <w:p w14:paraId="5DDCC2E9">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62149193">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x100</w:t>
      </w:r>
      <w:r>
        <w:rPr>
          <w:rFonts w:hint="eastAsia"/>
          <w:color w:val="auto"/>
          <w:highlight w:val="none"/>
          <w:lang w:eastAsia="zh-CN"/>
        </w:rPr>
        <w:t>分，</w:t>
      </w:r>
      <w:bookmarkStart w:id="6" w:name="_GoBack"/>
      <w:r>
        <w:rPr>
          <w:rFonts w:hint="eastAsia"/>
          <w:color w:val="auto"/>
          <w:highlight w:val="none"/>
          <w:lang w:eastAsia="zh-CN"/>
        </w:rPr>
        <w:t>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bookmarkEnd w:id="6"/>
      <w:r>
        <w:rPr>
          <w:rFonts w:hint="eastAsia" w:ascii="Times New Roman" w:hAnsi="Times New Roman" w:cs="Times New Roman"/>
          <w:color w:val="auto"/>
          <w:highlight w:val="none"/>
          <w:lang w:val="en-US" w:eastAsia="zh-CN"/>
        </w:rPr>
        <w:t>：</w:t>
      </w:r>
    </w:p>
    <w:p w14:paraId="27577EBD">
      <w:pPr>
        <w:bidi w:val="0"/>
        <w:rPr>
          <w:rFonts w:hint="eastAsia" w:eastAsia="仿宋"/>
          <w:color w:val="auto"/>
          <w:highlight w:val="none"/>
          <w:lang w:eastAsia="zh-CN"/>
        </w:rPr>
      </w:pPr>
      <w:r>
        <w:rPr>
          <w:rFonts w:hint="eastAsia"/>
          <w:color w:val="auto"/>
          <w:highlight w:val="none"/>
          <w:lang w:val="en-US" w:eastAsia="zh-CN"/>
        </w:rPr>
        <w:t>2</w:t>
      </w:r>
      <w:r>
        <w:rPr>
          <w:rFonts w:hint="default"/>
          <w:color w:val="auto"/>
          <w:highlight w:val="none"/>
          <w:lang w:eastAsia="zh-CN"/>
        </w:rPr>
        <w:t>023年，</w:t>
      </w:r>
      <w:r>
        <w:rPr>
          <w:rFonts w:hint="default"/>
          <w:color w:val="auto"/>
          <w:highlight w:val="none"/>
          <w:lang w:val="en-US" w:eastAsia="zh-CN"/>
        </w:rPr>
        <w:t>和静县</w:t>
      </w:r>
      <w:r>
        <w:rPr>
          <w:rFonts w:hint="eastAsia"/>
          <w:color w:val="auto"/>
          <w:highlight w:val="none"/>
          <w:lang w:val="en-US" w:eastAsia="zh-CN"/>
        </w:rPr>
        <w:t>克尔古提乡卫生院</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14:paraId="17663997">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36BFC4E4">
      <w:pPr>
        <w:spacing w:line="360" w:lineRule="auto"/>
        <w:ind w:firstLine="560" w:firstLineChars="200"/>
        <w:jc w:val="left"/>
        <w:rPr>
          <w:rFonts w:ascii="Times New Roman" w:hAnsi="Times New Roman" w:cs="Times New Roman"/>
          <w:color w:val="auto"/>
          <w:kern w:val="0"/>
          <w:szCs w:val="28"/>
          <w:highlight w:val="none"/>
        </w:rPr>
      </w:pPr>
      <w:bookmarkStart w:id="5" w:name="_Toc29546_WPSOffice_Level1"/>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14:paraId="56BDA7B2">
      <w:pPr>
        <w:numPr>
          <w:ilvl w:val="0"/>
          <w:numId w:val="4"/>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14:paraId="19545E67">
      <w:pPr>
        <w:pStyle w:val="3"/>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14:paraId="3AEF46BF">
      <w:pPr>
        <w:pStyle w:val="3"/>
        <w:bidi w:val="0"/>
        <w:ind w:left="0" w:leftChars="0" w:firstLine="640" w:firstLineChars="20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4EB1727F">
      <w:pPr>
        <w:rPr>
          <w:rFonts w:hint="eastAsia"/>
          <w:color w:val="auto"/>
          <w:highlight w:val="none"/>
        </w:rPr>
      </w:pPr>
      <w:r>
        <w:rPr>
          <w:rFonts w:hint="eastAsia"/>
          <w:color w:val="auto"/>
          <w:highlight w:val="none"/>
        </w:rPr>
        <w:t>针对上述存在的问题及整体支出管理工作的需要，实施改进措施如下：</w:t>
      </w:r>
    </w:p>
    <w:p w14:paraId="13176182">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14:paraId="62B1C914">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5BE0E33C">
      <w:pPr>
        <w:pStyle w:val="3"/>
        <w:bidi w:val="0"/>
        <w:rPr>
          <w:rFonts w:hint="default"/>
          <w:color w:val="auto"/>
          <w:highlight w:val="none"/>
          <w:lang w:val="en-US" w:eastAsia="zh-CN"/>
        </w:rPr>
      </w:pPr>
      <w:r>
        <w:rPr>
          <w:rFonts w:hint="eastAsia"/>
          <w:color w:val="auto"/>
          <w:highlight w:val="none"/>
          <w:lang w:val="en-US" w:eastAsia="zh-CN"/>
        </w:rPr>
        <w:t>七、附件上传</w:t>
      </w:r>
    </w:p>
    <w:p w14:paraId="04D0E2E0">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9A27D">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71543EC1">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7BF4EF"/>
    <w:multiLevelType w:val="singleLevel"/>
    <w:tmpl w:val="A37BF4EF"/>
    <w:lvl w:ilvl="0" w:tentative="0">
      <w:start w:val="2"/>
      <w:numFmt w:val="chineseCounting"/>
      <w:suff w:val="nothing"/>
      <w:lvlText w:val="（%1）"/>
      <w:lvlJc w:val="left"/>
      <w:rPr>
        <w:rFonts w:hint="eastAsia"/>
      </w:rPr>
    </w:lvl>
  </w:abstractNum>
  <w:abstractNum w:abstractNumId="1">
    <w:nsid w:val="E7143F83"/>
    <w:multiLevelType w:val="singleLevel"/>
    <w:tmpl w:val="E7143F83"/>
    <w:lvl w:ilvl="0" w:tentative="0">
      <w:start w:val="5"/>
      <w:numFmt w:val="chineseCounting"/>
      <w:suff w:val="nothing"/>
      <w:lvlText w:val="（%1）"/>
      <w:lvlJc w:val="left"/>
      <w:rPr>
        <w:rFonts w:hint="eastAsia"/>
      </w:rPr>
    </w:lvl>
  </w:abstractNum>
  <w:abstractNum w:abstractNumId="2">
    <w:nsid w:val="F05EAF67"/>
    <w:multiLevelType w:val="singleLevel"/>
    <w:tmpl w:val="F05EAF67"/>
    <w:lvl w:ilvl="0" w:tentative="0">
      <w:start w:val="1"/>
      <w:numFmt w:val="decimal"/>
      <w:suff w:val="nothing"/>
      <w:lvlText w:val="%1、"/>
      <w:lvlJc w:val="left"/>
    </w:lvl>
  </w:abstractNum>
  <w:abstractNum w:abstractNumId="3">
    <w:nsid w:val="F84F9121"/>
    <w:multiLevelType w:val="singleLevel"/>
    <w:tmpl w:val="F84F9121"/>
    <w:lvl w:ilvl="0" w:tentative="0">
      <w:start w:val="2"/>
      <w:numFmt w:val="chineseCounting"/>
      <w:suff w:val="nothing"/>
      <w:lvlText w:val="（%1）"/>
      <w:lvlJc w:val="left"/>
      <w:pPr>
        <w:ind w:left="-80"/>
      </w:pPr>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AFE58B8"/>
    <w:rsid w:val="0C496481"/>
    <w:rsid w:val="0C6738B8"/>
    <w:rsid w:val="0E466D50"/>
    <w:rsid w:val="0E7D784C"/>
    <w:rsid w:val="10200A85"/>
    <w:rsid w:val="10300946"/>
    <w:rsid w:val="10F529B7"/>
    <w:rsid w:val="10FE60D7"/>
    <w:rsid w:val="134F7771"/>
    <w:rsid w:val="13E513B9"/>
    <w:rsid w:val="158C5316"/>
    <w:rsid w:val="15B904C0"/>
    <w:rsid w:val="165C118C"/>
    <w:rsid w:val="16985E0D"/>
    <w:rsid w:val="16CA61C5"/>
    <w:rsid w:val="172D035F"/>
    <w:rsid w:val="175D58E3"/>
    <w:rsid w:val="18061B60"/>
    <w:rsid w:val="190C3DF8"/>
    <w:rsid w:val="19682A70"/>
    <w:rsid w:val="19AA4D08"/>
    <w:rsid w:val="19F83E30"/>
    <w:rsid w:val="1B403139"/>
    <w:rsid w:val="1C6D319F"/>
    <w:rsid w:val="1D384A93"/>
    <w:rsid w:val="1D4D74D6"/>
    <w:rsid w:val="1DE32CFD"/>
    <w:rsid w:val="1F1A602A"/>
    <w:rsid w:val="1F2854B6"/>
    <w:rsid w:val="217D20CE"/>
    <w:rsid w:val="21C67E02"/>
    <w:rsid w:val="21C768CD"/>
    <w:rsid w:val="22E14253"/>
    <w:rsid w:val="23931BB2"/>
    <w:rsid w:val="23F209A3"/>
    <w:rsid w:val="2403516E"/>
    <w:rsid w:val="24E71FCC"/>
    <w:rsid w:val="256A2A9E"/>
    <w:rsid w:val="256F74CA"/>
    <w:rsid w:val="27F7226E"/>
    <w:rsid w:val="2805537E"/>
    <w:rsid w:val="289437EE"/>
    <w:rsid w:val="297873DB"/>
    <w:rsid w:val="29F35E61"/>
    <w:rsid w:val="2A285817"/>
    <w:rsid w:val="2B6F150A"/>
    <w:rsid w:val="2BB557CB"/>
    <w:rsid w:val="2BC51751"/>
    <w:rsid w:val="2CC14A3E"/>
    <w:rsid w:val="2D166684"/>
    <w:rsid w:val="2D7514FB"/>
    <w:rsid w:val="2DDA5CBD"/>
    <w:rsid w:val="2EBF757D"/>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3D40BB"/>
    <w:rsid w:val="36851B5C"/>
    <w:rsid w:val="37661A13"/>
    <w:rsid w:val="37932E61"/>
    <w:rsid w:val="379871D0"/>
    <w:rsid w:val="37BA58BB"/>
    <w:rsid w:val="37D360CA"/>
    <w:rsid w:val="38CB5066"/>
    <w:rsid w:val="38E054C9"/>
    <w:rsid w:val="39C475C2"/>
    <w:rsid w:val="3A334C60"/>
    <w:rsid w:val="3A565DE9"/>
    <w:rsid w:val="3AC36A27"/>
    <w:rsid w:val="3B4A3407"/>
    <w:rsid w:val="3B61174B"/>
    <w:rsid w:val="3CAD3908"/>
    <w:rsid w:val="3F301058"/>
    <w:rsid w:val="4084071F"/>
    <w:rsid w:val="417A34F9"/>
    <w:rsid w:val="418810F4"/>
    <w:rsid w:val="41A37673"/>
    <w:rsid w:val="42503F5E"/>
    <w:rsid w:val="42C30950"/>
    <w:rsid w:val="4550710D"/>
    <w:rsid w:val="459B4F7E"/>
    <w:rsid w:val="45A65C7F"/>
    <w:rsid w:val="45F13359"/>
    <w:rsid w:val="468C2A4A"/>
    <w:rsid w:val="46AD2493"/>
    <w:rsid w:val="46EC7F14"/>
    <w:rsid w:val="47CA7D9C"/>
    <w:rsid w:val="47DB3D58"/>
    <w:rsid w:val="480D0379"/>
    <w:rsid w:val="48194880"/>
    <w:rsid w:val="48AF4C7F"/>
    <w:rsid w:val="492625BC"/>
    <w:rsid w:val="4A5B46DD"/>
    <w:rsid w:val="4A6F6A56"/>
    <w:rsid w:val="4A81677A"/>
    <w:rsid w:val="4B3B5348"/>
    <w:rsid w:val="4DA177B2"/>
    <w:rsid w:val="4DA370C6"/>
    <w:rsid w:val="4DF36D4F"/>
    <w:rsid w:val="501B7C76"/>
    <w:rsid w:val="504D5CCF"/>
    <w:rsid w:val="511A2CA6"/>
    <w:rsid w:val="51A378D0"/>
    <w:rsid w:val="533A7469"/>
    <w:rsid w:val="53526129"/>
    <w:rsid w:val="538B4CD8"/>
    <w:rsid w:val="53A21BCD"/>
    <w:rsid w:val="54394F3D"/>
    <w:rsid w:val="565F61A9"/>
    <w:rsid w:val="56AD4B11"/>
    <w:rsid w:val="57232FC4"/>
    <w:rsid w:val="572D2326"/>
    <w:rsid w:val="57365691"/>
    <w:rsid w:val="580C3793"/>
    <w:rsid w:val="59EE1E48"/>
    <w:rsid w:val="5A490F5C"/>
    <w:rsid w:val="5B464F7F"/>
    <w:rsid w:val="5B805E16"/>
    <w:rsid w:val="5B9C36DA"/>
    <w:rsid w:val="5BD21464"/>
    <w:rsid w:val="5BDE2B83"/>
    <w:rsid w:val="5BE508A9"/>
    <w:rsid w:val="5C777282"/>
    <w:rsid w:val="5E7E3DEB"/>
    <w:rsid w:val="61635F72"/>
    <w:rsid w:val="618606C5"/>
    <w:rsid w:val="6224402D"/>
    <w:rsid w:val="6384067A"/>
    <w:rsid w:val="638D125E"/>
    <w:rsid w:val="6396333E"/>
    <w:rsid w:val="63E114D3"/>
    <w:rsid w:val="6AD46D46"/>
    <w:rsid w:val="6B07083C"/>
    <w:rsid w:val="6B623CC4"/>
    <w:rsid w:val="6B6C65E0"/>
    <w:rsid w:val="6C2B67AC"/>
    <w:rsid w:val="6CB31465"/>
    <w:rsid w:val="6DE07909"/>
    <w:rsid w:val="6E58438A"/>
    <w:rsid w:val="6E5B418F"/>
    <w:rsid w:val="6E7066F8"/>
    <w:rsid w:val="6E9D5508"/>
    <w:rsid w:val="6F392F6C"/>
    <w:rsid w:val="6F871359"/>
    <w:rsid w:val="711B7F18"/>
    <w:rsid w:val="71EB22B3"/>
    <w:rsid w:val="72010FA6"/>
    <w:rsid w:val="733F48EB"/>
    <w:rsid w:val="74212849"/>
    <w:rsid w:val="744C1D4E"/>
    <w:rsid w:val="746B78E5"/>
    <w:rsid w:val="747C03C6"/>
    <w:rsid w:val="748A4F72"/>
    <w:rsid w:val="74961819"/>
    <w:rsid w:val="750202C6"/>
    <w:rsid w:val="75664078"/>
    <w:rsid w:val="761E4132"/>
    <w:rsid w:val="78061A79"/>
    <w:rsid w:val="783D6295"/>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9</Pages>
  <Words>4814</Words>
  <Characters>5097</Characters>
  <Lines>7</Lines>
  <Paragraphs>2</Paragraphs>
  <TotalTime>6</TotalTime>
  <ScaleCrop>false</ScaleCrop>
  <LinksUpToDate>false</LinksUpToDate>
  <CharactersWithSpaces>5103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陈晨尘s</cp:lastModifiedBy>
  <dcterms:modified xsi:type="dcterms:W3CDTF">2024-12-04T11:53:24Z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FA48308C584B4C498E9734F137FE4F69</vt:lpwstr>
  </property>
</Properties>
</file>