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283D5F">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中共和静县委员会宣传部整体支出绩效</w:t>
      </w:r>
    </w:p>
    <w:p w14:paraId="7BF9D360">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r>
        <w:rPr>
          <w:rFonts w:hint="eastAsia" w:ascii="黑体" w:hAnsi="黑体" w:eastAsia="黑体" w:cs="黑体"/>
          <w:color w:val="auto"/>
          <w:sz w:val="44"/>
          <w:szCs w:val="44"/>
          <w:highlight w:val="none"/>
          <w:lang w:val="en-US" w:eastAsia="zh-CN"/>
        </w:rPr>
        <w:t>自评报告</w:t>
      </w:r>
    </w:p>
    <w:p w14:paraId="32517F96">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1E0B36DB">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4DAE8D61">
      <w:pPr>
        <w:pStyle w:val="2"/>
        <w:bidi w:val="0"/>
        <w:rPr>
          <w:rFonts w:hint="eastAsia"/>
          <w:color w:val="auto"/>
          <w:highlight w:val="none"/>
          <w:lang w:val="en-US" w:eastAsia="zh-CN"/>
        </w:rPr>
      </w:pPr>
      <w:r>
        <w:rPr>
          <w:rFonts w:hint="eastAsia"/>
          <w:color w:val="auto"/>
          <w:highlight w:val="none"/>
          <w:lang w:val="en-US" w:eastAsia="zh-CN"/>
        </w:rPr>
        <w:t>1.部门主要职能</w:t>
      </w:r>
    </w:p>
    <w:p w14:paraId="2ADCD970">
      <w:pPr>
        <w:ind w:firstLine="560"/>
        <w:rPr>
          <w:color w:val="auto"/>
          <w:highlight w:val="none"/>
        </w:rPr>
      </w:pPr>
      <w:r>
        <w:rPr>
          <w:rFonts w:hint="eastAsia"/>
          <w:color w:val="auto"/>
          <w:szCs w:val="28"/>
          <w:highlight w:val="none"/>
          <w:lang w:val="en-US" w:eastAsia="zh-CN"/>
        </w:rPr>
        <w:t>和静县本级党委宣传部</w:t>
      </w:r>
      <w:r>
        <w:rPr>
          <w:rFonts w:hint="eastAsia"/>
          <w:color w:val="auto"/>
          <w:szCs w:val="28"/>
          <w:highlight w:val="none"/>
        </w:rPr>
        <w:t>为公务员管理的正科级单位，主要职责是：</w:t>
      </w:r>
      <w:r>
        <w:rPr>
          <w:rFonts w:hint="default" w:ascii="仿宋" w:hAnsi="仿宋" w:eastAsia="仿宋" w:cs="Times New Roman"/>
          <w:color w:val="auto"/>
          <w:kern w:val="2"/>
          <w:sz w:val="28"/>
          <w:szCs w:val="24"/>
          <w:highlight w:val="none"/>
          <w:lang w:val="en-US" w:eastAsia="zh-CN" w:bidi="ar-SA"/>
        </w:rPr>
        <w:t>和静县党委宣传部是党委主管意识形态领域工作的综合职能部门，挂新闻出版局（县版权局）、县精神文明建设指导委员会办公室、县人民政府新闻办公室牌子。主要职能是：负责指导全县理论学习、理论宣传、理论研究工作；引导社会舆论，指导、协调全县新闻工作；负责从宏观上指导精神产品的生产；负责对外宣传工作的组织、指导、协调、管理；负责规划、领导全县的思想政治工作和群众的社会主义精神文明建设工作；负责提出全县宣传思想文化事业发展的方针，规划、部署全县宣传思想工作。县委宣传部下设2个事业单位，分别是：宣传文化产品鉴定中心、文化市场管理（扫黄打非）办公室，与和静县社会科学界联合会、和静县文学艺术界联合会合署办公。</w:t>
      </w:r>
    </w:p>
    <w:p w14:paraId="50B9CE5B">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14:paraId="0C1B474D">
      <w:pPr>
        <w:bidi w:val="0"/>
        <w:rPr>
          <w:rFonts w:hint="eastAsia" w:ascii="仿宋" w:hAnsi="仿宋" w:eastAsia="仿宋" w:cs="Times New Roman"/>
          <w:color w:val="auto"/>
          <w:kern w:val="2"/>
          <w:sz w:val="28"/>
          <w:szCs w:val="24"/>
          <w:highlight w:val="none"/>
          <w:lang w:val="en-US" w:eastAsia="zh-CN" w:bidi="ar-SA"/>
        </w:rPr>
      </w:pPr>
      <w:r>
        <w:rPr>
          <w:rFonts w:hint="eastAsia" w:ascii="仿宋" w:hAnsi="仿宋" w:eastAsia="仿宋" w:cs="Times New Roman"/>
          <w:color w:val="auto"/>
          <w:kern w:val="2"/>
          <w:sz w:val="28"/>
          <w:szCs w:val="24"/>
          <w:highlight w:val="none"/>
          <w:lang w:val="en-US" w:eastAsia="zh-CN" w:bidi="ar-SA"/>
        </w:rPr>
        <w:t>中共和静县委员会宣传部无下属预算单位，下设3个科室，分别是：行政办公室、意识形态工作办公室、公民道德建设和文明创建办公室。中共和静县委员会宣传部编制数21，实有人数24人，其中：在职19人；退休5人</w:t>
      </w:r>
      <w:r>
        <w:rPr>
          <w:rFonts w:hint="eastAsia" w:ascii="仿宋" w:hAnsi="仿宋" w:cs="Times New Roman"/>
          <w:color w:val="auto"/>
          <w:kern w:val="2"/>
          <w:sz w:val="28"/>
          <w:szCs w:val="24"/>
          <w:highlight w:val="none"/>
          <w:lang w:val="en-US" w:eastAsia="zh-CN" w:bidi="ar-SA"/>
        </w:rPr>
        <w:t>。</w:t>
      </w:r>
    </w:p>
    <w:p w14:paraId="6422D4BF">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14:paraId="28CDFE97">
      <w:pPr>
        <w:bidi w:val="0"/>
        <w:rPr>
          <w:rFonts w:hint="eastAsia"/>
          <w:color w:val="auto"/>
          <w:highlight w:val="none"/>
          <w:lang w:val="en-US" w:eastAsia="zh-CN"/>
        </w:rPr>
      </w:pPr>
      <w:r>
        <w:rPr>
          <w:rFonts w:hint="eastAsia"/>
          <w:color w:val="auto"/>
          <w:highlight w:val="none"/>
          <w:lang w:val="en-US" w:eastAsia="zh-CN"/>
        </w:rPr>
        <w:t>1、深化“文化润疆”工作，不断改善和提高公共文化服务质量</w:t>
      </w:r>
    </w:p>
    <w:p w14:paraId="2CB82536">
      <w:pPr>
        <w:bidi w:val="0"/>
        <w:rPr>
          <w:rFonts w:hint="eastAsia"/>
          <w:color w:val="auto"/>
          <w:highlight w:val="none"/>
          <w:lang w:val="en-US" w:eastAsia="zh-CN"/>
        </w:rPr>
      </w:pPr>
      <w:r>
        <w:rPr>
          <w:rFonts w:hint="eastAsia"/>
          <w:color w:val="auto"/>
          <w:highlight w:val="none"/>
          <w:lang w:val="en-US" w:eastAsia="zh-CN"/>
        </w:rPr>
        <w:t>不断丰富优质文化供给。一是依托国家文化大数据体系建设工程，推进文化资源共享和数字化建设，完善县、乡（镇）、村（社区）三级公共文化服务网络。推动全县公共文化馆、美术馆、图书馆数字化平台建设。二是优化文化场馆免费开放时间，全面实施错时、延时，节假日开放政策，不断提高文化馆、图书馆、美术馆、博物馆、乡镇综合文化站开放服务水平。三是认真落实“东风工程”、农家书屋等文化惠民工程相关要求，配合推动农家书屋，有针对性地提供群众喜爱的各语种出版物，开展各类大型阅读活动53场，参与活动人数1.6万余人次。四是做好农村公益电影放映工作，目前已放映900场。五是以传统节日为抓手，扩大文化辐射面，着力抓好“我们的中国梦—文化进万家”文化活动进基层、进企业、进军营、进社区、进学校，组织开展全县各大中小型文化活动，如春晚、非遗春晚、元宵节社火、草莓节、“最美童声”少儿歌手大赛、“石榴花开 舞动和静”广场舞大赛、百日广场主题文化活动、文化下乡等丰富多彩、群众喜闻乐见的各类文化活动。截至目前，东归文化馆、图书馆、美术馆、乌兰牧骑队及各乡镇、村（社区）共开展各类文化活动985场次，受益群众达46万余人次。六是加强文艺精品创作，今年共创作小品1部、精品歌曲3首，其中歌曲《都是一家人》作为自治区十四运主题歌曲在开幕式上激情唱响。七是加快发展现代文化产业，加快推进电影《万里东归（暂用名）》筹备进程；加快推进奶茶文化展示博物馆、和静县体育公园建设项目。</w:t>
      </w:r>
    </w:p>
    <w:p w14:paraId="47F8C14F">
      <w:pPr>
        <w:bidi w:val="0"/>
        <w:rPr>
          <w:rFonts w:hint="eastAsia"/>
          <w:color w:val="auto"/>
          <w:highlight w:val="none"/>
          <w:lang w:val="en-US" w:eastAsia="zh-CN"/>
        </w:rPr>
      </w:pPr>
      <w:r>
        <w:rPr>
          <w:rFonts w:hint="eastAsia"/>
          <w:color w:val="auto"/>
          <w:highlight w:val="none"/>
          <w:lang w:val="en-US" w:eastAsia="zh-CN"/>
        </w:rPr>
        <w:t>推动文化交流互鉴。一是推进和静与河北省邯郸市开展多层次、多形式双向交流，县东归乌兰牧骑队积极开展春雨工程—河北新疆优秀群众文艺作品合作交流巡演活动，加强了两地多领域、多方位、多角度的文化交流与合作。二是配合做好“新疆是个好地方—对口援疆19省市非物质文化遗产展”等展示交流活动，推动文化交流交融。三是加强与河北省中小学共建，组织全县各学校30余名各族学生赴河北省开展“石榴花开心向党 青春奋进国旗下”研学活动，组织学生参加“2023年三峡娃娃行水电夏令营”活动，先后与邯郸市钢苑中学等22所学校结成共建学校，学校间结对率达到100%，进一步增强两地青少年交往交流交融。四是构建各民族互嵌式社会结构和社区环境。目前已构建互嵌式村、社区60个（互嵌式社区比例达到97.5%）。民汉学生混班混宿率均为100%，有效促进各族学生交往交流交融、共同成长。五是实施“旅游兴县”计划，深入挖掘和静特色文化旅游资源，推进全域旅游产品培育提升，不断丰富旅游业态。积极开展旅游推介活动，努力吸引疆内外游客，先后在乌鲁木齐、西安、石家庄、北京举办旅游推介会，并与各大旅行社签订游客引流协议。2023年以来共接待游客475.42万人次，实现旅游收入20.85亿元。</w:t>
      </w:r>
    </w:p>
    <w:p w14:paraId="344E90F5">
      <w:pPr>
        <w:bidi w:val="0"/>
        <w:rPr>
          <w:rFonts w:hint="eastAsia"/>
          <w:color w:val="auto"/>
          <w:highlight w:val="none"/>
          <w:lang w:val="en-US" w:eastAsia="zh-CN"/>
        </w:rPr>
      </w:pPr>
      <w:r>
        <w:rPr>
          <w:rFonts w:hint="eastAsia"/>
          <w:color w:val="auto"/>
          <w:highlight w:val="none"/>
          <w:lang w:val="en-US" w:eastAsia="zh-CN"/>
        </w:rPr>
        <w:t>2、壮大主流舆论，传播好和静声音</w:t>
      </w:r>
    </w:p>
    <w:p w14:paraId="06DEFE8B">
      <w:pPr>
        <w:bidi w:val="0"/>
        <w:rPr>
          <w:rFonts w:hint="eastAsia"/>
          <w:color w:val="auto"/>
          <w:highlight w:val="none"/>
          <w:lang w:val="en-US" w:eastAsia="zh-CN"/>
        </w:rPr>
      </w:pPr>
      <w:r>
        <w:rPr>
          <w:rFonts w:hint="eastAsia"/>
          <w:color w:val="auto"/>
          <w:highlight w:val="none"/>
          <w:lang w:val="en-US" w:eastAsia="zh-CN"/>
        </w:rPr>
        <w:t>坚持正确舆论导向。组织策划“全面学习宣传贯彻党的二十大精神”“党建引领”“新时代文明实践”等专题报道，持续办好“全面深入学习贯彻党的二十大精神”专栏，制作“学习宣传贯彻党的二十大精神 文明实践微宣讲”“党的二十大报告金句诵读”等新媒体产品深化党的二十大精神宣传阐释。创作发布《追随红色印记——和静县“石榴花 最美家庭”走进西柏坡》《新疆和静：牧草丰收 牧民为牲畜备足越冬“口粮”》等优质原创稿件37条，广播、电视同步报道相关新闻32条，制作短视频15部，海报15张。新闻报道《铸牢中华民族共同体意识 凝聚推进乡村振兴强大合力》获新疆网、网易新闻等媒体发布，充分展现了全县各族群众团结和谐的精神风貌。深化国防教育和爱国主义教育，持续传递爱党爱国热情，引导各族干部群众赓续红色血脉，传承红色基因。</w:t>
      </w:r>
    </w:p>
    <w:p w14:paraId="4081E9C5">
      <w:pPr>
        <w:bidi w:val="0"/>
        <w:rPr>
          <w:rFonts w:hint="eastAsia"/>
          <w:color w:val="auto"/>
          <w:highlight w:val="none"/>
          <w:lang w:val="en-US" w:eastAsia="zh-CN"/>
        </w:rPr>
      </w:pPr>
      <w:r>
        <w:rPr>
          <w:rFonts w:hint="eastAsia"/>
          <w:color w:val="auto"/>
          <w:highlight w:val="none"/>
          <w:lang w:val="en-US" w:eastAsia="zh-CN"/>
        </w:rPr>
        <w:t>聚焦主题广泛宣传。持续办好“新思想引领新征程”“丝路山水　壮美巴州”等专栏专题，做好中央经济工作会议、农村工作会议、二十届二中全会、全国两会等重要会议和中央、自治区一号文件等重要政策解读。切实做好依法治疆、民族团结、乡村振兴、民生改善等重点工作宣传报道。开设“稳经济·促发展·强信心”等专栏，推出2022年和静经济发展成就系列报道，集中推出系列权威访谈25期，凝聚起抓实抓细经济工作会议各项任务要求的共识和力量。新闻作品《天山胜利隧道出口端中导洞掘进九公里》《巴州首个固废料环保气膜仓充膜成功》《新疆和静县千余亩洋葱长势旺》被“学习强国”平台、新疆网、网易新闻等主流媒体广泛发布，充分展现和静产业蓬勃发展、人民群众奋发进取的精神风貌。</w:t>
      </w:r>
    </w:p>
    <w:p w14:paraId="197AAA82">
      <w:pPr>
        <w:bidi w:val="0"/>
        <w:rPr>
          <w:rFonts w:hint="eastAsia"/>
          <w:color w:val="auto"/>
          <w:highlight w:val="none"/>
          <w:lang w:val="en-US" w:eastAsia="zh-CN"/>
        </w:rPr>
      </w:pPr>
      <w:r>
        <w:rPr>
          <w:rFonts w:hint="eastAsia"/>
          <w:color w:val="auto"/>
          <w:highlight w:val="none"/>
          <w:lang w:val="en-US" w:eastAsia="zh-CN"/>
        </w:rPr>
        <w:t>媒体融合成效明显。以“和静好地方”APP客户端为中心，整合媒体传播渠道和资源，构建以手机客户端、广播、电视、微信、微博、抖音、政府网站（新闻版块）等多平台为一体的新媒体传播矩阵。制作发布广播电视新闻368条，在“和静零距离”微信公众号发布相关稿件738条，“和静好地方”APP发布相关稿件1500余条，策划创作短视频作品“和静零距离”视频号作品640部、“和静融媒”抖音号作品520部。制作《“融媒体”绘就民族团结最大同心圆》《守正创新融“和”未来》等专题片8部；在广播电台电视“今日和静”“和静新闻”自办栏目制作宣传《我县举办第三届“传承中华文化·培育时代新人”》等相关宣传内容18条。开展春晚、元宵、草莓文化节等网络直播25场，播出各类公益广告1900余次。创作阅读量百万+作品11篇，《2023年航拍“我的美丽家乡”新疆和静：达愣达阪“玉带”蜿蜒盘绕山岭》浏览量436万，点赞量4.4万。今年以来，在各主流媒体平台刊发稿件13027篇，其中中央级媒体1914篇，自治区级媒体1253篇，其他媒体平台9779篇，汇聚起推动和静主流舆论高质量发展的磅礴力量，宣传力度受益人数达15000人，项目实施及时率达95%以上。</w:t>
      </w:r>
    </w:p>
    <w:p w14:paraId="4410AEF4">
      <w:pPr>
        <w:bidi w:val="0"/>
        <w:rPr>
          <w:rFonts w:hint="eastAsia"/>
          <w:color w:val="auto"/>
          <w:highlight w:val="none"/>
          <w:lang w:val="en-US" w:eastAsia="zh-CN"/>
        </w:rPr>
      </w:pPr>
      <w:r>
        <w:rPr>
          <w:rFonts w:hint="eastAsia"/>
          <w:color w:val="auto"/>
          <w:highlight w:val="none"/>
          <w:lang w:val="en-US" w:eastAsia="zh-CN"/>
        </w:rPr>
        <w:t>3、弘扬社会主义核心价值观，不断培育文明新风尚</w:t>
      </w:r>
    </w:p>
    <w:p w14:paraId="3831D5DD">
      <w:pPr>
        <w:bidi w:val="0"/>
        <w:rPr>
          <w:rFonts w:hint="eastAsia"/>
          <w:color w:val="auto"/>
          <w:highlight w:val="none"/>
          <w:lang w:val="en-US" w:eastAsia="zh-CN"/>
        </w:rPr>
      </w:pPr>
      <w:r>
        <w:rPr>
          <w:rFonts w:hint="eastAsia"/>
          <w:color w:val="auto"/>
          <w:highlight w:val="none"/>
          <w:lang w:val="en-US" w:eastAsia="zh-CN"/>
        </w:rPr>
        <w:t>主流思想深入人心。一是推动社会主义核心价值观走进社会生活、融入社会治理，深化中国特色社会主义和中国梦宣传教育，大力弘扬民族精神和时代精神。二是制定下发《和静县贯彻落实自治区、自治州&lt;关于加强新疆哲学社会科学工作的意见&gt;实施方案重点任务责任清单》，贯彻落实《自治区社会科学普及条例》，征集2023年度社科课题选题53个，推荐社科普及专家、指导员、宣传员123名。深入开展社科普及活动，推荐东归图书馆争创自治区第八批社科普及基地，申报和静县“永远跟党走”巡回宣讲团习近平新时代中国特色社会主义思想理论宣讲重点项目。推荐上报2片“新疆维吾尔自治区社科普及优秀案例”。三是贯彻落实《新时代公民道德建设实施纲要》，积极选树各级各类道德模范、身边好人、文明家庭和“新时代好少年”先进典范，推荐表彰自治州道德模范2名、自治州文明家庭2名、自治州“新时代好少年”2名，积极推荐第八届自治区道德模范、“新疆好人”“新时代好少年”、学雷锋示范点和岗位标兵等各级各类先进典型16人。创新开展道德模范巡演巡讲、事迹报告会、“美德榜”展示活动，组织全县20余名先进典型人物参与拍摄正能量短视频。和静县和静镇鸿雁社区被评为2023年自治区“最美志愿服务社区”，该社区居民公约同巴润哈尔莫敦镇呼青衙门村村规民约被评为自治区第三届优秀居民公约和村规民约。召开“文明新风进万家 六大习惯贵养成”专项文明行动示范观摩会，策划拍摄《和静县移风易俗三句半》短视频。四是以文明校园创建活动为载体，强化国家通用语言文字普及，紧紧抓住青少年阶段“拔节孕穗期”，把思政教育作为“一把手”工程，党政主要领导带头联系学校，同上一堂思政课，助力青少年成为堪当民族复兴重任的时代新人。全县兴起崇德向善、见贤思齐的良好社会风气。</w:t>
      </w:r>
    </w:p>
    <w:p w14:paraId="70DA4F4B">
      <w:pPr>
        <w:bidi w:val="0"/>
        <w:rPr>
          <w:rFonts w:hint="eastAsia"/>
          <w:color w:val="auto"/>
          <w:highlight w:val="none"/>
          <w:lang w:val="en-US" w:eastAsia="zh-CN"/>
        </w:rPr>
      </w:pPr>
      <w:r>
        <w:rPr>
          <w:rFonts w:hint="eastAsia"/>
          <w:color w:val="auto"/>
          <w:highlight w:val="none"/>
          <w:lang w:val="en-US" w:eastAsia="zh-CN"/>
        </w:rPr>
        <w:t>文明创建有形有感。抽调人员充实创建文明城市办公室力量，制定《和静县争创全国文明城市提名城市任务清单》，对任务清单进行责任细化、分解。制定印发《创建文明城市实地考察问题清单》，通过强化日常督促，不断推进创建工作扎实开展。在“我的巴州”APP、“和静零距离”公众号、“和静融媒”抖音账号发布《文明城市应知应会》，不断提高干部群众的知晓率和参与率。组织召开自治区精神文明建设信息管理平台培训会等业务培训5场次，培训人数600余人次。督促28个自治区文明单位、6个自治区文明村镇、4个自治区文明校园、1个自治区文明家庭完成“新疆精神文明建设信息管理平台”网上申报工作。组织召开自治区文明城市复查工作推进会，确定全县33处测评点位，对实地考察测评点位进行细致培训和讲解，文明创建工作稳步推进。</w:t>
      </w:r>
    </w:p>
    <w:p w14:paraId="45487ED2">
      <w:pPr>
        <w:bidi w:val="0"/>
        <w:rPr>
          <w:rFonts w:hint="eastAsia"/>
          <w:color w:val="auto"/>
          <w:highlight w:val="none"/>
          <w:lang w:val="en-US" w:eastAsia="zh-CN"/>
        </w:rPr>
      </w:pPr>
      <w:r>
        <w:rPr>
          <w:rFonts w:hint="eastAsia"/>
          <w:color w:val="auto"/>
          <w:highlight w:val="none"/>
          <w:lang w:val="en-US" w:eastAsia="zh-CN"/>
        </w:rPr>
        <w:t>文明实践笃行见效。成立和静县新时代文明实践促进中心，建立健全新时代文明实践中心主任办公会议制度、联席会议、通报约谈等制度，制定新时代文明实践“三单”，即：重点工作项目清单、县乡村三级党组织书记重点任务清单和每月活动菜单。组织各级文明单位与新时代文明实践中心（所、站、点）结对共建，建立健全“三包”工作机制，全县各级领导干部落实“包所—包站—包点”制度。拓展延伸124个新时代文明实践点，将县文化馆、图书馆、博物馆等9处打造为新时代文明实践基地。培育“马背志愿服务”“红色文艺轻骑兵”“书墨飘香”流动书屋、“鸿雁大妈”“情暖夕阳”“助学圆梦”“石榴花开耀天山”等一批辨识度高、生命力强的志愿服务品牌项目，全县组建志愿服务队伍249支1.8万余人，利用新时代文明实践主题日、主题月，开展学雷锋、爱心助考等志愿服务活动3000余场，服务群众10余万人，强信心、聚民心、暖人心、筑同心作用发挥显著。</w:t>
      </w:r>
    </w:p>
    <w:p w14:paraId="257C758A">
      <w:pPr>
        <w:bidi w:val="0"/>
        <w:rPr>
          <w:rFonts w:hint="eastAsia"/>
          <w:color w:val="auto"/>
          <w:highlight w:val="none"/>
          <w:lang w:val="en-US" w:eastAsia="zh-CN"/>
        </w:rPr>
      </w:pPr>
      <w:r>
        <w:rPr>
          <w:rFonts w:hint="eastAsia"/>
          <w:color w:val="auto"/>
          <w:highlight w:val="none"/>
          <w:lang w:val="en-US" w:eastAsia="zh-CN"/>
        </w:rPr>
        <w:t>4、持续优化旅游环境，助推旅游品质提档升级。</w:t>
      </w:r>
    </w:p>
    <w:p w14:paraId="6D59C544">
      <w:pPr>
        <w:bidi w:val="0"/>
        <w:rPr>
          <w:rFonts w:hint="eastAsia"/>
          <w:color w:val="auto"/>
          <w:highlight w:val="none"/>
          <w:lang w:val="en-US" w:eastAsia="zh-CN"/>
        </w:rPr>
      </w:pPr>
      <w:r>
        <w:rPr>
          <w:rFonts w:hint="eastAsia"/>
          <w:color w:val="auto"/>
          <w:highlight w:val="none"/>
          <w:lang w:val="en-US" w:eastAsia="zh-CN"/>
        </w:rPr>
        <w:t>依法整治和规范旅游市场秩序，优化旅游环境，制定《和静县“同心护旅”专项行动方案》，建立台账，成立专班组，进一步完善旅游、公安、市场监督、卫生健康等部门相互联动的全域旅游执法体系，建立旅游市场综合监管“责任清单”，推行旅游市场秩序综合监管。在北京、西安、石家庄等地多次举办旅游推介会，与各大旅行社签订引进游客协议书60份，打造2条乡村旅游精品线路，初步设计和静县旅游IP形象和8个类型文创产品。举办那达慕大会、山花节、蘑菇节等具有和静特色的活动192场次，截至目前，共接待游客322.40万人次。旅游环境、旅游服务、旅游品质进一步提升，不断擦亮和静特色旅游名片。</w:t>
      </w:r>
    </w:p>
    <w:p w14:paraId="28B41A3A">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14:paraId="6BBF73C1">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15B49235">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720C7FA8">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我单位年初预算数为358.34万元，实际预算执行数358.34万元，预算执行率为100%。</w:t>
      </w:r>
    </w:p>
    <w:p w14:paraId="6E0650A0">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61D3AFF7">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全年预算数为414.58万元，全年实际支出资金414.58万元，预算执行率为100%。</w:t>
      </w:r>
    </w:p>
    <w:p w14:paraId="2205AABD">
      <w:pPr>
        <w:pStyle w:val="2"/>
        <w:bidi w:val="0"/>
        <w:rPr>
          <w:rFonts w:hint="eastAsia"/>
          <w:color w:val="auto"/>
          <w:highlight w:val="none"/>
          <w:lang w:val="en-US" w:eastAsia="zh-CN"/>
        </w:rPr>
      </w:pPr>
      <w:r>
        <w:rPr>
          <w:rFonts w:hint="eastAsia"/>
          <w:color w:val="auto"/>
          <w:highlight w:val="none"/>
          <w:lang w:val="en-US" w:eastAsia="zh-CN"/>
        </w:rPr>
        <w:t>2.预算调整（追加减）情况</w:t>
      </w:r>
    </w:p>
    <w:p w14:paraId="47BFCE6E">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358.34</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56.24</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414.58</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15.7</w:t>
      </w:r>
      <w:r>
        <w:rPr>
          <w:rFonts w:hint="eastAsia" w:ascii="Times New Roman" w:hAnsi="Times New Roman" w:cs="Times New Roman"/>
          <w:bCs/>
          <w:color w:val="auto"/>
          <w:highlight w:val="none"/>
          <w:lang w:eastAsia="zh-CN"/>
        </w:rPr>
        <w:t>%。（预算调整率=</w:t>
      </w:r>
      <w:r>
        <w:rPr>
          <w:rFonts w:hint="eastAsia" w:ascii="Times New Roman" w:hAnsi="Times New Roman" w:cs="Times New Roman"/>
          <w:bCs/>
          <w:color w:val="auto"/>
          <w:highlight w:val="none"/>
          <w:lang w:val="en-US" w:eastAsia="zh-CN"/>
        </w:rPr>
        <w:t>56.24</w:t>
      </w:r>
      <w:r>
        <w:rPr>
          <w:rFonts w:hint="eastAsia" w:ascii="Times New Roman" w:hAnsi="Times New Roman" w:cs="Times New Roman"/>
          <w:bCs/>
          <w:color w:val="auto"/>
          <w:highlight w:val="none"/>
          <w:lang w:eastAsia="zh-CN"/>
        </w:rPr>
        <w:t>/</w:t>
      </w:r>
      <w:r>
        <w:rPr>
          <w:rFonts w:hint="eastAsia" w:ascii="Times New Roman" w:hAnsi="Times New Roman" w:cs="Times New Roman"/>
          <w:bCs/>
          <w:color w:val="auto"/>
          <w:highlight w:val="none"/>
          <w:lang w:val="en-US" w:eastAsia="zh-CN"/>
        </w:rPr>
        <w:t>358.34</w:t>
      </w:r>
      <w:r>
        <w:rPr>
          <w:rFonts w:hint="eastAsia" w:ascii="Times New Roman" w:hAnsi="Times New Roman" w:cs="Times New Roman"/>
          <w:bCs/>
          <w:color w:val="auto"/>
          <w:highlight w:val="none"/>
          <w:lang w:eastAsia="zh-CN"/>
        </w:rPr>
        <w:t>*100%=</w:t>
      </w:r>
      <w:r>
        <w:rPr>
          <w:rFonts w:hint="eastAsia" w:ascii="Times New Roman" w:hAnsi="Times New Roman" w:cs="Times New Roman"/>
          <w:bCs/>
          <w:color w:val="auto"/>
          <w:highlight w:val="none"/>
          <w:lang w:val="en-US" w:eastAsia="zh-CN"/>
        </w:rPr>
        <w:t>15.7</w:t>
      </w:r>
      <w:r>
        <w:rPr>
          <w:rFonts w:hint="eastAsia" w:ascii="Times New Roman" w:hAnsi="Times New Roman" w:cs="Times New Roman"/>
          <w:bCs/>
          <w:color w:val="auto"/>
          <w:highlight w:val="none"/>
          <w:lang w:eastAsia="zh-CN"/>
        </w:rPr>
        <w:t>%）。</w:t>
      </w:r>
      <w:bookmarkStart w:id="6" w:name="_GoBack"/>
      <w:bookmarkEnd w:id="6"/>
    </w:p>
    <w:p w14:paraId="298C2934">
      <w:pPr>
        <w:pStyle w:val="2"/>
        <w:rPr>
          <w:rFonts w:hint="default"/>
          <w:color w:val="auto"/>
          <w:highlight w:val="none"/>
          <w:lang w:val="en-US" w:eastAsia="zh-CN"/>
        </w:rPr>
      </w:pPr>
      <w:r>
        <w:rPr>
          <w:rFonts w:hint="default"/>
          <w:color w:val="auto"/>
          <w:highlight w:val="none"/>
          <w:lang w:val="en-US" w:eastAsia="zh-CN"/>
        </w:rPr>
        <w:t>3.资金使用主要内容、涉及的范围</w:t>
      </w:r>
    </w:p>
    <w:p w14:paraId="23E49317">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414.58</w:t>
      </w:r>
      <w:r>
        <w:rPr>
          <w:rFonts w:hint="default"/>
          <w:color w:val="auto"/>
          <w:highlight w:val="none"/>
          <w:lang w:val="en-US" w:eastAsia="zh-CN"/>
        </w:rPr>
        <w:t>万元，其中：</w:t>
      </w:r>
    </w:p>
    <w:p w14:paraId="4017E9CC">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328.31</w:t>
      </w:r>
      <w:r>
        <w:rPr>
          <w:rFonts w:hint="default"/>
          <w:color w:val="auto"/>
          <w:highlight w:val="none"/>
          <w:lang w:val="en-US" w:eastAsia="zh-CN"/>
        </w:rPr>
        <w:t>万元，资金的使用方向为我单位机关人员经费支出</w:t>
      </w:r>
      <w:r>
        <w:rPr>
          <w:rFonts w:hint="eastAsia"/>
          <w:color w:val="auto"/>
          <w:highlight w:val="none"/>
          <w:lang w:val="en-US" w:eastAsia="zh-CN"/>
        </w:rPr>
        <w:t>318.78</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9.53</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14:paraId="3C1BB561">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86.26</w:t>
      </w:r>
      <w:r>
        <w:rPr>
          <w:rFonts w:hint="default"/>
          <w:color w:val="auto"/>
          <w:highlight w:val="none"/>
          <w:lang w:val="en-US" w:eastAsia="zh-CN"/>
        </w:rPr>
        <w:t>万元，主要用于保障对外宣传工作经费项目、少数民族地区和边疆地区文化安全补助资金项目、中央补助地方公共文化服务体系建设补助资金项目等项目支出。</w:t>
      </w:r>
    </w:p>
    <w:p w14:paraId="4CD5D156">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1556BDFB">
      <w:pPr>
        <w:pStyle w:val="4"/>
        <w:bidi w:val="0"/>
        <w:rPr>
          <w:rFonts w:hint="eastAsia"/>
          <w:color w:val="auto"/>
          <w:highlight w:val="none"/>
          <w:lang w:val="en-US" w:eastAsia="zh-CN"/>
        </w:rPr>
      </w:pPr>
      <w:r>
        <w:rPr>
          <w:rFonts w:hint="eastAsia"/>
          <w:color w:val="auto"/>
          <w:highlight w:val="none"/>
          <w:lang w:val="en-US" w:eastAsia="zh-CN"/>
        </w:rPr>
        <w:t>（一）基本支出和使用情况</w:t>
      </w:r>
    </w:p>
    <w:p w14:paraId="66D0F5F4">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328.31万元，全年实际支出328.31万元，资金执行率100%。基本支出严格按照财务管理制度执行，其中：</w:t>
      </w:r>
    </w:p>
    <w:p w14:paraId="27614039">
      <w:pPr>
        <w:bidi w:val="0"/>
        <w:rPr>
          <w:rFonts w:hint="eastAsia"/>
          <w:color w:val="auto"/>
          <w:highlight w:val="none"/>
          <w:lang w:val="en-US" w:eastAsia="zh-CN"/>
        </w:rPr>
      </w:pPr>
      <w:r>
        <w:rPr>
          <w:rFonts w:hint="eastAsia"/>
          <w:color w:val="auto"/>
          <w:highlight w:val="none"/>
          <w:lang w:val="en-US" w:eastAsia="zh-CN"/>
        </w:rPr>
        <w:t>人员经费支出318.78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14:paraId="6997FFB6">
      <w:pPr>
        <w:bidi w:val="0"/>
        <w:rPr>
          <w:rFonts w:hint="eastAsia"/>
          <w:color w:val="auto"/>
          <w:highlight w:val="none"/>
          <w:lang w:val="en-US" w:eastAsia="zh-CN"/>
        </w:rPr>
      </w:pPr>
      <w:r>
        <w:rPr>
          <w:rFonts w:hint="eastAsia"/>
          <w:color w:val="auto"/>
          <w:highlight w:val="none"/>
          <w:lang w:val="en-US" w:eastAsia="zh-CN"/>
        </w:rPr>
        <w:t>公用经费支出9.53万元，主要包括：办公费、印刷费、水费、电费、邮电费、取暖费、物业管理费、差旅费、培训费、公务接待费、工会经费、福利费、公务用车运行维护费、其他交通费用、其他商品和服务支出。</w:t>
      </w:r>
    </w:p>
    <w:p w14:paraId="1984941A">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14:paraId="0B57E2AC">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14:paraId="52A46463">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项目支出预算86.26</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其中：上级专项资金13.19万元，本级财政资金73.07万元</w:t>
      </w:r>
      <w:r>
        <w:rPr>
          <w:rFonts w:hint="eastAsia"/>
          <w:color w:val="auto"/>
          <w:highlight w:val="none"/>
          <w:lang w:eastAsia="zh-CN"/>
        </w:rPr>
        <w:t>。</w:t>
      </w:r>
    </w:p>
    <w:p w14:paraId="1F26A2AD">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14:paraId="319328F6">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86.26万元，其中对外宣传工作经费73.07万元，少数民族地区和边疆地区文化安全补助资金1万元，中央补助地方公共文化服务体系建设补助资金12.19万元项目资金全部通过财政国库集中支付方式直接拨给项目实施单位。</w:t>
      </w:r>
    </w:p>
    <w:p w14:paraId="1659B09B">
      <w:pPr>
        <w:bidi w:val="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对项目制订工作方案，明确时间节点，开展项目规划设计、部署工作，认真落实项目任务。工作中突出重点，高标准规划、精细设计，积极宣传推介和静县，讲好和静故事，做大做强正面宣传，对外树立良好形象，不断提升县域旅游地和特色产品的知名度，为加快建设和谐精美地营造良好的外部环境。至少与5家媒体协作，全年刊发宣传稿件数不少于2000编。</w:t>
      </w:r>
    </w:p>
    <w:p w14:paraId="1AD42185">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14:paraId="7F1D721D">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度安排项目支出资金86.26万元，</w:t>
      </w:r>
      <w:r>
        <w:rPr>
          <w:rFonts w:hint="eastAsia"/>
          <w:color w:val="auto"/>
          <w:highlight w:val="none"/>
          <w:lang w:eastAsia="zh-CN"/>
        </w:rPr>
        <w:t>实际</w:t>
      </w:r>
      <w:r>
        <w:rPr>
          <w:rFonts w:hint="eastAsia"/>
          <w:color w:val="auto"/>
          <w:highlight w:val="none"/>
          <w:lang w:val="en-US" w:eastAsia="zh-CN"/>
        </w:rPr>
        <w:t>支出86.26</w:t>
      </w:r>
      <w:r>
        <w:rPr>
          <w:rFonts w:hint="eastAsia"/>
          <w:color w:val="auto"/>
          <w:highlight w:val="none"/>
          <w:lang w:eastAsia="zh-CN"/>
        </w:rPr>
        <w:t>万元，</w:t>
      </w:r>
      <w:r>
        <w:rPr>
          <w:rFonts w:hint="eastAsia"/>
          <w:color w:val="auto"/>
          <w:highlight w:val="none"/>
          <w:lang w:val="en-US" w:eastAsia="zh-CN"/>
        </w:rPr>
        <w:t>其中：上级专项资金支出12.19万元，本级财政安排项目资金支出73.07万元，项目预算资金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bookmarkStart w:id="2" w:name="_Toc1734_WPSOffice_Level1"/>
    </w:p>
    <w:p w14:paraId="25CA9CCA">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包括其他宣传事务支出</w:t>
      </w:r>
      <w:r>
        <w:rPr>
          <w:rFonts w:hint="eastAsia"/>
          <w:color w:val="auto"/>
          <w:highlight w:val="none"/>
          <w:lang w:val="en-US" w:eastAsia="zh-CN"/>
        </w:rPr>
        <w:t>73.07</w:t>
      </w:r>
      <w:r>
        <w:rPr>
          <w:rFonts w:hint="default"/>
          <w:color w:val="auto"/>
          <w:highlight w:val="none"/>
          <w:lang w:val="en-US" w:eastAsia="zh-CN"/>
        </w:rPr>
        <w:t>万元，其他文化旅游体育与传媒支出</w:t>
      </w:r>
      <w:r>
        <w:rPr>
          <w:rFonts w:hint="eastAsia"/>
          <w:color w:val="auto"/>
          <w:highlight w:val="none"/>
          <w:lang w:val="en-US" w:eastAsia="zh-CN"/>
        </w:rPr>
        <w:t>13.19</w:t>
      </w:r>
      <w:r>
        <w:rPr>
          <w:rFonts w:hint="default"/>
          <w:color w:val="auto"/>
          <w:highlight w:val="none"/>
          <w:lang w:val="en-US" w:eastAsia="zh-CN"/>
        </w:rPr>
        <w:t>万元</w:t>
      </w:r>
      <w:r>
        <w:rPr>
          <w:rFonts w:hint="eastAsia"/>
          <w:color w:val="auto"/>
          <w:highlight w:val="none"/>
          <w:lang w:val="en-US" w:eastAsia="zh-CN"/>
        </w:rPr>
        <w:t>。</w:t>
      </w:r>
    </w:p>
    <w:bookmarkEnd w:id="2"/>
    <w:p w14:paraId="665801C6">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187893AD">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7</w:t>
      </w:r>
      <w:r>
        <w:rPr>
          <w:rFonts w:hint="eastAsia"/>
          <w:color w:val="auto"/>
          <w:highlight w:val="none"/>
        </w:rPr>
        <w:t>个，三级指标</w:t>
      </w:r>
      <w:r>
        <w:rPr>
          <w:rFonts w:hint="eastAsia"/>
          <w:color w:val="auto"/>
          <w:highlight w:val="none"/>
          <w:lang w:val="en-US" w:eastAsia="zh-CN"/>
        </w:rPr>
        <w:t>7</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7</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7CEB183B">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一）项目支出预算执行率</w:t>
      </w:r>
      <w:r>
        <w:rPr>
          <w:rFonts w:hint="eastAsia"/>
          <w:color w:val="auto"/>
          <w:highlight w:val="none"/>
        </w:rPr>
        <w:t>指标完成情况分析</w:t>
      </w:r>
    </w:p>
    <w:p w14:paraId="545FE71D">
      <w:pPr>
        <w:bidi w:val="0"/>
        <w:rPr>
          <w:rFonts w:hint="eastAsia"/>
          <w:color w:val="auto"/>
          <w:highlight w:val="none"/>
          <w:lang w:val="en-US" w:eastAsia="zh-CN"/>
        </w:rPr>
      </w:pPr>
      <w:r>
        <w:rPr>
          <w:rFonts w:hint="eastAsia"/>
          <w:color w:val="auto"/>
          <w:highlight w:val="none"/>
          <w:lang w:val="en-US" w:eastAsia="zh-CN"/>
        </w:rPr>
        <w:t>项目支出预算执行率指标年初设定目标是100%，年中绩效运行监控时完成值30%，年终实际完成值是100%，指标完成率是100%，达到项目资金支出专人</w:t>
      </w:r>
      <w:r>
        <w:rPr>
          <w:rFonts w:hint="eastAsia"/>
          <w:color w:val="auto"/>
          <w:highlight w:val="none"/>
          <w:lang w:val="zh-TW" w:eastAsia="zh-TW"/>
        </w:rPr>
        <w:t>负责落实责任</w:t>
      </w:r>
      <w:r>
        <w:rPr>
          <w:rFonts w:hint="eastAsia"/>
          <w:color w:val="auto"/>
          <w:highlight w:val="none"/>
          <w:lang w:val="zh-TW" w:eastAsia="zh-CN"/>
        </w:rPr>
        <w:t>，</w:t>
      </w:r>
      <w:r>
        <w:rPr>
          <w:rFonts w:hint="eastAsia"/>
          <w:color w:val="auto"/>
          <w:highlight w:val="none"/>
          <w:lang w:val="zh-TW" w:eastAsia="zh-TW"/>
        </w:rPr>
        <w:t>准确掌握资金使用进度，积极完备相关资料，全力保障资金使用进度确保资金使用的安全性和高效</w:t>
      </w:r>
      <w:r>
        <w:rPr>
          <w:rFonts w:hint="eastAsia"/>
          <w:color w:val="auto"/>
          <w:highlight w:val="none"/>
          <w:lang w:val="en-US" w:eastAsia="zh-CN"/>
        </w:rPr>
        <w:t>的预期目标。偏差原因：无偏差。</w:t>
      </w:r>
    </w:p>
    <w:p w14:paraId="0F7991D7">
      <w:pPr>
        <w:pStyle w:val="4"/>
        <w:numPr>
          <w:ilvl w:val="0"/>
          <w:numId w:val="1"/>
        </w:numPr>
        <w:bidi w:val="0"/>
        <w:rPr>
          <w:rFonts w:hint="eastAsia"/>
          <w:color w:val="auto"/>
          <w:highlight w:val="none"/>
          <w:lang w:val="en-US" w:eastAsia="zh-CN"/>
        </w:rPr>
      </w:pPr>
      <w:r>
        <w:rPr>
          <w:rFonts w:hint="eastAsia"/>
          <w:color w:val="auto"/>
          <w:highlight w:val="none"/>
          <w:lang w:val="en-US" w:eastAsia="zh-CN"/>
        </w:rPr>
        <w:t>“三公经费”控制率指标完成情况分析</w:t>
      </w:r>
    </w:p>
    <w:p w14:paraId="20998B68">
      <w:pPr>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30%，年终实际完成值是100%，指标完成率是100%，达到认真落实中央八项规定，严格控制“三公经费”支出，节约办公经费的预期目标。偏差原因：无偏差。</w:t>
      </w:r>
    </w:p>
    <w:p w14:paraId="671E87B8">
      <w:pPr>
        <w:pStyle w:val="4"/>
        <w:numPr>
          <w:ilvl w:val="0"/>
          <w:numId w:val="1"/>
        </w:numPr>
        <w:bidi w:val="0"/>
        <w:rPr>
          <w:rFonts w:hint="eastAsia"/>
          <w:color w:val="auto"/>
          <w:highlight w:val="none"/>
          <w:lang w:val="en-US" w:eastAsia="zh-CN"/>
        </w:rPr>
      </w:pPr>
      <w:r>
        <w:rPr>
          <w:rFonts w:hint="eastAsia"/>
          <w:color w:val="auto"/>
          <w:highlight w:val="none"/>
          <w:lang w:val="en-US" w:eastAsia="zh-CN"/>
        </w:rPr>
        <w:t>项目实施及时率指标完成情况分析</w:t>
      </w:r>
    </w:p>
    <w:p w14:paraId="0638700E">
      <w:pPr>
        <w:rPr>
          <w:rFonts w:hint="eastAsia"/>
          <w:color w:val="auto"/>
          <w:highlight w:val="none"/>
          <w:lang w:val="en-US" w:eastAsia="zh-CN"/>
        </w:rPr>
      </w:pPr>
      <w:r>
        <w:rPr>
          <w:rFonts w:hint="eastAsia"/>
          <w:color w:val="auto"/>
          <w:highlight w:val="none"/>
          <w:lang w:val="en-US" w:eastAsia="zh-CN"/>
        </w:rPr>
        <w:t>项目实施及时率指标年初设定目标是≥95%，年中绩效运行监控时完成值95%，年终实际完成值是95%，指标完成率是100%，达到项目及时实施，能按期完成的预期目标。偏差原因：无偏差。</w:t>
      </w:r>
    </w:p>
    <w:p w14:paraId="443A75EE">
      <w:pPr>
        <w:pStyle w:val="4"/>
        <w:numPr>
          <w:ilvl w:val="0"/>
          <w:numId w:val="1"/>
        </w:numPr>
        <w:bidi w:val="0"/>
        <w:rPr>
          <w:rFonts w:hint="eastAsia"/>
          <w:color w:val="auto"/>
          <w:highlight w:val="none"/>
          <w:lang w:val="en-US" w:eastAsia="zh-CN"/>
        </w:rPr>
      </w:pPr>
      <w:r>
        <w:rPr>
          <w:rFonts w:hint="eastAsia"/>
          <w:color w:val="auto"/>
          <w:highlight w:val="none"/>
          <w:lang w:val="en-US" w:eastAsia="zh-CN"/>
        </w:rPr>
        <w:t>保障职工数量指标完成情况分析</w:t>
      </w:r>
    </w:p>
    <w:p w14:paraId="12C87542">
      <w:pPr>
        <w:rPr>
          <w:rFonts w:hint="eastAsia"/>
          <w:color w:val="auto"/>
          <w:highlight w:val="none"/>
          <w:lang w:val="en-US" w:eastAsia="zh-CN"/>
        </w:rPr>
      </w:pPr>
      <w:r>
        <w:rPr>
          <w:rFonts w:hint="eastAsia"/>
          <w:color w:val="auto"/>
          <w:highlight w:val="none"/>
          <w:lang w:val="en-US" w:eastAsia="zh-CN"/>
        </w:rPr>
        <w:t>保障职工数量指标年初设定目标是≤45人，年中绩效运行监控时完成值45人，年终实际完成值是45人，指标完成率是100%，达到了单位在职职工工资的按时足额发放，单位的正常运转，广大干部职工工作积极性提高的预期目标。偏差原因：无偏差。</w:t>
      </w:r>
    </w:p>
    <w:p w14:paraId="70E13B3E">
      <w:pPr>
        <w:pStyle w:val="4"/>
        <w:numPr>
          <w:ilvl w:val="0"/>
          <w:numId w:val="1"/>
        </w:numPr>
        <w:bidi w:val="0"/>
        <w:rPr>
          <w:rFonts w:hint="eastAsia"/>
          <w:color w:val="auto"/>
          <w:highlight w:val="none"/>
          <w:lang w:val="en-US" w:eastAsia="zh-CN"/>
        </w:rPr>
      </w:pPr>
      <w:r>
        <w:rPr>
          <w:rFonts w:hint="eastAsia"/>
          <w:color w:val="auto"/>
          <w:highlight w:val="none"/>
          <w:lang w:val="en-US" w:eastAsia="zh-CN"/>
        </w:rPr>
        <w:t>全年刊发宣传稿件数指标完成情况分析</w:t>
      </w:r>
    </w:p>
    <w:p w14:paraId="6CA735B8">
      <w:pPr>
        <w:rPr>
          <w:rFonts w:hint="eastAsia"/>
          <w:color w:val="auto"/>
          <w:highlight w:val="none"/>
          <w:lang w:val="en-US" w:eastAsia="zh-CN"/>
        </w:rPr>
      </w:pPr>
      <w:r>
        <w:rPr>
          <w:rFonts w:hint="eastAsia"/>
          <w:color w:val="auto"/>
          <w:highlight w:val="none"/>
          <w:lang w:val="en-US" w:eastAsia="zh-CN"/>
        </w:rPr>
        <w:t>全年刊发宣传稿件数指标年初设定目标是≥200件，年中绩效运行监控时完成值100件，年终实际完成值是200件，指标完成率是100%，达到积极宣传推介和静县，讲好和静故事，做大做强正面宣传，树立良好形象，不断提升县域旅游地和特色产品的知名度，建设和谐精美地营造良好的外部环境预期目标。偏差原因：无偏差。</w:t>
      </w:r>
    </w:p>
    <w:p w14:paraId="071E7B2D">
      <w:pPr>
        <w:pStyle w:val="4"/>
        <w:numPr>
          <w:ilvl w:val="0"/>
          <w:numId w:val="1"/>
        </w:numPr>
        <w:bidi w:val="0"/>
        <w:rPr>
          <w:rFonts w:hint="eastAsia"/>
          <w:color w:val="auto"/>
          <w:highlight w:val="none"/>
          <w:lang w:val="en-US" w:eastAsia="zh-CN"/>
        </w:rPr>
      </w:pPr>
      <w:r>
        <w:rPr>
          <w:rFonts w:hint="eastAsia"/>
          <w:color w:val="auto"/>
          <w:highlight w:val="none"/>
          <w:lang w:val="en-US" w:eastAsia="zh-CN"/>
        </w:rPr>
        <w:t>宣传力度受益人数</w:t>
      </w:r>
      <w:r>
        <w:rPr>
          <w:rFonts w:hint="eastAsia"/>
          <w:color w:val="auto"/>
          <w:highlight w:val="none"/>
          <w:lang w:val="en-US" w:eastAsia="zh-CN"/>
        </w:rPr>
        <w:tab/>
      </w:r>
      <w:r>
        <w:rPr>
          <w:rFonts w:hint="eastAsia"/>
          <w:color w:val="auto"/>
          <w:highlight w:val="none"/>
          <w:lang w:val="en-US" w:eastAsia="zh-CN"/>
        </w:rPr>
        <w:t>指标完成情况分析</w:t>
      </w:r>
    </w:p>
    <w:p w14:paraId="39E5BF83">
      <w:pPr>
        <w:rPr>
          <w:rFonts w:hint="eastAsia"/>
          <w:color w:val="auto"/>
          <w:highlight w:val="none"/>
          <w:lang w:val="en-US" w:eastAsia="zh-CN"/>
        </w:rPr>
      </w:pPr>
      <w:r>
        <w:rPr>
          <w:rFonts w:hint="eastAsia"/>
          <w:color w:val="auto"/>
          <w:highlight w:val="none"/>
          <w:lang w:val="en-US" w:eastAsia="zh-CN"/>
        </w:rPr>
        <w:t>宣传力度受益人数指标年初设定目标是≥15000人，年中绩效运行监控时完成值8000人，年终实际完成值是15000人，指标完成率是100%，达到积极宣传推介和静县，讲好和静故事，做大做强正面宣传，树立良好形象，不断提升县域旅游地和特色产品的知名度，建设和谐精美地营造良好的外部环境预期目标。偏差原因：无偏差。</w:t>
      </w:r>
    </w:p>
    <w:p w14:paraId="46CA35D4">
      <w:pPr>
        <w:pStyle w:val="4"/>
        <w:numPr>
          <w:ilvl w:val="0"/>
          <w:numId w:val="1"/>
        </w:numPr>
        <w:bidi w:val="0"/>
        <w:rPr>
          <w:rFonts w:hint="eastAsia"/>
          <w:color w:val="auto"/>
          <w:highlight w:val="none"/>
          <w:lang w:val="en-US" w:eastAsia="zh-CN"/>
        </w:rPr>
      </w:pPr>
      <w:r>
        <w:rPr>
          <w:rFonts w:hint="eastAsia"/>
          <w:color w:val="auto"/>
          <w:highlight w:val="none"/>
          <w:lang w:val="en-US" w:eastAsia="zh-CN"/>
        </w:rPr>
        <w:t>干部职工满意度指标完成情况分析</w:t>
      </w:r>
    </w:p>
    <w:p w14:paraId="60B379FB">
      <w:pPr>
        <w:rPr>
          <w:rFonts w:hint="eastAsia"/>
          <w:color w:val="auto"/>
          <w:highlight w:val="none"/>
          <w:lang w:val="en-US" w:eastAsia="zh-CN"/>
        </w:rPr>
      </w:pPr>
      <w:r>
        <w:rPr>
          <w:rFonts w:hint="eastAsia"/>
          <w:color w:val="auto"/>
          <w:highlight w:val="none"/>
          <w:lang w:val="en-US" w:eastAsia="zh-CN"/>
        </w:rPr>
        <w:t>干部职工满意度指标年初设定目标是≥95%，年中绩效运行监控时完成值未达到监控节点，年终实际完成值100%，指标完成率是100%，达到提高干部职工满意度，调动干部职工积极性预期目标。偏差原因：无偏差。</w:t>
      </w:r>
    </w:p>
    <w:p w14:paraId="520922F2">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14:paraId="2ECA9282">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14:paraId="50C861B2">
      <w:pPr>
        <w:bidi w:val="0"/>
        <w:rPr>
          <w:rFonts w:hint="eastAsia" w:eastAsia="仿宋"/>
          <w:color w:val="auto"/>
          <w:highlight w:val="none"/>
          <w:lang w:eastAsia="zh-CN"/>
        </w:rPr>
      </w:pPr>
      <w:r>
        <w:rPr>
          <w:rFonts w:hint="default" w:ascii="Times New Roman" w:hAnsi="Times New Roman" w:cs="Times New Roman"/>
          <w:color w:val="auto"/>
          <w:highlight w:val="none"/>
        </w:rPr>
        <w:t>2020至2021年根据中央、自治州以及县党委关于宣传工作的总体部署，结合我县对外开放以及宣传格局的实际，以习近平新时代中国特色社会主义思想为指导，以提高外宣工作质量为主线，以各类宣传活动为主阵地，坚持以项目集聚资源，以活动整合力量，创新方式，拓宽渠道。积极宣传推介和静县，讲好和静故事，做大做强正面宣传，对外</w:t>
      </w:r>
      <w:r>
        <w:rPr>
          <w:rFonts w:hint="eastAsia" w:ascii="Times New Roman" w:hAnsi="Times New Roman" w:cs="Times New Roman"/>
          <w:color w:val="auto"/>
          <w:highlight w:val="none"/>
          <w:lang w:eastAsia="zh-CN"/>
        </w:rPr>
        <w:t>树</w:t>
      </w:r>
      <w:r>
        <w:rPr>
          <w:rFonts w:hint="default" w:ascii="Times New Roman" w:hAnsi="Times New Roman" w:cs="Times New Roman"/>
          <w:color w:val="auto"/>
          <w:highlight w:val="none"/>
        </w:rPr>
        <w:t>立良好形象，不断提升县域旅游地和特色产品的知名度，为加快建设和谐精美地营造良好的</w:t>
      </w:r>
      <w:r>
        <w:rPr>
          <w:rFonts w:hint="eastAsia" w:ascii="Times New Roman" w:hAnsi="Times New Roman" w:cs="Times New Roman"/>
          <w:color w:val="auto"/>
          <w:highlight w:val="none"/>
          <w:lang w:eastAsia="zh-CN"/>
        </w:rPr>
        <w:t>外部</w:t>
      </w:r>
      <w:r>
        <w:rPr>
          <w:rFonts w:hint="default" w:ascii="Times New Roman" w:hAnsi="Times New Roman" w:cs="Times New Roman"/>
          <w:color w:val="auto"/>
          <w:highlight w:val="none"/>
        </w:rPr>
        <w:t>环境。一是依托国家文化大数据体系建设工程，推进文化资源共享和数字化建设，完善县、乡（镇）、村（社区）三级公共文化服务网络。推动全县公共文化馆、美术馆、图书馆数字化平台建设。二是优化文化场馆免费开放时间，全面实施错时、延时，节假日开放政策，不断提高文化馆、图书馆、美术馆、博物馆、乡镇综合文化站开放服务水平。三是认真落实“东风工程”、农家书屋等文化惠民工程相关要求，配合推动农家书屋，有针对性地提供群众喜爱的各语种出版物，开展各类大型阅读活动53场，参与活动人数1.6万余人次。四是做好农村公益电影放映工作，目前已放映900场。五是以传统节日为抓手，扩大文化辐射面，着力抓好“我们的中国梦—文化进万家”文化活动进基层、进企业、进军营、进社区、进学校，组织开展全县各大中小型文化活动，如春晚、非遗春晚、元宵节社火、草莓节、“最美童声”少儿歌手大赛、“石榴花开 舞动和静”广场舞大赛、百日广场主题文化活动、文化下乡等丰富多彩、群众喜闻乐见的各类文化活动。截至目前，东归文化馆、图书馆、美术馆、乌兰牧骑队及各乡镇、村（社区）共开展各类文化活动985场次，受益群众达46万余人次。六是加强文艺精品创作，今年共创作小品1部、精品歌曲3首，其中歌曲《都是一家人》作为自治区十四运主题歌曲在开幕式上激情唱响。七是加快发展现代文化产业，加快推进电影《万里东归（暂用名）》筹备进程；加快推进奶茶文化展示博物馆</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lang w:val="en-US" w:eastAsia="zh-CN"/>
        </w:rPr>
        <w:t>和静县</w:t>
      </w:r>
      <w:r>
        <w:rPr>
          <w:rFonts w:hint="default" w:ascii="Times New Roman" w:hAnsi="Times New Roman" w:cs="Times New Roman"/>
          <w:color w:val="auto"/>
          <w:highlight w:val="none"/>
        </w:rPr>
        <w:t>体育公园建设项目。</w:t>
      </w:r>
    </w:p>
    <w:p w14:paraId="5051C6FD">
      <w:pPr>
        <w:pStyle w:val="3"/>
        <w:bidi w:val="0"/>
        <w:rPr>
          <w:rFonts w:hint="default" w:eastAsia="黑体"/>
          <w:color w:val="auto"/>
          <w:highlight w:val="none"/>
          <w:lang w:val="en-US" w:eastAsia="zh-CN"/>
        </w:rPr>
      </w:pPr>
      <w:bookmarkStart w:id="4" w:name="_Toc22800_WPSOffice_Level1"/>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14:paraId="3D1D3C5B">
      <w:pPr>
        <w:bidi w:val="0"/>
        <w:rPr>
          <w:rFonts w:hint="eastAsia"/>
          <w:color w:val="auto"/>
          <w:highlight w:val="none"/>
          <w:lang w:val="en-US" w:eastAsia="zh-CN"/>
        </w:rPr>
      </w:pPr>
      <w:r>
        <w:rPr>
          <w:rFonts w:hint="eastAsia"/>
          <w:color w:val="auto"/>
          <w:highlight w:val="none"/>
          <w:lang w:val="en-US" w:eastAsia="zh-CN"/>
        </w:rPr>
        <w:t>（一）绩效约束能力需要进一步加强，评价结果与预算安排还需要进一步衔接和优化，促进预算管理的作用尚未充分体现等，需要今后的工作中着力予以解决。</w:t>
      </w:r>
    </w:p>
    <w:p w14:paraId="37D66787">
      <w:pPr>
        <w:bidi w:val="0"/>
        <w:rPr>
          <w:rFonts w:hint="eastAsia"/>
          <w:color w:val="auto"/>
          <w:highlight w:val="none"/>
          <w:lang w:val="en-US" w:eastAsia="zh-CN"/>
        </w:rPr>
      </w:pPr>
      <w:r>
        <w:rPr>
          <w:rFonts w:hint="eastAsia"/>
          <w:color w:val="auto"/>
          <w:highlight w:val="none"/>
          <w:lang w:val="en-US" w:eastAsia="zh-CN"/>
        </w:rPr>
        <w:t>（二）预算绩效管理水平仍有欠缺。在2021年预算绩效管理工作中，存在“重投入轻管理、重支出轻绩效”的情况，对全面实施预算绩效管理的要求认识还不到位，项目申报、实施等环节与预算绩效管理各个环节联系不够紧密；同时预算绩效管理也是一项新工作，面对专业人手不足、绩效管理水平欠缺的情况下，坚持“滚石上山”，提升的空间还是很大。</w:t>
      </w:r>
    </w:p>
    <w:p w14:paraId="606C534C">
      <w:pPr>
        <w:bidi w:val="0"/>
        <w:rPr>
          <w:rFonts w:hint="eastAsia"/>
          <w:color w:val="auto"/>
          <w:highlight w:val="none"/>
          <w:lang w:val="en-US" w:eastAsia="zh-CN"/>
        </w:rPr>
      </w:pPr>
      <w:r>
        <w:rPr>
          <w:rFonts w:hint="eastAsia"/>
          <w:color w:val="auto"/>
          <w:highlight w:val="none"/>
          <w:lang w:val="en-US" w:eastAsia="zh-CN"/>
        </w:rPr>
        <w:t>（三）固定资产管理水平有待提高固定资产台账未及时与账面资产金额对账且末与实物进行清点及及时清理处置报废资产导致资产台账与账面资产金额存在差异，固定资产管理继续加强中。</w:t>
      </w:r>
    </w:p>
    <w:p w14:paraId="350B5041">
      <w:pPr>
        <w:pStyle w:val="3"/>
        <w:bidi w:val="0"/>
        <w:rPr>
          <w:rFonts w:hint="eastAsia"/>
          <w:color w:val="auto"/>
          <w:highlight w:val="none"/>
        </w:rPr>
      </w:pPr>
      <w:bookmarkStart w:id="5" w:name="_Toc29546_WPSOffice_Level1"/>
      <w:r>
        <w:rPr>
          <w:rFonts w:hint="eastAsia"/>
          <w:color w:val="auto"/>
          <w:highlight w:val="none"/>
          <w:lang w:val="en-US" w:eastAsia="zh-CN"/>
        </w:rPr>
        <w:t>六、</w:t>
      </w:r>
      <w:r>
        <w:rPr>
          <w:rFonts w:hint="eastAsia"/>
          <w:color w:val="auto"/>
          <w:highlight w:val="none"/>
        </w:rPr>
        <w:t>改进措施和建议</w:t>
      </w:r>
      <w:bookmarkEnd w:id="5"/>
    </w:p>
    <w:p w14:paraId="2C23D540">
      <w:pPr>
        <w:bidi w:val="0"/>
        <w:rPr>
          <w:rFonts w:hint="eastAsia"/>
          <w:color w:val="auto"/>
          <w:highlight w:val="none"/>
          <w:lang w:val="en-US" w:eastAsia="zh-CN"/>
        </w:rPr>
      </w:pPr>
      <w:r>
        <w:rPr>
          <w:rFonts w:hint="eastAsia"/>
          <w:color w:val="auto"/>
          <w:highlight w:val="none"/>
          <w:lang w:val="en-US" w:eastAsia="zh-CN"/>
        </w:rPr>
        <w:t>（一）强化支出预算约束。进一步提高年初预算编制的科学性和准确性，完善预算执行动态 约束机制，加强财政预算资金管理，统筹协调推进项目执行，提高财政资金效益和效果。</w:t>
      </w:r>
    </w:p>
    <w:p w14:paraId="1040A08E">
      <w:pPr>
        <w:bidi w:val="0"/>
        <w:rPr>
          <w:rFonts w:hint="eastAsia"/>
          <w:color w:val="auto"/>
          <w:highlight w:val="none"/>
          <w:lang w:val="en-US" w:eastAsia="zh-CN"/>
        </w:rPr>
      </w:pPr>
      <w:r>
        <w:rPr>
          <w:rFonts w:hint="eastAsia"/>
          <w:color w:val="auto"/>
          <w:highlight w:val="none"/>
          <w:lang w:val="en-US" w:eastAsia="zh-CN"/>
        </w:rPr>
        <w:t>（二）强化内部控制管理。严格按规定做好绩效目标申报、自评、 公开等相关工作，提高财政资金使用绩效；加强实物资产管理，健全资产管理制度，规范资产清查和核算。</w:t>
      </w:r>
    </w:p>
    <w:p w14:paraId="6F59DDF3">
      <w:pPr>
        <w:bidi w:val="0"/>
        <w:rPr>
          <w:rFonts w:hint="default"/>
          <w:color w:val="auto"/>
          <w:highlight w:val="none"/>
          <w:lang w:val="en-US" w:eastAsia="zh-CN"/>
        </w:rPr>
      </w:pPr>
      <w:r>
        <w:rPr>
          <w:rFonts w:hint="eastAsia"/>
          <w:color w:val="auto"/>
          <w:highlight w:val="none"/>
          <w:lang w:val="en-US" w:eastAsia="zh-CN"/>
        </w:rPr>
        <w:t>（三）加强政府采购管理。严格履行政府采购程序，规范政府采购行为，加强对政府采购全流程活动的规范管理，推动政府采购相关制度贯彻落实。</w:t>
      </w:r>
    </w:p>
    <w:p w14:paraId="5FEBCEF7">
      <w:pPr>
        <w:pStyle w:val="3"/>
        <w:bidi w:val="0"/>
        <w:rPr>
          <w:rFonts w:hint="default"/>
          <w:color w:val="auto"/>
          <w:highlight w:val="none"/>
          <w:lang w:val="en-US" w:eastAsia="zh-CN"/>
        </w:rPr>
      </w:pPr>
      <w:r>
        <w:rPr>
          <w:rFonts w:hint="eastAsia"/>
          <w:color w:val="auto"/>
          <w:highlight w:val="none"/>
          <w:lang w:val="en-US" w:eastAsia="zh-CN"/>
        </w:rPr>
        <w:t>七、附件上传</w:t>
      </w:r>
    </w:p>
    <w:p w14:paraId="38D49E8A">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0EBF14">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63030D3A">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78F270"/>
    <w:multiLevelType w:val="singleLevel"/>
    <w:tmpl w:val="3578F270"/>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941124"/>
    <w:rsid w:val="01CC583F"/>
    <w:rsid w:val="02337D11"/>
    <w:rsid w:val="02C40969"/>
    <w:rsid w:val="04DB4953"/>
    <w:rsid w:val="04FF0482"/>
    <w:rsid w:val="05062887"/>
    <w:rsid w:val="05464D81"/>
    <w:rsid w:val="05F70F85"/>
    <w:rsid w:val="0607573C"/>
    <w:rsid w:val="06547701"/>
    <w:rsid w:val="072B19D6"/>
    <w:rsid w:val="084208C4"/>
    <w:rsid w:val="098A3C0A"/>
    <w:rsid w:val="09A24E4E"/>
    <w:rsid w:val="0A9A7091"/>
    <w:rsid w:val="0C6738B8"/>
    <w:rsid w:val="0CFF46FE"/>
    <w:rsid w:val="0E7D784C"/>
    <w:rsid w:val="10300946"/>
    <w:rsid w:val="10A258A3"/>
    <w:rsid w:val="10FE60D7"/>
    <w:rsid w:val="134F7771"/>
    <w:rsid w:val="13E513B9"/>
    <w:rsid w:val="158C5316"/>
    <w:rsid w:val="15B904C0"/>
    <w:rsid w:val="165C118C"/>
    <w:rsid w:val="172D035F"/>
    <w:rsid w:val="175D58E3"/>
    <w:rsid w:val="18061B60"/>
    <w:rsid w:val="190C3DF8"/>
    <w:rsid w:val="19AA4D08"/>
    <w:rsid w:val="19F83E30"/>
    <w:rsid w:val="1AAB2A2C"/>
    <w:rsid w:val="1AB2492E"/>
    <w:rsid w:val="1B403139"/>
    <w:rsid w:val="1C6D319F"/>
    <w:rsid w:val="1D384A93"/>
    <w:rsid w:val="1D4D74D6"/>
    <w:rsid w:val="1DE32CFD"/>
    <w:rsid w:val="1F1A602A"/>
    <w:rsid w:val="1F2854B6"/>
    <w:rsid w:val="217D20CE"/>
    <w:rsid w:val="21C67E02"/>
    <w:rsid w:val="21C768CD"/>
    <w:rsid w:val="221C512E"/>
    <w:rsid w:val="22E14253"/>
    <w:rsid w:val="23931BB2"/>
    <w:rsid w:val="23F209A3"/>
    <w:rsid w:val="2403516E"/>
    <w:rsid w:val="256A2A9E"/>
    <w:rsid w:val="27F7226E"/>
    <w:rsid w:val="2805537E"/>
    <w:rsid w:val="289437EE"/>
    <w:rsid w:val="297873DB"/>
    <w:rsid w:val="29F35E61"/>
    <w:rsid w:val="2A285817"/>
    <w:rsid w:val="2B6F150A"/>
    <w:rsid w:val="2BB557CB"/>
    <w:rsid w:val="2BC51751"/>
    <w:rsid w:val="2D166684"/>
    <w:rsid w:val="2EBF757D"/>
    <w:rsid w:val="30527E2D"/>
    <w:rsid w:val="313A1C72"/>
    <w:rsid w:val="31927D00"/>
    <w:rsid w:val="31AE39CE"/>
    <w:rsid w:val="31B83F5F"/>
    <w:rsid w:val="328E2AB6"/>
    <w:rsid w:val="329B12EA"/>
    <w:rsid w:val="32FB1A54"/>
    <w:rsid w:val="33291F9F"/>
    <w:rsid w:val="33A83F87"/>
    <w:rsid w:val="340D2D0F"/>
    <w:rsid w:val="348F1A9E"/>
    <w:rsid w:val="355C2B3F"/>
    <w:rsid w:val="356B4AF0"/>
    <w:rsid w:val="35F12468"/>
    <w:rsid w:val="36851B5C"/>
    <w:rsid w:val="37661A13"/>
    <w:rsid w:val="379871D0"/>
    <w:rsid w:val="37BA58BB"/>
    <w:rsid w:val="37D360CA"/>
    <w:rsid w:val="38CB5066"/>
    <w:rsid w:val="38E054C9"/>
    <w:rsid w:val="3A565DE9"/>
    <w:rsid w:val="3AC36A27"/>
    <w:rsid w:val="3F301058"/>
    <w:rsid w:val="3F7120F4"/>
    <w:rsid w:val="40177565"/>
    <w:rsid w:val="417A34F9"/>
    <w:rsid w:val="418810F4"/>
    <w:rsid w:val="41A37673"/>
    <w:rsid w:val="42503F5E"/>
    <w:rsid w:val="42C30950"/>
    <w:rsid w:val="459B4F7E"/>
    <w:rsid w:val="45A65C7F"/>
    <w:rsid w:val="45F13359"/>
    <w:rsid w:val="468C2A4A"/>
    <w:rsid w:val="46AD2493"/>
    <w:rsid w:val="46EC7F14"/>
    <w:rsid w:val="47CA7D9C"/>
    <w:rsid w:val="47DB3D58"/>
    <w:rsid w:val="48194880"/>
    <w:rsid w:val="48AF4C7F"/>
    <w:rsid w:val="4A5B46DD"/>
    <w:rsid w:val="4A6F6A56"/>
    <w:rsid w:val="4A81677A"/>
    <w:rsid w:val="4B3B5348"/>
    <w:rsid w:val="4DA177B2"/>
    <w:rsid w:val="4DA370C6"/>
    <w:rsid w:val="4DF36D4F"/>
    <w:rsid w:val="501B7C76"/>
    <w:rsid w:val="504D5CCF"/>
    <w:rsid w:val="511A2CA6"/>
    <w:rsid w:val="533A7469"/>
    <w:rsid w:val="53526129"/>
    <w:rsid w:val="538B4CD8"/>
    <w:rsid w:val="53A21BCD"/>
    <w:rsid w:val="54394F3D"/>
    <w:rsid w:val="565F61A9"/>
    <w:rsid w:val="56AD4B11"/>
    <w:rsid w:val="57232FC4"/>
    <w:rsid w:val="572D2326"/>
    <w:rsid w:val="57365691"/>
    <w:rsid w:val="59EE1E48"/>
    <w:rsid w:val="5A490F5C"/>
    <w:rsid w:val="5B805E16"/>
    <w:rsid w:val="5BD21464"/>
    <w:rsid w:val="5BDE2B83"/>
    <w:rsid w:val="5C777282"/>
    <w:rsid w:val="5E907866"/>
    <w:rsid w:val="61635F72"/>
    <w:rsid w:val="618606C5"/>
    <w:rsid w:val="6224402D"/>
    <w:rsid w:val="6384067A"/>
    <w:rsid w:val="638D125E"/>
    <w:rsid w:val="6396333E"/>
    <w:rsid w:val="63E114D3"/>
    <w:rsid w:val="68A66A1D"/>
    <w:rsid w:val="6AD46D46"/>
    <w:rsid w:val="6B07083C"/>
    <w:rsid w:val="6B623CC4"/>
    <w:rsid w:val="6B6C65E0"/>
    <w:rsid w:val="6C2B67AC"/>
    <w:rsid w:val="6DE07909"/>
    <w:rsid w:val="6E58438A"/>
    <w:rsid w:val="6E7066F8"/>
    <w:rsid w:val="6E9D5508"/>
    <w:rsid w:val="6F871359"/>
    <w:rsid w:val="70440BFC"/>
    <w:rsid w:val="711B7F18"/>
    <w:rsid w:val="71EB22B3"/>
    <w:rsid w:val="72010FA6"/>
    <w:rsid w:val="72AC6FE2"/>
    <w:rsid w:val="733F48EB"/>
    <w:rsid w:val="74212849"/>
    <w:rsid w:val="744C1D4E"/>
    <w:rsid w:val="748A4F72"/>
    <w:rsid w:val="74961819"/>
    <w:rsid w:val="750202C6"/>
    <w:rsid w:val="75664078"/>
    <w:rsid w:val="761E4132"/>
    <w:rsid w:val="78061A79"/>
    <w:rsid w:val="79181486"/>
    <w:rsid w:val="7AC97810"/>
    <w:rsid w:val="7AC97A45"/>
    <w:rsid w:val="7AFE508C"/>
    <w:rsid w:val="7B2561EC"/>
    <w:rsid w:val="7BC003CA"/>
    <w:rsid w:val="7CBF4BB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14</Pages>
  <Words>8313</Words>
  <Characters>8733</Characters>
  <Lines>7</Lines>
  <Paragraphs>2</Paragraphs>
  <TotalTime>2</TotalTime>
  <ScaleCrop>false</ScaleCrop>
  <LinksUpToDate>false</LinksUpToDate>
  <CharactersWithSpaces>8745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2024-11-21T02:45:55Z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