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BC22C9">
      <w:pPr>
        <w:pStyle w:val="3"/>
        <w:bidi w:val="0"/>
        <w:ind w:left="0" w:leftChars="0" w:firstLine="0" w:firstLineChars="0"/>
        <w:jc w:val="center"/>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部门单位整体支出绩效自评报告</w:t>
      </w:r>
    </w:p>
    <w:p w14:paraId="5BEE585A">
      <w:pPr>
        <w:pStyle w:val="3"/>
        <w:bidi w:val="0"/>
        <w:ind w:left="0" w:leftChars="0" w:firstLine="0" w:firstLineChars="0"/>
        <w:rPr>
          <w:rFonts w:hint="eastAsia"/>
          <w:color w:val="auto"/>
          <w:highlight w:val="none"/>
        </w:rPr>
      </w:pPr>
      <w:r>
        <w:rPr>
          <w:rFonts w:hint="eastAsia"/>
          <w:color w:val="auto"/>
          <w:highlight w:val="none"/>
          <w:lang w:val="en-US" w:eastAsia="zh-CN"/>
        </w:rPr>
        <w:t>一、</w:t>
      </w:r>
      <w:r>
        <w:rPr>
          <w:rFonts w:hint="eastAsia"/>
          <w:color w:val="auto"/>
          <w:highlight w:val="none"/>
        </w:rPr>
        <w:t>基本概况</w:t>
      </w:r>
    </w:p>
    <w:bookmarkEnd w:id="0"/>
    <w:p w14:paraId="10ABD278">
      <w:pPr>
        <w:pStyle w:val="4"/>
        <w:bidi w:val="0"/>
        <w:ind w:left="0" w:leftChars="0" w:firstLine="0" w:firstLineChars="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14:paraId="7E29320E">
      <w:pPr>
        <w:keepNext/>
        <w:keepLines/>
        <w:pageBreakBefore w:val="0"/>
        <w:widowControl w:val="0"/>
        <w:kinsoku/>
        <w:wordWrap/>
        <w:overflowPunct/>
        <w:topLinePunct w:val="0"/>
        <w:autoSpaceDE/>
        <w:autoSpaceDN/>
        <w:bidi w:val="0"/>
        <w:adjustRightInd w:val="0"/>
        <w:snapToGrid w:val="0"/>
        <w:ind w:left="560" w:leftChars="200" w:firstLine="0" w:firstLineChars="0"/>
        <w:jc w:val="left"/>
        <w:textAlignment w:val="auto"/>
        <w:outlineLvl w:val="9"/>
        <w:rPr>
          <w:rFonts w:hint="default" w:ascii="Times New Roman" w:hAnsi="Times New Roman" w:eastAsia="仿宋" w:cs="Times New Roman"/>
          <w:b w:val="0"/>
          <w:bCs/>
          <w:color w:val="auto"/>
          <w:kern w:val="2"/>
          <w:sz w:val="28"/>
          <w:szCs w:val="24"/>
          <w:highlight w:val="none"/>
          <w:lang w:val="en-US" w:eastAsia="zh-CN" w:bidi="ar-SA"/>
        </w:rPr>
      </w:pPr>
      <w:r>
        <w:rPr>
          <w:rFonts w:hint="eastAsia" w:ascii="Times New Roman" w:hAnsi="Times New Roman" w:eastAsia="仿宋" w:cs="Times New Roman"/>
          <w:b w:val="0"/>
          <w:bCs/>
          <w:color w:val="auto"/>
          <w:kern w:val="2"/>
          <w:sz w:val="28"/>
          <w:szCs w:val="24"/>
          <w:highlight w:val="none"/>
          <w:lang w:val="en-US" w:eastAsia="zh-CN" w:bidi="ar-SA"/>
        </w:rPr>
        <w:t>1.部门主要职能                                        和静县本级和静县人大常委会办公室为参照公务员管理的正科级单位，主要职责是：</w:t>
      </w:r>
      <w:r>
        <w:rPr>
          <w:rFonts w:hint="eastAsia" w:ascii="Times New Roman" w:hAnsi="Times New Roman" w:eastAsia="仿宋" w:cs="Times New Roman"/>
          <w:b w:val="0"/>
          <w:bCs/>
          <w:color w:val="auto"/>
          <w:kern w:val="2"/>
          <w:sz w:val="28"/>
          <w:szCs w:val="24"/>
          <w:highlight w:val="none"/>
          <w:lang w:val="en-US" w:eastAsia="zh-CN" w:bidi="ar-SA"/>
        </w:rPr>
        <w:br w:type="textWrapping"/>
      </w:r>
      <w:r>
        <w:rPr>
          <w:rFonts w:hint="eastAsia" w:ascii="Times New Roman" w:hAnsi="Times New Roman" w:cs="Times New Roman"/>
          <w:b w:val="0"/>
          <w:bCs/>
          <w:color w:val="auto"/>
          <w:kern w:val="2"/>
          <w:sz w:val="28"/>
          <w:szCs w:val="24"/>
          <w:highlight w:val="none"/>
          <w:lang w:val="en-US" w:eastAsia="zh-CN" w:bidi="ar-SA"/>
        </w:rPr>
        <w:t>（</w:t>
      </w:r>
      <w:r>
        <w:rPr>
          <w:rFonts w:hint="eastAsia" w:ascii="Times New Roman" w:hAnsi="Times New Roman" w:eastAsia="仿宋" w:cs="Times New Roman"/>
          <w:b w:val="0"/>
          <w:bCs/>
          <w:color w:val="auto"/>
          <w:kern w:val="2"/>
          <w:sz w:val="28"/>
          <w:szCs w:val="24"/>
          <w:highlight w:val="none"/>
          <w:lang w:val="en-US" w:eastAsia="zh-CN" w:bidi="ar-SA"/>
        </w:rPr>
        <w:t>1</w:t>
      </w:r>
      <w:r>
        <w:rPr>
          <w:rFonts w:hint="eastAsia" w:ascii="Times New Roman" w:hAnsi="Times New Roman" w:cs="Times New Roman"/>
          <w:b w:val="0"/>
          <w:bCs/>
          <w:color w:val="auto"/>
          <w:kern w:val="2"/>
          <w:sz w:val="28"/>
          <w:szCs w:val="24"/>
          <w:highlight w:val="none"/>
          <w:lang w:val="en-US" w:eastAsia="zh-CN" w:bidi="ar-SA"/>
        </w:rPr>
        <w:t>）</w:t>
      </w:r>
      <w:r>
        <w:rPr>
          <w:rFonts w:hint="eastAsia" w:ascii="Times New Roman" w:hAnsi="Times New Roman" w:eastAsia="仿宋" w:cs="Times New Roman"/>
          <w:b w:val="0"/>
          <w:bCs/>
          <w:color w:val="auto"/>
          <w:kern w:val="2"/>
          <w:sz w:val="28"/>
          <w:szCs w:val="24"/>
          <w:highlight w:val="none"/>
          <w:lang w:val="en-US" w:eastAsia="zh-CN" w:bidi="ar-SA"/>
        </w:rPr>
        <w:t>在本行政区域内，保证宪法、法律、行政法规和上级人民 代表大会及其常务委员会决议的遵守和执行；</w:t>
      </w:r>
      <w:r>
        <w:rPr>
          <w:rFonts w:hint="eastAsia" w:ascii="Times New Roman" w:hAnsi="Times New Roman" w:eastAsia="仿宋" w:cs="Times New Roman"/>
          <w:b w:val="0"/>
          <w:bCs/>
          <w:color w:val="auto"/>
          <w:kern w:val="2"/>
          <w:sz w:val="28"/>
          <w:szCs w:val="24"/>
          <w:highlight w:val="none"/>
          <w:lang w:val="en-US" w:eastAsia="zh-CN" w:bidi="ar-SA"/>
        </w:rPr>
        <w:br w:type="textWrapping"/>
      </w:r>
      <w:r>
        <w:rPr>
          <w:rFonts w:hint="eastAsia" w:ascii="Times New Roman" w:hAnsi="Times New Roman" w:cs="Times New Roman"/>
          <w:b w:val="0"/>
          <w:bCs/>
          <w:color w:val="auto"/>
          <w:kern w:val="2"/>
          <w:sz w:val="28"/>
          <w:szCs w:val="24"/>
          <w:highlight w:val="none"/>
          <w:lang w:val="en-US" w:eastAsia="zh-CN" w:bidi="ar-SA"/>
        </w:rPr>
        <w:t>（</w:t>
      </w:r>
      <w:r>
        <w:rPr>
          <w:rFonts w:hint="eastAsia" w:ascii="Times New Roman" w:hAnsi="Times New Roman" w:eastAsia="仿宋" w:cs="Times New Roman"/>
          <w:b w:val="0"/>
          <w:bCs/>
          <w:color w:val="auto"/>
          <w:kern w:val="2"/>
          <w:sz w:val="28"/>
          <w:szCs w:val="24"/>
          <w:highlight w:val="none"/>
          <w:lang w:val="en-US" w:eastAsia="zh-CN" w:bidi="ar-SA"/>
        </w:rPr>
        <w:t>2</w:t>
      </w:r>
      <w:r>
        <w:rPr>
          <w:rFonts w:hint="eastAsia" w:ascii="Times New Roman" w:hAnsi="Times New Roman" w:cs="Times New Roman"/>
          <w:b w:val="0"/>
          <w:bCs/>
          <w:color w:val="auto"/>
          <w:kern w:val="2"/>
          <w:sz w:val="28"/>
          <w:szCs w:val="24"/>
          <w:highlight w:val="none"/>
          <w:lang w:val="en-US" w:eastAsia="zh-CN" w:bidi="ar-SA"/>
        </w:rPr>
        <w:t>）</w:t>
      </w:r>
      <w:r>
        <w:rPr>
          <w:rFonts w:hint="eastAsia" w:ascii="Times New Roman" w:hAnsi="Times New Roman" w:eastAsia="仿宋" w:cs="Times New Roman"/>
          <w:b w:val="0"/>
          <w:bCs/>
          <w:color w:val="auto"/>
          <w:kern w:val="2"/>
          <w:sz w:val="28"/>
          <w:szCs w:val="24"/>
          <w:highlight w:val="none"/>
          <w:lang w:val="en-US" w:eastAsia="zh-CN" w:bidi="ar-SA"/>
        </w:rPr>
        <w:t>领导或者主持本 级人民代表大会代表的选举；</w:t>
      </w:r>
      <w:r>
        <w:rPr>
          <w:rFonts w:hint="eastAsia" w:ascii="Times New Roman" w:hAnsi="Times New Roman" w:eastAsia="仿宋" w:cs="Times New Roman"/>
          <w:b w:val="0"/>
          <w:bCs/>
          <w:color w:val="auto"/>
          <w:kern w:val="2"/>
          <w:sz w:val="28"/>
          <w:szCs w:val="24"/>
          <w:highlight w:val="none"/>
          <w:lang w:val="en-US" w:eastAsia="zh-CN" w:bidi="ar-SA"/>
        </w:rPr>
        <w:br w:type="textWrapping"/>
      </w:r>
      <w:r>
        <w:rPr>
          <w:rFonts w:hint="eastAsia" w:ascii="Times New Roman" w:hAnsi="Times New Roman" w:cs="Times New Roman"/>
          <w:b w:val="0"/>
          <w:bCs/>
          <w:color w:val="auto"/>
          <w:kern w:val="2"/>
          <w:sz w:val="28"/>
          <w:szCs w:val="24"/>
          <w:highlight w:val="none"/>
          <w:lang w:val="en-US" w:eastAsia="zh-CN" w:bidi="ar-SA"/>
        </w:rPr>
        <w:t>（</w:t>
      </w:r>
      <w:r>
        <w:rPr>
          <w:rFonts w:hint="eastAsia" w:ascii="Times New Roman" w:hAnsi="Times New Roman" w:eastAsia="仿宋" w:cs="Times New Roman"/>
          <w:b w:val="0"/>
          <w:bCs/>
          <w:color w:val="auto"/>
          <w:kern w:val="2"/>
          <w:sz w:val="28"/>
          <w:szCs w:val="24"/>
          <w:highlight w:val="none"/>
          <w:lang w:val="en-US" w:eastAsia="zh-CN" w:bidi="ar-SA"/>
        </w:rPr>
        <w:t>3</w:t>
      </w:r>
      <w:r>
        <w:rPr>
          <w:rFonts w:hint="eastAsia" w:ascii="Times New Roman" w:hAnsi="Times New Roman" w:cs="Times New Roman"/>
          <w:b w:val="0"/>
          <w:bCs/>
          <w:color w:val="auto"/>
          <w:kern w:val="2"/>
          <w:sz w:val="28"/>
          <w:szCs w:val="24"/>
          <w:highlight w:val="none"/>
          <w:lang w:val="en-US" w:eastAsia="zh-CN" w:bidi="ar-SA"/>
        </w:rPr>
        <w:t>）</w:t>
      </w:r>
      <w:r>
        <w:rPr>
          <w:rFonts w:hint="eastAsia" w:ascii="Times New Roman" w:hAnsi="Times New Roman" w:eastAsia="仿宋" w:cs="Times New Roman"/>
          <w:b w:val="0"/>
          <w:bCs/>
          <w:color w:val="auto"/>
          <w:kern w:val="2"/>
          <w:sz w:val="28"/>
          <w:szCs w:val="24"/>
          <w:highlight w:val="none"/>
          <w:lang w:val="en-US" w:eastAsia="zh-CN" w:bidi="ar-SA"/>
        </w:rPr>
        <w:t>召集本级人民代表大会会议；</w:t>
      </w:r>
      <w:r>
        <w:rPr>
          <w:rFonts w:hint="eastAsia" w:ascii="Times New Roman" w:hAnsi="Times New Roman" w:eastAsia="仿宋" w:cs="Times New Roman"/>
          <w:b w:val="0"/>
          <w:bCs/>
          <w:color w:val="auto"/>
          <w:kern w:val="2"/>
          <w:sz w:val="28"/>
          <w:szCs w:val="24"/>
          <w:highlight w:val="none"/>
          <w:lang w:val="en-US" w:eastAsia="zh-CN" w:bidi="ar-SA"/>
        </w:rPr>
        <w:br w:type="textWrapping"/>
      </w:r>
      <w:r>
        <w:rPr>
          <w:rFonts w:hint="eastAsia" w:ascii="Times New Roman" w:hAnsi="Times New Roman" w:cs="Times New Roman"/>
          <w:b w:val="0"/>
          <w:bCs/>
          <w:color w:val="auto"/>
          <w:kern w:val="2"/>
          <w:sz w:val="28"/>
          <w:szCs w:val="24"/>
          <w:highlight w:val="none"/>
          <w:lang w:val="en-US" w:eastAsia="zh-CN" w:bidi="ar-SA"/>
        </w:rPr>
        <w:t>（</w:t>
      </w:r>
      <w:r>
        <w:rPr>
          <w:rFonts w:hint="eastAsia" w:ascii="Times New Roman" w:hAnsi="Times New Roman" w:eastAsia="仿宋" w:cs="Times New Roman"/>
          <w:b w:val="0"/>
          <w:bCs/>
          <w:color w:val="auto"/>
          <w:kern w:val="2"/>
          <w:sz w:val="28"/>
          <w:szCs w:val="24"/>
          <w:highlight w:val="none"/>
          <w:lang w:val="en-US" w:eastAsia="zh-CN" w:bidi="ar-SA"/>
        </w:rPr>
        <w:t>4</w:t>
      </w:r>
      <w:r>
        <w:rPr>
          <w:rFonts w:hint="eastAsia" w:ascii="Times New Roman" w:hAnsi="Times New Roman" w:cs="Times New Roman"/>
          <w:b w:val="0"/>
          <w:bCs/>
          <w:color w:val="auto"/>
          <w:kern w:val="2"/>
          <w:sz w:val="28"/>
          <w:szCs w:val="24"/>
          <w:highlight w:val="none"/>
          <w:lang w:val="en-US" w:eastAsia="zh-CN" w:bidi="ar-SA"/>
        </w:rPr>
        <w:t>）</w:t>
      </w:r>
      <w:r>
        <w:rPr>
          <w:rFonts w:hint="eastAsia" w:ascii="Times New Roman" w:hAnsi="Times New Roman" w:eastAsia="仿宋" w:cs="Times New Roman"/>
          <w:b w:val="0"/>
          <w:bCs/>
          <w:color w:val="auto"/>
          <w:kern w:val="2"/>
          <w:sz w:val="28"/>
          <w:szCs w:val="24"/>
          <w:highlight w:val="none"/>
          <w:lang w:val="en-US" w:eastAsia="zh-CN" w:bidi="ar-SA"/>
        </w:rPr>
        <w:t>讨论、决定本行政区域内的政治、经济、教育、科学、文化、卫 生、环境和资源保护、民政、民族等工作的重大事项；</w:t>
      </w:r>
      <w:r>
        <w:rPr>
          <w:rFonts w:hint="eastAsia" w:ascii="Times New Roman" w:hAnsi="Times New Roman" w:eastAsia="仿宋" w:cs="Times New Roman"/>
          <w:b w:val="0"/>
          <w:bCs/>
          <w:color w:val="auto"/>
          <w:kern w:val="2"/>
          <w:sz w:val="28"/>
          <w:szCs w:val="24"/>
          <w:highlight w:val="none"/>
          <w:lang w:val="en-US" w:eastAsia="zh-CN" w:bidi="ar-SA"/>
        </w:rPr>
        <w:br w:type="textWrapping"/>
      </w:r>
      <w:r>
        <w:rPr>
          <w:rFonts w:hint="eastAsia" w:ascii="Times New Roman" w:hAnsi="Times New Roman" w:cs="Times New Roman"/>
          <w:b w:val="0"/>
          <w:bCs/>
          <w:color w:val="auto"/>
          <w:kern w:val="2"/>
          <w:sz w:val="28"/>
          <w:szCs w:val="24"/>
          <w:highlight w:val="none"/>
          <w:lang w:val="en-US" w:eastAsia="zh-CN" w:bidi="ar-SA"/>
        </w:rPr>
        <w:t>（</w:t>
      </w:r>
      <w:r>
        <w:rPr>
          <w:rFonts w:hint="eastAsia" w:ascii="Times New Roman" w:hAnsi="Times New Roman" w:eastAsia="仿宋" w:cs="Times New Roman"/>
          <w:b w:val="0"/>
          <w:bCs/>
          <w:color w:val="auto"/>
          <w:kern w:val="2"/>
          <w:sz w:val="28"/>
          <w:szCs w:val="24"/>
          <w:highlight w:val="none"/>
          <w:lang w:val="en-US" w:eastAsia="zh-CN" w:bidi="ar-SA"/>
        </w:rPr>
        <w:t>5</w:t>
      </w:r>
      <w:r>
        <w:rPr>
          <w:rFonts w:hint="eastAsia" w:ascii="Times New Roman" w:hAnsi="Times New Roman" w:cs="Times New Roman"/>
          <w:b w:val="0"/>
          <w:bCs/>
          <w:color w:val="auto"/>
          <w:kern w:val="2"/>
          <w:sz w:val="28"/>
          <w:szCs w:val="24"/>
          <w:highlight w:val="none"/>
          <w:lang w:val="en-US" w:eastAsia="zh-CN" w:bidi="ar-SA"/>
        </w:rPr>
        <w:t>）</w:t>
      </w:r>
      <w:r>
        <w:rPr>
          <w:rFonts w:hint="eastAsia" w:ascii="Times New Roman" w:hAnsi="Times New Roman" w:eastAsia="仿宋" w:cs="Times New Roman"/>
          <w:b w:val="0"/>
          <w:bCs/>
          <w:color w:val="auto"/>
          <w:kern w:val="2"/>
          <w:sz w:val="28"/>
          <w:szCs w:val="24"/>
          <w:highlight w:val="none"/>
          <w:lang w:val="en-US" w:eastAsia="zh-CN" w:bidi="ar-SA"/>
        </w:rPr>
        <w:t>根据本级人民政府的建议，决定对本行政区域内的国民经济和社会发展 计划、预算的部分变更；</w:t>
      </w:r>
      <w:r>
        <w:rPr>
          <w:rFonts w:hint="eastAsia" w:ascii="Times New Roman" w:hAnsi="Times New Roman" w:eastAsia="仿宋" w:cs="Times New Roman"/>
          <w:b w:val="0"/>
          <w:bCs/>
          <w:color w:val="auto"/>
          <w:kern w:val="2"/>
          <w:sz w:val="28"/>
          <w:szCs w:val="24"/>
          <w:highlight w:val="none"/>
          <w:lang w:val="en-US" w:eastAsia="zh-CN" w:bidi="ar-SA"/>
        </w:rPr>
        <w:br w:type="textWrapping"/>
      </w:r>
      <w:r>
        <w:rPr>
          <w:rFonts w:hint="eastAsia" w:ascii="Times New Roman" w:hAnsi="Times New Roman" w:cs="Times New Roman"/>
          <w:b w:val="0"/>
          <w:bCs/>
          <w:color w:val="auto"/>
          <w:kern w:val="2"/>
          <w:sz w:val="28"/>
          <w:szCs w:val="24"/>
          <w:highlight w:val="none"/>
          <w:lang w:val="en-US" w:eastAsia="zh-CN" w:bidi="ar-SA"/>
        </w:rPr>
        <w:t>（</w:t>
      </w:r>
      <w:r>
        <w:rPr>
          <w:rFonts w:hint="eastAsia" w:ascii="Times New Roman" w:hAnsi="Times New Roman" w:eastAsia="仿宋" w:cs="Times New Roman"/>
          <w:b w:val="0"/>
          <w:bCs/>
          <w:color w:val="auto"/>
          <w:kern w:val="2"/>
          <w:sz w:val="28"/>
          <w:szCs w:val="24"/>
          <w:highlight w:val="none"/>
          <w:lang w:val="en-US" w:eastAsia="zh-CN" w:bidi="ar-SA"/>
        </w:rPr>
        <w:t>6</w:t>
      </w:r>
      <w:r>
        <w:rPr>
          <w:rFonts w:hint="eastAsia" w:ascii="Times New Roman" w:hAnsi="Times New Roman" w:cs="Times New Roman"/>
          <w:b w:val="0"/>
          <w:bCs/>
          <w:color w:val="auto"/>
          <w:kern w:val="2"/>
          <w:sz w:val="28"/>
          <w:szCs w:val="24"/>
          <w:highlight w:val="none"/>
          <w:lang w:val="en-US" w:eastAsia="zh-CN" w:bidi="ar-SA"/>
        </w:rPr>
        <w:t>）</w:t>
      </w:r>
      <w:r>
        <w:rPr>
          <w:rFonts w:hint="eastAsia" w:ascii="Times New Roman" w:hAnsi="Times New Roman" w:eastAsia="仿宋" w:cs="Times New Roman"/>
          <w:b w:val="0"/>
          <w:bCs/>
          <w:color w:val="auto"/>
          <w:kern w:val="2"/>
          <w:sz w:val="28"/>
          <w:szCs w:val="24"/>
          <w:highlight w:val="none"/>
          <w:lang w:val="en-US" w:eastAsia="zh-CN" w:bidi="ar-SA"/>
        </w:rPr>
        <w:t>监督本级人民政府、人民法院和人民 检察院的工作，联系本级人民代表大会代表，受理人民群众对上 述机关和国家工作人员的申诉和意见；</w:t>
      </w:r>
      <w:r>
        <w:rPr>
          <w:rFonts w:hint="eastAsia" w:ascii="Times New Roman" w:hAnsi="Times New Roman" w:eastAsia="仿宋" w:cs="Times New Roman"/>
          <w:b w:val="0"/>
          <w:bCs/>
          <w:color w:val="auto"/>
          <w:kern w:val="2"/>
          <w:sz w:val="28"/>
          <w:szCs w:val="24"/>
          <w:highlight w:val="none"/>
          <w:lang w:val="en-US" w:eastAsia="zh-CN" w:bidi="ar-SA"/>
        </w:rPr>
        <w:br w:type="textWrapping"/>
      </w:r>
      <w:r>
        <w:rPr>
          <w:rFonts w:hint="eastAsia" w:ascii="Times New Roman" w:hAnsi="Times New Roman" w:cs="Times New Roman"/>
          <w:b w:val="0"/>
          <w:bCs/>
          <w:color w:val="auto"/>
          <w:kern w:val="2"/>
          <w:sz w:val="28"/>
          <w:szCs w:val="24"/>
          <w:highlight w:val="none"/>
          <w:lang w:val="en-US" w:eastAsia="zh-CN" w:bidi="ar-SA"/>
        </w:rPr>
        <w:t>（</w:t>
      </w:r>
      <w:r>
        <w:rPr>
          <w:rFonts w:hint="eastAsia" w:ascii="Times New Roman" w:hAnsi="Times New Roman" w:eastAsia="仿宋" w:cs="Times New Roman"/>
          <w:b w:val="0"/>
          <w:bCs/>
          <w:color w:val="auto"/>
          <w:kern w:val="2"/>
          <w:sz w:val="28"/>
          <w:szCs w:val="24"/>
          <w:highlight w:val="none"/>
          <w:lang w:val="en-US" w:eastAsia="zh-CN" w:bidi="ar-SA"/>
        </w:rPr>
        <w:t>7</w:t>
      </w:r>
      <w:r>
        <w:rPr>
          <w:rFonts w:hint="eastAsia" w:ascii="Times New Roman" w:hAnsi="Times New Roman" w:cs="Times New Roman"/>
          <w:b w:val="0"/>
          <w:bCs/>
          <w:color w:val="auto"/>
          <w:kern w:val="2"/>
          <w:sz w:val="28"/>
          <w:szCs w:val="24"/>
          <w:highlight w:val="none"/>
          <w:lang w:val="en-US" w:eastAsia="zh-CN" w:bidi="ar-SA"/>
        </w:rPr>
        <w:t>）</w:t>
      </w:r>
      <w:r>
        <w:rPr>
          <w:rFonts w:hint="eastAsia" w:ascii="Times New Roman" w:hAnsi="Times New Roman" w:eastAsia="仿宋" w:cs="Times New Roman"/>
          <w:b w:val="0"/>
          <w:bCs/>
          <w:color w:val="auto"/>
          <w:kern w:val="2"/>
          <w:sz w:val="28"/>
          <w:szCs w:val="24"/>
          <w:highlight w:val="none"/>
          <w:lang w:val="en-US" w:eastAsia="zh-CN" w:bidi="ar-SA"/>
        </w:rPr>
        <w:t>撤销下一级人民代表大 会的不适当的决议；</w:t>
      </w:r>
      <w:r>
        <w:rPr>
          <w:rFonts w:hint="eastAsia" w:ascii="Times New Roman" w:hAnsi="Times New Roman" w:eastAsia="仿宋" w:cs="Times New Roman"/>
          <w:b w:val="0"/>
          <w:bCs/>
          <w:color w:val="auto"/>
          <w:kern w:val="2"/>
          <w:sz w:val="28"/>
          <w:szCs w:val="24"/>
          <w:highlight w:val="none"/>
          <w:lang w:val="en-US" w:eastAsia="zh-CN" w:bidi="ar-SA"/>
        </w:rPr>
        <w:br w:type="textWrapping"/>
      </w:r>
      <w:r>
        <w:rPr>
          <w:rFonts w:hint="eastAsia" w:ascii="Times New Roman" w:hAnsi="Times New Roman" w:cs="Times New Roman"/>
          <w:b w:val="0"/>
          <w:bCs/>
          <w:color w:val="auto"/>
          <w:kern w:val="2"/>
          <w:sz w:val="28"/>
          <w:szCs w:val="24"/>
          <w:highlight w:val="none"/>
          <w:lang w:val="en-US" w:eastAsia="zh-CN" w:bidi="ar-SA"/>
        </w:rPr>
        <w:t>（</w:t>
      </w:r>
      <w:r>
        <w:rPr>
          <w:rFonts w:hint="eastAsia" w:ascii="Times New Roman" w:hAnsi="Times New Roman" w:eastAsia="仿宋" w:cs="Times New Roman"/>
          <w:b w:val="0"/>
          <w:bCs/>
          <w:color w:val="auto"/>
          <w:kern w:val="2"/>
          <w:sz w:val="28"/>
          <w:szCs w:val="24"/>
          <w:highlight w:val="none"/>
          <w:lang w:val="en-US" w:eastAsia="zh-CN" w:bidi="ar-SA"/>
        </w:rPr>
        <w:t>8</w:t>
      </w:r>
      <w:r>
        <w:rPr>
          <w:rFonts w:hint="eastAsia" w:ascii="Times New Roman" w:hAnsi="Times New Roman" w:cs="Times New Roman"/>
          <w:b w:val="0"/>
          <w:bCs/>
          <w:color w:val="auto"/>
          <w:kern w:val="2"/>
          <w:sz w:val="28"/>
          <w:szCs w:val="24"/>
          <w:highlight w:val="none"/>
          <w:lang w:val="en-US" w:eastAsia="zh-CN" w:bidi="ar-SA"/>
        </w:rPr>
        <w:t>）</w:t>
      </w:r>
      <w:r>
        <w:rPr>
          <w:rFonts w:hint="eastAsia" w:ascii="Times New Roman" w:hAnsi="Times New Roman" w:eastAsia="仿宋" w:cs="Times New Roman"/>
          <w:b w:val="0"/>
          <w:bCs/>
          <w:color w:val="auto"/>
          <w:kern w:val="2"/>
          <w:sz w:val="28"/>
          <w:szCs w:val="24"/>
          <w:highlight w:val="none"/>
          <w:lang w:val="en-US" w:eastAsia="zh-CN" w:bidi="ar-SA"/>
        </w:rPr>
        <w:t>撤销本级人民政府的不适当的决定和命令；</w:t>
      </w:r>
      <w:r>
        <w:rPr>
          <w:rFonts w:hint="eastAsia" w:ascii="Times New Roman" w:hAnsi="Times New Roman" w:eastAsia="仿宋" w:cs="Times New Roman"/>
          <w:b w:val="0"/>
          <w:bCs/>
          <w:color w:val="auto"/>
          <w:kern w:val="2"/>
          <w:sz w:val="28"/>
          <w:szCs w:val="24"/>
          <w:highlight w:val="none"/>
          <w:lang w:val="en-US" w:eastAsia="zh-CN" w:bidi="ar-SA"/>
        </w:rPr>
        <w:br w:type="textWrapping"/>
      </w:r>
      <w:r>
        <w:rPr>
          <w:rFonts w:hint="eastAsia" w:ascii="Times New Roman" w:hAnsi="Times New Roman" w:cs="Times New Roman"/>
          <w:b w:val="0"/>
          <w:bCs/>
          <w:color w:val="auto"/>
          <w:kern w:val="2"/>
          <w:sz w:val="28"/>
          <w:szCs w:val="24"/>
          <w:highlight w:val="none"/>
          <w:lang w:val="en-US" w:eastAsia="zh-CN" w:bidi="ar-SA"/>
        </w:rPr>
        <w:t>（</w:t>
      </w:r>
      <w:r>
        <w:rPr>
          <w:rFonts w:hint="eastAsia" w:ascii="Times New Roman" w:hAnsi="Times New Roman" w:eastAsia="仿宋" w:cs="Times New Roman"/>
          <w:b w:val="0"/>
          <w:bCs/>
          <w:color w:val="auto"/>
          <w:kern w:val="2"/>
          <w:sz w:val="28"/>
          <w:szCs w:val="24"/>
          <w:highlight w:val="none"/>
          <w:lang w:val="en-US" w:eastAsia="zh-CN" w:bidi="ar-SA"/>
        </w:rPr>
        <w:t>9</w:t>
      </w:r>
      <w:r>
        <w:rPr>
          <w:rFonts w:hint="eastAsia" w:ascii="Times New Roman" w:hAnsi="Times New Roman" w:cs="Times New Roman"/>
          <w:b w:val="0"/>
          <w:bCs/>
          <w:color w:val="auto"/>
          <w:kern w:val="2"/>
          <w:sz w:val="28"/>
          <w:szCs w:val="24"/>
          <w:highlight w:val="none"/>
          <w:lang w:val="en-US" w:eastAsia="zh-CN" w:bidi="ar-SA"/>
        </w:rPr>
        <w:t>）</w:t>
      </w:r>
      <w:r>
        <w:rPr>
          <w:rFonts w:hint="eastAsia" w:ascii="Times New Roman" w:hAnsi="Times New Roman" w:eastAsia="仿宋" w:cs="Times New Roman"/>
          <w:b w:val="0"/>
          <w:bCs/>
          <w:color w:val="auto"/>
          <w:kern w:val="2"/>
          <w:sz w:val="28"/>
          <w:szCs w:val="24"/>
          <w:highlight w:val="none"/>
          <w:lang w:val="en-US" w:eastAsia="zh-CN" w:bidi="ar-SA"/>
        </w:rPr>
        <w:t>在本级人民代表大会闭会期间，决定“一府两院”个别组 成人员的任免；</w:t>
      </w:r>
      <w:r>
        <w:rPr>
          <w:rFonts w:hint="eastAsia" w:ascii="Times New Roman" w:hAnsi="Times New Roman" w:eastAsia="仿宋" w:cs="Times New Roman"/>
          <w:b w:val="0"/>
          <w:bCs/>
          <w:color w:val="auto"/>
          <w:kern w:val="2"/>
          <w:sz w:val="28"/>
          <w:szCs w:val="24"/>
          <w:highlight w:val="none"/>
          <w:lang w:val="en-US" w:eastAsia="zh-CN" w:bidi="ar-SA"/>
        </w:rPr>
        <w:br w:type="textWrapping"/>
      </w:r>
      <w:r>
        <w:rPr>
          <w:rFonts w:hint="eastAsia" w:ascii="Times New Roman" w:hAnsi="Times New Roman" w:cs="Times New Roman"/>
          <w:b w:val="0"/>
          <w:bCs/>
          <w:color w:val="auto"/>
          <w:kern w:val="2"/>
          <w:sz w:val="28"/>
          <w:szCs w:val="24"/>
          <w:highlight w:val="none"/>
          <w:lang w:val="en-US" w:eastAsia="zh-CN" w:bidi="ar-SA"/>
        </w:rPr>
        <w:t>（</w:t>
      </w:r>
      <w:r>
        <w:rPr>
          <w:rFonts w:hint="eastAsia" w:ascii="Times New Roman" w:hAnsi="Times New Roman" w:eastAsia="仿宋" w:cs="Times New Roman"/>
          <w:b w:val="0"/>
          <w:bCs/>
          <w:color w:val="auto"/>
          <w:kern w:val="2"/>
          <w:sz w:val="28"/>
          <w:szCs w:val="24"/>
          <w:highlight w:val="none"/>
          <w:lang w:val="en-US" w:eastAsia="zh-CN" w:bidi="ar-SA"/>
        </w:rPr>
        <w:t>10</w:t>
      </w:r>
      <w:r>
        <w:rPr>
          <w:rFonts w:hint="eastAsia" w:ascii="Times New Roman" w:hAnsi="Times New Roman" w:cs="Times New Roman"/>
          <w:b w:val="0"/>
          <w:bCs/>
          <w:color w:val="auto"/>
          <w:kern w:val="2"/>
          <w:sz w:val="28"/>
          <w:szCs w:val="24"/>
          <w:highlight w:val="none"/>
          <w:lang w:val="en-US" w:eastAsia="zh-CN" w:bidi="ar-SA"/>
        </w:rPr>
        <w:t>）</w:t>
      </w:r>
      <w:r>
        <w:rPr>
          <w:rFonts w:hint="eastAsia" w:ascii="Times New Roman" w:hAnsi="Times New Roman" w:eastAsia="仿宋" w:cs="Times New Roman"/>
          <w:b w:val="0"/>
          <w:bCs/>
          <w:color w:val="auto"/>
          <w:kern w:val="2"/>
          <w:sz w:val="28"/>
          <w:szCs w:val="24"/>
          <w:highlight w:val="none"/>
          <w:lang w:val="en-US" w:eastAsia="zh-CN" w:bidi="ar-SA"/>
        </w:rPr>
        <w:t>在本级人民代表大会闭会期间，补选上一级 人民代表大会出缺的代表和罢免个别代表；</w:t>
      </w:r>
      <w:r>
        <w:rPr>
          <w:rFonts w:hint="eastAsia" w:ascii="Times New Roman" w:hAnsi="Times New Roman" w:eastAsia="仿宋" w:cs="Times New Roman"/>
          <w:b w:val="0"/>
          <w:bCs/>
          <w:color w:val="auto"/>
          <w:kern w:val="2"/>
          <w:sz w:val="28"/>
          <w:szCs w:val="24"/>
          <w:highlight w:val="none"/>
          <w:lang w:val="en-US" w:eastAsia="zh-CN" w:bidi="ar-SA"/>
        </w:rPr>
        <w:br w:type="textWrapping"/>
      </w:r>
      <w:r>
        <w:rPr>
          <w:rFonts w:hint="eastAsia" w:ascii="Times New Roman" w:hAnsi="Times New Roman" w:cs="Times New Roman"/>
          <w:b w:val="0"/>
          <w:bCs/>
          <w:color w:val="auto"/>
          <w:kern w:val="2"/>
          <w:sz w:val="28"/>
          <w:szCs w:val="24"/>
          <w:highlight w:val="none"/>
          <w:lang w:val="en-US" w:eastAsia="zh-CN" w:bidi="ar-SA"/>
        </w:rPr>
        <w:t>（</w:t>
      </w:r>
      <w:r>
        <w:rPr>
          <w:rFonts w:hint="eastAsia" w:ascii="Times New Roman" w:hAnsi="Times New Roman" w:eastAsia="仿宋" w:cs="Times New Roman"/>
          <w:b w:val="0"/>
          <w:bCs/>
          <w:color w:val="auto"/>
          <w:kern w:val="2"/>
          <w:sz w:val="28"/>
          <w:szCs w:val="24"/>
          <w:highlight w:val="none"/>
          <w:lang w:val="en-US" w:eastAsia="zh-CN" w:bidi="ar-SA"/>
        </w:rPr>
        <w:t>11</w:t>
      </w:r>
      <w:r>
        <w:rPr>
          <w:rFonts w:hint="eastAsia" w:ascii="Times New Roman" w:hAnsi="Times New Roman" w:cs="Times New Roman"/>
          <w:b w:val="0"/>
          <w:bCs/>
          <w:color w:val="auto"/>
          <w:kern w:val="2"/>
          <w:sz w:val="28"/>
          <w:szCs w:val="24"/>
          <w:highlight w:val="none"/>
          <w:lang w:val="en-US" w:eastAsia="zh-CN" w:bidi="ar-SA"/>
        </w:rPr>
        <w:t>）</w:t>
      </w:r>
      <w:r>
        <w:rPr>
          <w:rFonts w:hint="eastAsia" w:ascii="Times New Roman" w:hAnsi="Times New Roman" w:eastAsia="仿宋" w:cs="Times New Roman"/>
          <w:b w:val="0"/>
          <w:bCs/>
          <w:color w:val="auto"/>
          <w:kern w:val="2"/>
          <w:sz w:val="28"/>
          <w:szCs w:val="24"/>
          <w:highlight w:val="none"/>
          <w:lang w:val="en-US" w:eastAsia="zh-CN" w:bidi="ar-SA"/>
        </w:rPr>
        <w:t>决定授予地方的 荣誉称号。</w:t>
      </w:r>
    </w:p>
    <w:p w14:paraId="6E10FAEF">
      <w:pPr>
        <w:pStyle w:val="2"/>
        <w:bidi w:val="0"/>
        <w:rPr>
          <w:rFonts w:hint="eastAsia" w:ascii="Times New Roman" w:hAnsi="Times New Roman" w:eastAsia="仿宋" w:cs="Times New Roman"/>
          <w:b w:val="0"/>
          <w:bCs/>
          <w:color w:val="auto"/>
          <w:kern w:val="2"/>
          <w:sz w:val="28"/>
          <w:szCs w:val="24"/>
          <w:highlight w:val="none"/>
          <w:lang w:val="en-US" w:eastAsia="zh-CN" w:bidi="ar-SA"/>
        </w:rPr>
      </w:pPr>
      <w:r>
        <w:rPr>
          <w:rFonts w:hint="eastAsia" w:ascii="Times New Roman" w:hAnsi="Times New Roman" w:eastAsia="仿宋" w:cs="Times New Roman"/>
          <w:b w:val="0"/>
          <w:bCs/>
          <w:color w:val="auto"/>
          <w:kern w:val="2"/>
          <w:sz w:val="28"/>
          <w:szCs w:val="24"/>
          <w:highlight w:val="none"/>
          <w:lang w:val="en-US" w:eastAsia="zh-CN" w:bidi="ar-SA"/>
        </w:rPr>
        <w:t>2.部门机构设置及人员构成</w:t>
      </w:r>
    </w:p>
    <w:p w14:paraId="0234D622">
      <w:pPr>
        <w:pStyle w:val="2"/>
        <w:bidi w:val="0"/>
        <w:rPr>
          <w:rFonts w:hint="eastAsia" w:ascii="Times New Roman" w:hAnsi="Times New Roman" w:eastAsia="仿宋" w:cs="Times New Roman"/>
          <w:b w:val="0"/>
          <w:bCs/>
          <w:color w:val="auto"/>
          <w:kern w:val="2"/>
          <w:sz w:val="28"/>
          <w:szCs w:val="24"/>
          <w:highlight w:val="none"/>
          <w:lang w:val="en-US" w:eastAsia="zh-CN" w:bidi="ar-SA"/>
        </w:rPr>
      </w:pPr>
      <w:r>
        <w:rPr>
          <w:rFonts w:hint="eastAsia" w:ascii="Times New Roman" w:hAnsi="Times New Roman" w:eastAsia="仿宋" w:cs="Times New Roman"/>
          <w:b w:val="0"/>
          <w:bCs/>
          <w:color w:val="auto"/>
          <w:kern w:val="2"/>
          <w:sz w:val="28"/>
          <w:szCs w:val="24"/>
          <w:highlight w:val="none"/>
          <w:lang w:val="en-US" w:eastAsia="zh-CN" w:bidi="ar-SA"/>
        </w:rPr>
        <w:t>根据上述职责，和静县人大常委会办公室设有5个内设机构：人大办公室、法制工作委员会、财经工作委员会、教科文卫工作委员会、代表人事工作委员会。</w:t>
      </w:r>
    </w:p>
    <w:p w14:paraId="6BD549A7">
      <w:pPr>
        <w:pStyle w:val="2"/>
        <w:bidi w:val="0"/>
        <w:rPr>
          <w:rFonts w:hint="eastAsia" w:ascii="Times New Roman" w:hAnsi="Times New Roman" w:eastAsia="仿宋" w:cs="Times New Roman"/>
          <w:b w:val="0"/>
          <w:bCs/>
          <w:color w:val="auto"/>
          <w:kern w:val="2"/>
          <w:sz w:val="28"/>
          <w:szCs w:val="24"/>
          <w:highlight w:val="none"/>
          <w:lang w:val="en-US" w:eastAsia="zh-CN" w:bidi="ar-SA"/>
        </w:rPr>
      </w:pPr>
      <w:r>
        <w:rPr>
          <w:rFonts w:hint="eastAsia" w:ascii="Times New Roman" w:hAnsi="Times New Roman" w:eastAsia="仿宋" w:cs="Times New Roman"/>
          <w:b w:val="0"/>
          <w:bCs/>
          <w:color w:val="auto"/>
          <w:kern w:val="2"/>
          <w:sz w:val="28"/>
          <w:szCs w:val="24"/>
          <w:highlight w:val="none"/>
          <w:lang w:val="en-US" w:eastAsia="zh-CN" w:bidi="ar-SA"/>
        </w:rPr>
        <w:t>和静县人大常委会办公室单位编制数16，实有人数48人，其中：在职17人，增加5人；退休31人，增加2人；离休0人，增加0人。</w:t>
      </w:r>
    </w:p>
    <w:p w14:paraId="710EDAE2">
      <w:pPr>
        <w:pStyle w:val="4"/>
        <w:bidi w:val="0"/>
        <w:rPr>
          <w:rFonts w:hint="eastAsia"/>
          <w:color w:val="auto"/>
          <w:highlight w:val="none"/>
          <w:lang w:val="en-US" w:eastAsia="zh-CN"/>
        </w:rPr>
      </w:pPr>
      <w:r>
        <w:rPr>
          <w:rFonts w:hint="eastAsia"/>
          <w:color w:val="auto"/>
          <w:highlight w:val="none"/>
          <w:lang w:val="en-US" w:eastAsia="zh-CN"/>
        </w:rPr>
        <w:t>（二）部门单位年度重点工作</w:t>
      </w:r>
    </w:p>
    <w:p w14:paraId="5CA83CE9">
      <w:pPr>
        <w:pStyle w:val="2"/>
        <w:bidi w:val="0"/>
        <w:rPr>
          <w:rFonts w:hint="eastAsia" w:ascii="Times New Roman" w:hAnsi="Times New Roman" w:eastAsia="仿宋" w:cs="Times New Roman"/>
          <w:b w:val="0"/>
          <w:bCs/>
          <w:color w:val="auto"/>
          <w:kern w:val="2"/>
          <w:sz w:val="28"/>
          <w:szCs w:val="24"/>
          <w:highlight w:val="none"/>
          <w:lang w:val="en-US" w:eastAsia="zh-CN" w:bidi="ar-SA"/>
        </w:rPr>
      </w:pPr>
      <w:r>
        <w:rPr>
          <w:rFonts w:hint="eastAsia" w:ascii="Times New Roman" w:hAnsi="Times New Roman" w:cs="Times New Roman"/>
          <w:b w:val="0"/>
          <w:bCs/>
          <w:color w:val="auto"/>
          <w:kern w:val="2"/>
          <w:sz w:val="28"/>
          <w:szCs w:val="24"/>
          <w:highlight w:val="none"/>
          <w:lang w:val="en-US" w:eastAsia="zh-CN" w:bidi="ar-SA"/>
        </w:rPr>
        <w:t>1</w:t>
      </w:r>
      <w:r>
        <w:rPr>
          <w:rFonts w:hint="eastAsia" w:ascii="Times New Roman" w:hAnsi="Times New Roman" w:eastAsia="仿宋" w:cs="Times New Roman"/>
          <w:b w:val="0"/>
          <w:bCs/>
          <w:color w:val="auto"/>
          <w:kern w:val="2"/>
          <w:sz w:val="28"/>
          <w:szCs w:val="24"/>
          <w:highlight w:val="none"/>
          <w:lang w:val="en-US" w:eastAsia="zh-CN" w:bidi="ar-SA"/>
        </w:rPr>
        <w:t>.</w:t>
      </w:r>
      <w:r>
        <w:rPr>
          <w:rFonts w:hint="default" w:ascii="Times New Roman" w:hAnsi="Times New Roman" w:eastAsia="仿宋" w:cs="Times New Roman"/>
          <w:b w:val="0"/>
          <w:bCs/>
          <w:color w:val="auto"/>
          <w:kern w:val="2"/>
          <w:sz w:val="28"/>
          <w:szCs w:val="24"/>
          <w:highlight w:val="none"/>
          <w:lang w:val="en-US" w:eastAsia="zh-CN" w:bidi="ar-SA"/>
        </w:rPr>
        <w:t>始终坚持党对人大工作的全面领导</w:t>
      </w:r>
      <w:r>
        <w:rPr>
          <w:rFonts w:hint="eastAsia" w:ascii="Times New Roman" w:hAnsi="Times New Roman" w:eastAsia="仿宋" w:cs="Times New Roman"/>
          <w:b w:val="0"/>
          <w:bCs/>
          <w:color w:val="auto"/>
          <w:kern w:val="2"/>
          <w:sz w:val="28"/>
          <w:szCs w:val="24"/>
          <w:highlight w:val="none"/>
          <w:lang w:val="en-US" w:eastAsia="zh-CN" w:bidi="ar-SA"/>
        </w:rPr>
        <w:t>常委会坚持把党的领导作为首要政治原则贯穿到人大工作全过程、各方面，把增强“四个意识”、坚定“四个自信”、做到“两个维护”扎根在思想深处、落实到具体行动中。把牢党领导下的政治机关定位，严明政治纪律和政治规矩，认真落实请示报告制度，县人大常委会涉及重要会议、重要人事任免等内容向县党委请示报告共10次。常委会班子成员坚决服从县党委统一指挥，冲锋在前，带头深入包联乡（镇）村（社区），全力抓好包联乡镇的维护社会稳定、乡村振兴、安全生产等工作，将党委的决策部署贯彻落实在基层。</w:t>
      </w:r>
    </w:p>
    <w:p w14:paraId="795162B8">
      <w:pPr>
        <w:pStyle w:val="2"/>
        <w:bidi w:val="0"/>
        <w:rPr>
          <w:rFonts w:hint="default" w:ascii="Times New Roman" w:hAnsi="Times New Roman" w:eastAsia="仿宋" w:cs="Times New Roman"/>
          <w:b w:val="0"/>
          <w:bCs/>
          <w:color w:val="auto"/>
          <w:kern w:val="2"/>
          <w:sz w:val="28"/>
          <w:szCs w:val="24"/>
          <w:highlight w:val="none"/>
          <w:lang w:val="en-US" w:eastAsia="zh-CN" w:bidi="ar-SA"/>
        </w:rPr>
      </w:pPr>
      <w:r>
        <w:rPr>
          <w:rFonts w:hint="eastAsia" w:ascii="Times New Roman" w:hAnsi="Times New Roman" w:cs="Times New Roman"/>
          <w:b w:val="0"/>
          <w:bCs/>
          <w:color w:val="auto"/>
          <w:kern w:val="2"/>
          <w:sz w:val="28"/>
          <w:szCs w:val="24"/>
          <w:highlight w:val="none"/>
          <w:lang w:val="en-US" w:eastAsia="zh-CN" w:bidi="ar-SA"/>
        </w:rPr>
        <w:t>2</w:t>
      </w:r>
      <w:r>
        <w:rPr>
          <w:rFonts w:hint="eastAsia" w:ascii="Times New Roman" w:hAnsi="Times New Roman" w:eastAsia="仿宋" w:cs="Times New Roman"/>
          <w:b w:val="0"/>
          <w:bCs/>
          <w:color w:val="auto"/>
          <w:kern w:val="2"/>
          <w:sz w:val="28"/>
          <w:szCs w:val="24"/>
          <w:highlight w:val="none"/>
          <w:lang w:val="en-US" w:eastAsia="zh-CN" w:bidi="ar-SA"/>
        </w:rPr>
        <w:t>.</w:t>
      </w:r>
      <w:r>
        <w:rPr>
          <w:rFonts w:hint="default" w:ascii="Times New Roman" w:hAnsi="Times New Roman" w:eastAsia="仿宋" w:cs="Times New Roman"/>
          <w:b w:val="0"/>
          <w:bCs/>
          <w:color w:val="auto"/>
          <w:kern w:val="2"/>
          <w:sz w:val="28"/>
          <w:szCs w:val="24"/>
          <w:highlight w:val="none"/>
          <w:lang w:val="en-US" w:eastAsia="zh-CN" w:bidi="ar-SA"/>
        </w:rPr>
        <w:t>深入推进人大监督工作</w:t>
      </w:r>
      <w:r>
        <w:rPr>
          <w:rFonts w:hint="eastAsia" w:ascii="Times New Roman" w:hAnsi="Times New Roman" w:eastAsia="仿宋" w:cs="Times New Roman"/>
          <w:b w:val="0"/>
          <w:bCs/>
          <w:color w:val="auto"/>
          <w:kern w:val="2"/>
          <w:sz w:val="28"/>
          <w:szCs w:val="24"/>
          <w:highlight w:val="none"/>
          <w:lang w:val="en-US" w:eastAsia="zh-CN" w:bidi="ar-SA"/>
        </w:rPr>
        <w:t>，常委会聚焦改革发展稳定重点任务，突出维护稳定、经济发展、民生改善、生态环保等监督重点，健全制度机制，创新方式方法，监督工作的高度、深度、力度和实效不断增强。今年累计召开常委会议6次、听取审议报告34个、开展湿地保护法和自治区民族团结进步模范区创建条例、去极端化条例等法律法规的执法检查10个，组织人大常委会委员认真审改各项报告，提出合理化意见建议并转送县人民政府，及时督促县人民政府及其有关部门加强整改，推动县党委的决策部署</w:t>
      </w:r>
      <w:r>
        <w:rPr>
          <w:rFonts w:hint="eastAsia" w:ascii="Times New Roman" w:hAnsi="Times New Roman" w:cs="Times New Roman"/>
          <w:b w:val="0"/>
          <w:bCs/>
          <w:color w:val="auto"/>
          <w:kern w:val="2"/>
          <w:sz w:val="28"/>
          <w:szCs w:val="24"/>
          <w:highlight w:val="none"/>
          <w:lang w:val="en-US" w:eastAsia="zh-CN" w:bidi="ar-SA"/>
        </w:rPr>
        <w:t>得到更好的</w:t>
      </w:r>
      <w:r>
        <w:rPr>
          <w:rFonts w:hint="eastAsia" w:ascii="Times New Roman" w:hAnsi="Times New Roman" w:eastAsia="仿宋" w:cs="Times New Roman"/>
          <w:b w:val="0"/>
          <w:bCs/>
          <w:color w:val="auto"/>
          <w:kern w:val="2"/>
          <w:sz w:val="28"/>
          <w:szCs w:val="24"/>
          <w:highlight w:val="none"/>
          <w:lang w:val="en-US" w:eastAsia="zh-CN" w:bidi="ar-SA"/>
        </w:rPr>
        <w:t>落实。</w:t>
      </w:r>
    </w:p>
    <w:p w14:paraId="1443A240">
      <w:pPr>
        <w:pStyle w:val="2"/>
        <w:bidi w:val="0"/>
        <w:rPr>
          <w:rFonts w:hint="default" w:ascii="Times New Roman" w:hAnsi="Times New Roman" w:eastAsia="仿宋" w:cs="Times New Roman"/>
          <w:b w:val="0"/>
          <w:bCs/>
          <w:color w:val="auto"/>
          <w:kern w:val="2"/>
          <w:sz w:val="28"/>
          <w:szCs w:val="24"/>
          <w:highlight w:val="none"/>
          <w:lang w:val="en-US" w:eastAsia="zh-CN" w:bidi="ar-SA"/>
        </w:rPr>
      </w:pPr>
      <w:r>
        <w:rPr>
          <w:rFonts w:hint="eastAsia" w:ascii="Times New Roman" w:hAnsi="Times New Roman" w:cs="Times New Roman"/>
          <w:b w:val="0"/>
          <w:bCs/>
          <w:color w:val="auto"/>
          <w:kern w:val="2"/>
          <w:sz w:val="28"/>
          <w:szCs w:val="24"/>
          <w:highlight w:val="none"/>
          <w:lang w:val="en-US" w:eastAsia="zh-CN" w:bidi="ar-SA"/>
        </w:rPr>
        <w:t>3</w:t>
      </w:r>
      <w:r>
        <w:rPr>
          <w:rFonts w:hint="eastAsia" w:ascii="Times New Roman" w:hAnsi="Times New Roman" w:eastAsia="仿宋" w:cs="Times New Roman"/>
          <w:b w:val="0"/>
          <w:bCs/>
          <w:color w:val="auto"/>
          <w:kern w:val="2"/>
          <w:sz w:val="28"/>
          <w:szCs w:val="24"/>
          <w:highlight w:val="none"/>
          <w:lang w:val="en-US" w:eastAsia="zh-CN" w:bidi="ar-SA"/>
        </w:rPr>
        <w:t>.</w:t>
      </w:r>
      <w:r>
        <w:rPr>
          <w:rFonts w:hint="default" w:ascii="Times New Roman" w:hAnsi="Times New Roman" w:eastAsia="仿宋" w:cs="Times New Roman"/>
          <w:b w:val="0"/>
          <w:bCs/>
          <w:color w:val="auto"/>
          <w:kern w:val="2"/>
          <w:sz w:val="28"/>
          <w:szCs w:val="24"/>
          <w:highlight w:val="none"/>
          <w:lang w:val="en-US" w:eastAsia="zh-CN" w:bidi="ar-SA"/>
        </w:rPr>
        <w:t>依法履行代表职责，不断改进新时代人大代表工作</w:t>
      </w:r>
      <w:r>
        <w:rPr>
          <w:rFonts w:hint="eastAsia" w:ascii="Times New Roman" w:hAnsi="Times New Roman" w:eastAsia="仿宋" w:cs="Times New Roman"/>
          <w:b w:val="0"/>
          <w:bCs/>
          <w:color w:val="auto"/>
          <w:kern w:val="2"/>
          <w:sz w:val="28"/>
          <w:szCs w:val="24"/>
          <w:highlight w:val="none"/>
          <w:lang w:val="en-US" w:eastAsia="zh-CN" w:bidi="ar-SA"/>
        </w:rPr>
        <w:t>和静县人大常委会以乡镇人大代表联络站为平台，持续性抓好基层人大代表联络站每周三“开放日”、</w:t>
      </w:r>
      <w:r>
        <w:rPr>
          <w:rFonts w:hint="default" w:ascii="Times New Roman" w:hAnsi="Times New Roman" w:eastAsia="仿宋" w:cs="Times New Roman"/>
          <w:b w:val="0"/>
          <w:bCs/>
          <w:color w:val="auto"/>
          <w:kern w:val="2"/>
          <w:sz w:val="28"/>
          <w:szCs w:val="24"/>
          <w:highlight w:val="none"/>
          <w:lang w:val="en-US" w:eastAsia="zh-CN" w:bidi="ar-SA"/>
        </w:rPr>
        <w:t>每月20日</w:t>
      </w:r>
      <w:r>
        <w:rPr>
          <w:rFonts w:hint="eastAsia" w:ascii="Times New Roman" w:hAnsi="Times New Roman" w:eastAsia="仿宋" w:cs="Times New Roman"/>
          <w:b w:val="0"/>
          <w:bCs/>
          <w:color w:val="auto"/>
          <w:kern w:val="2"/>
          <w:sz w:val="28"/>
          <w:szCs w:val="24"/>
          <w:highlight w:val="none"/>
          <w:lang w:val="en-US" w:eastAsia="zh-CN" w:bidi="ar-SA"/>
        </w:rPr>
        <w:t>“接待日”、每季度“代表大讲堂”等活动，推进人大代表与群众之间的联系，代表也可以通过入户走访、进站接待群众、召开座谈会等形式，与群众保持经常性的互动联系，听取和反映意见建议，并反馈意见建议办理结果。今年以来，举办代表培训两次，开展代表联络站活动24次，各级人大代表参与接访、座谈、调研等活动320余人次，累计收集意见建议120余条，协助解决问题85个，化解各类矛盾纠纷110件，让各族群众的“操心事、揪心事、烦心事”得到有效解决，受到群众的一致称赞。</w:t>
      </w:r>
    </w:p>
    <w:p w14:paraId="2DE1B820">
      <w:pPr>
        <w:pStyle w:val="4"/>
        <w:bidi w:val="0"/>
        <w:rPr>
          <w:rFonts w:hint="default"/>
          <w:color w:val="auto"/>
          <w:highlight w:val="none"/>
          <w:lang w:val="en-US" w:eastAsia="zh-CN"/>
        </w:rPr>
      </w:pPr>
      <w:r>
        <w:rPr>
          <w:rFonts w:hint="eastAsia"/>
          <w:color w:val="auto"/>
          <w:highlight w:val="none"/>
          <w:lang w:val="en-US" w:eastAsia="zh-CN"/>
        </w:rPr>
        <w:t>（三）部门单位整体预算规模及安排情况</w:t>
      </w:r>
    </w:p>
    <w:p w14:paraId="5CE6AC1F">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14:paraId="529C4603">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14:paraId="50BD72EF">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我单位年初预算数为413.73万元，实际预算执行数412.9万元，预算执行率为99.98%。</w:t>
      </w:r>
    </w:p>
    <w:p w14:paraId="30DC6340">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14:paraId="3B4506FF">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全年预算数为515.98万元，全年实际支出资金515.98万元，预算执行率为100%。</w:t>
      </w:r>
    </w:p>
    <w:p w14:paraId="56DEF9B4">
      <w:pPr>
        <w:pStyle w:val="2"/>
        <w:bidi w:val="0"/>
        <w:rPr>
          <w:rFonts w:hint="eastAsia"/>
          <w:color w:val="auto"/>
          <w:highlight w:val="none"/>
          <w:lang w:val="en-US" w:eastAsia="zh-CN"/>
        </w:rPr>
      </w:pPr>
      <w:r>
        <w:rPr>
          <w:rFonts w:hint="eastAsia"/>
          <w:color w:val="auto"/>
          <w:highlight w:val="none"/>
          <w:lang w:val="en-US" w:eastAsia="zh-CN"/>
        </w:rPr>
        <w:t>2.预算调整（追加减）情况</w:t>
      </w:r>
    </w:p>
    <w:p w14:paraId="0137BA7C">
      <w:pPr>
        <w:bidi w:val="0"/>
        <w:rPr>
          <w:rFonts w:hint="eastAsia" w:ascii="Times New Roman" w:hAnsi="Times New Roman" w:cs="Times New Roman"/>
          <w:bCs/>
          <w:color w:val="auto"/>
          <w:highlight w:val="none"/>
          <w:lang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413.73</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102.25</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515.98</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24.71</w:t>
      </w:r>
      <w:r>
        <w:rPr>
          <w:rFonts w:hint="eastAsia" w:ascii="Times New Roman" w:hAnsi="Times New Roman" w:cs="Times New Roman"/>
          <w:bCs/>
          <w:color w:val="auto"/>
          <w:highlight w:val="none"/>
          <w:lang w:eastAsia="zh-CN"/>
        </w:rPr>
        <w:t>%。（预算调整率=调整数/年初预算数*100%=</w:t>
      </w:r>
      <w:r>
        <w:rPr>
          <w:rFonts w:hint="eastAsia" w:ascii="Times New Roman" w:hAnsi="Times New Roman" w:cs="Times New Roman"/>
          <w:bCs/>
          <w:color w:val="auto"/>
          <w:highlight w:val="none"/>
          <w:lang w:val="en-US" w:eastAsia="zh-CN"/>
        </w:rPr>
        <w:t>24.71</w:t>
      </w:r>
      <w:r>
        <w:rPr>
          <w:rFonts w:hint="eastAsia" w:ascii="Times New Roman" w:hAnsi="Times New Roman" w:cs="Times New Roman"/>
          <w:bCs/>
          <w:color w:val="auto"/>
          <w:highlight w:val="none"/>
          <w:lang w:eastAsia="zh-CN"/>
        </w:rPr>
        <w:t>%。）</w:t>
      </w:r>
    </w:p>
    <w:p w14:paraId="0598A1A9">
      <w:pPr>
        <w:pStyle w:val="2"/>
        <w:rPr>
          <w:rFonts w:hint="default"/>
          <w:color w:val="auto"/>
          <w:highlight w:val="none"/>
          <w:lang w:val="en-US" w:eastAsia="zh-CN"/>
        </w:rPr>
      </w:pPr>
      <w:r>
        <w:rPr>
          <w:rFonts w:hint="default"/>
          <w:color w:val="auto"/>
          <w:highlight w:val="none"/>
          <w:lang w:val="en-US" w:eastAsia="zh-CN"/>
        </w:rPr>
        <w:t>3.资金使用主要内容、涉及的范围</w:t>
      </w:r>
    </w:p>
    <w:p w14:paraId="50AA70BB">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color w:val="auto"/>
          <w:highlight w:val="none"/>
          <w:lang w:val="en-US" w:eastAsia="zh-CN"/>
        </w:rPr>
        <w:t>515.98</w:t>
      </w:r>
      <w:r>
        <w:rPr>
          <w:rFonts w:hint="default"/>
          <w:color w:val="auto"/>
          <w:highlight w:val="none"/>
          <w:lang w:val="en-US" w:eastAsia="zh-CN"/>
        </w:rPr>
        <w:t>万元，其中：</w:t>
      </w:r>
    </w:p>
    <w:p w14:paraId="4EABA4E7">
      <w:pPr>
        <w:bidi w:val="0"/>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458.18</w:t>
      </w:r>
      <w:r>
        <w:rPr>
          <w:rFonts w:hint="default"/>
          <w:color w:val="auto"/>
          <w:highlight w:val="none"/>
          <w:lang w:val="en-US" w:eastAsia="zh-CN"/>
        </w:rPr>
        <w:t>万元，资金的使用方向为我单位机关人员经费支出</w:t>
      </w:r>
      <w:r>
        <w:rPr>
          <w:rFonts w:hint="eastAsia"/>
          <w:color w:val="auto"/>
          <w:highlight w:val="none"/>
          <w:lang w:val="en-US" w:eastAsia="zh-CN"/>
        </w:rPr>
        <w:t>447.54</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10.639696</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，主要用于保障人员工资及人员医保、社保、住房公积金等缴费，单位办公用品购买及车辆燃油费及维修等方面支出。</w:t>
      </w:r>
    </w:p>
    <w:p w14:paraId="29465899">
      <w:pPr>
        <w:bidi w:val="0"/>
        <w:rPr>
          <w:rFonts w:hint="default"/>
          <w:color w:val="auto"/>
          <w:highlight w:val="none"/>
          <w:lang w:val="en-US" w:eastAsia="zh-CN"/>
        </w:rPr>
      </w:pPr>
      <w:r>
        <w:rPr>
          <w:rFonts w:hint="default"/>
          <w:color w:val="auto"/>
          <w:highlight w:val="none"/>
          <w:lang w:val="en-US" w:eastAsia="zh-CN"/>
        </w:rPr>
        <w:t>项目支出共计</w:t>
      </w:r>
      <w:r>
        <w:rPr>
          <w:rFonts w:hint="eastAsia"/>
          <w:color w:val="auto"/>
          <w:highlight w:val="none"/>
          <w:lang w:val="en-US" w:eastAsia="zh-CN"/>
        </w:rPr>
        <w:t>57.80</w:t>
      </w:r>
      <w:r>
        <w:rPr>
          <w:rFonts w:hint="default"/>
          <w:color w:val="auto"/>
          <w:highlight w:val="none"/>
          <w:lang w:val="en-US" w:eastAsia="zh-CN"/>
        </w:rPr>
        <w:t>万元，主要用于保障2023年自治州人大代表活动经费项目</w:t>
      </w:r>
      <w:r>
        <w:rPr>
          <w:rFonts w:hint="eastAsia"/>
          <w:color w:val="auto"/>
          <w:highlight w:val="none"/>
          <w:lang w:val="en-US" w:eastAsia="zh-CN"/>
        </w:rPr>
        <w:t>5.88万元</w:t>
      </w:r>
      <w:r>
        <w:rPr>
          <w:rFonts w:hint="default"/>
          <w:color w:val="auto"/>
          <w:highlight w:val="none"/>
          <w:lang w:val="en-US" w:eastAsia="zh-CN"/>
        </w:rPr>
        <w:t>、人大代表活动经费项目</w:t>
      </w:r>
      <w:r>
        <w:rPr>
          <w:rFonts w:hint="eastAsia"/>
          <w:color w:val="auto"/>
          <w:highlight w:val="none"/>
          <w:lang w:val="en-US" w:eastAsia="zh-CN"/>
        </w:rPr>
        <w:t>38.6099万元</w:t>
      </w:r>
      <w:r>
        <w:rPr>
          <w:rFonts w:hint="default"/>
          <w:color w:val="auto"/>
          <w:highlight w:val="none"/>
          <w:lang w:val="en-US" w:eastAsia="zh-CN"/>
        </w:rPr>
        <w:t>、基层人大补助经费项目</w:t>
      </w:r>
      <w:r>
        <w:rPr>
          <w:rFonts w:hint="eastAsia"/>
          <w:color w:val="auto"/>
          <w:highlight w:val="none"/>
          <w:lang w:val="en-US" w:eastAsia="zh-CN"/>
        </w:rPr>
        <w:t>11.31438万元、</w:t>
      </w:r>
      <w:r>
        <w:rPr>
          <w:rFonts w:hint="default"/>
          <w:color w:val="auto"/>
          <w:highlight w:val="none"/>
          <w:lang w:val="en-US" w:eastAsia="zh-CN"/>
        </w:rPr>
        <w:t xml:space="preserve"> 2023自治州县市人大代表联络站补助经费</w:t>
      </w:r>
      <w:r>
        <w:rPr>
          <w:rFonts w:hint="eastAsia"/>
          <w:color w:val="auto"/>
          <w:highlight w:val="none"/>
          <w:lang w:val="en-US" w:eastAsia="zh-CN"/>
        </w:rPr>
        <w:t>项目</w:t>
      </w:r>
      <w:r>
        <w:rPr>
          <w:rFonts w:hint="default"/>
          <w:color w:val="auto"/>
          <w:highlight w:val="none"/>
          <w:lang w:val="en-US" w:eastAsia="zh-CN"/>
        </w:rPr>
        <w:t>支出</w:t>
      </w:r>
      <w:r>
        <w:rPr>
          <w:rFonts w:hint="eastAsia"/>
          <w:color w:val="auto"/>
          <w:highlight w:val="none"/>
          <w:lang w:val="en-US" w:eastAsia="zh-CN"/>
        </w:rPr>
        <w:t>2万元</w:t>
      </w:r>
      <w:r>
        <w:rPr>
          <w:rFonts w:hint="default"/>
          <w:color w:val="auto"/>
          <w:highlight w:val="none"/>
          <w:lang w:val="en-US" w:eastAsia="zh-CN"/>
        </w:rPr>
        <w:t>。</w:t>
      </w:r>
    </w:p>
    <w:p w14:paraId="476508B2">
      <w:pPr>
        <w:pStyle w:val="3"/>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14:paraId="25E137E3">
      <w:pPr>
        <w:pStyle w:val="4"/>
        <w:bidi w:val="0"/>
        <w:rPr>
          <w:rFonts w:hint="eastAsia"/>
          <w:color w:val="auto"/>
          <w:highlight w:val="none"/>
          <w:lang w:val="en-US" w:eastAsia="zh-CN"/>
        </w:rPr>
      </w:pPr>
      <w:r>
        <w:rPr>
          <w:rFonts w:hint="eastAsia"/>
          <w:color w:val="auto"/>
          <w:highlight w:val="none"/>
          <w:lang w:val="en-US" w:eastAsia="zh-CN"/>
        </w:rPr>
        <w:t>（一）基本支出和使用情况</w:t>
      </w:r>
    </w:p>
    <w:p w14:paraId="43ACF18B">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515.98万元，全年实际支出515.98万元，资金执行率100%。基本支出严格按照财务管理制度执行，其中：</w:t>
      </w:r>
    </w:p>
    <w:p w14:paraId="5E85E093">
      <w:pPr>
        <w:bidi w:val="0"/>
        <w:rPr>
          <w:rFonts w:hint="eastAsia"/>
          <w:color w:val="auto"/>
          <w:highlight w:val="none"/>
          <w:lang w:val="en-US" w:eastAsia="zh-CN"/>
        </w:rPr>
      </w:pPr>
      <w:r>
        <w:rPr>
          <w:rFonts w:hint="eastAsia"/>
          <w:color w:val="auto"/>
          <w:highlight w:val="none"/>
          <w:lang w:val="en-US" w:eastAsia="zh-CN"/>
        </w:rPr>
        <w:t>人员经费支出447.54万元，主要包括：基本工资、津贴补贴、奖金、绩效工资、机关事业单位基本养老保险缴费、职业年金缴费、职工基本医疗保险缴费、公务员医疗补助缴费、其他社会保障缴费、住房公积金、其他工资福利支出、离休费、生活补助、抚恤金、奖励金等。</w:t>
      </w:r>
    </w:p>
    <w:p w14:paraId="4C30B03D">
      <w:pPr>
        <w:bidi w:val="0"/>
        <w:rPr>
          <w:rFonts w:hint="eastAsia"/>
          <w:color w:val="auto"/>
          <w:highlight w:val="none"/>
          <w:lang w:val="en-US" w:eastAsia="zh-CN"/>
        </w:rPr>
      </w:pPr>
      <w:r>
        <w:rPr>
          <w:rFonts w:hint="eastAsia"/>
          <w:color w:val="auto"/>
          <w:highlight w:val="none"/>
          <w:lang w:val="en-US" w:eastAsia="zh-CN"/>
        </w:rPr>
        <w:t>公用经费支出10.64万元，主要包括：办公费、邮电费、取暖费、物业管理费、差旅费、培训费、工会经费、委托业务费支出。</w:t>
      </w:r>
    </w:p>
    <w:p w14:paraId="6A08B8A7">
      <w:pPr>
        <w:pStyle w:val="4"/>
        <w:bidi w:val="0"/>
        <w:rPr>
          <w:rFonts w:hint="eastAsia"/>
          <w:color w:val="auto"/>
          <w:highlight w:val="none"/>
          <w:lang w:val="en-US" w:eastAsia="zh-CN"/>
        </w:rPr>
      </w:pPr>
      <w:r>
        <w:rPr>
          <w:rFonts w:hint="eastAsia"/>
          <w:color w:val="auto"/>
          <w:highlight w:val="none"/>
          <w:lang w:val="en-US" w:eastAsia="zh-CN"/>
        </w:rPr>
        <w:t>（二）政策、项目支出和使用情况</w:t>
      </w:r>
    </w:p>
    <w:p w14:paraId="60699795">
      <w:pPr>
        <w:pStyle w:val="2"/>
        <w:bidi w:val="0"/>
        <w:rPr>
          <w:rFonts w:hint="eastAsia"/>
          <w:color w:val="auto"/>
          <w:highlight w:val="none"/>
          <w:lang w:val="en-US" w:eastAsia="zh-CN"/>
        </w:rPr>
      </w:pPr>
      <w:r>
        <w:rPr>
          <w:rFonts w:hint="eastAsia"/>
          <w:color w:val="auto"/>
          <w:highlight w:val="none"/>
          <w:lang w:val="en-US" w:eastAsia="zh-CN"/>
        </w:rPr>
        <w:t>1.政策、项目支出的投入情况分析</w:t>
      </w:r>
    </w:p>
    <w:p w14:paraId="73EB114D">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度共</w:t>
      </w:r>
      <w:r>
        <w:rPr>
          <w:rFonts w:hint="eastAsia"/>
          <w:color w:val="auto"/>
          <w:highlight w:val="none"/>
          <w:lang w:eastAsia="zh-CN"/>
        </w:rPr>
        <w:t>安排</w:t>
      </w:r>
      <w:r>
        <w:rPr>
          <w:rFonts w:hint="eastAsia"/>
          <w:color w:val="auto"/>
          <w:highlight w:val="none"/>
          <w:lang w:val="en-US" w:eastAsia="zh-CN"/>
        </w:rPr>
        <w:t>项目支出预算57.8</w:t>
      </w:r>
      <w:r>
        <w:rPr>
          <w:rFonts w:hint="eastAsia"/>
          <w:color w:val="auto"/>
          <w:highlight w:val="none"/>
          <w:lang w:eastAsia="zh-CN"/>
        </w:rPr>
        <w:t>万元，</w:t>
      </w:r>
      <w:r>
        <w:rPr>
          <w:rFonts w:hint="eastAsia"/>
          <w:color w:val="auto"/>
          <w:highlight w:val="none"/>
          <w:lang w:val="en-US" w:eastAsia="zh-CN"/>
        </w:rPr>
        <w:t>其中：上级专项资金19.19万元，本级财政资金38.06万元</w:t>
      </w:r>
      <w:r>
        <w:rPr>
          <w:rFonts w:hint="eastAsia"/>
          <w:color w:val="auto"/>
          <w:highlight w:val="none"/>
          <w:lang w:eastAsia="zh-CN"/>
        </w:rPr>
        <w:t>。</w:t>
      </w:r>
    </w:p>
    <w:p w14:paraId="24A95A9D">
      <w:pPr>
        <w:pStyle w:val="2"/>
        <w:bidi w:val="0"/>
        <w:rPr>
          <w:rFonts w:hint="eastAsia"/>
          <w:color w:val="auto"/>
          <w:highlight w:val="none"/>
          <w:lang w:val="en-US" w:eastAsia="zh-CN"/>
        </w:rPr>
      </w:pPr>
      <w:r>
        <w:rPr>
          <w:rFonts w:hint="eastAsia"/>
          <w:color w:val="auto"/>
          <w:highlight w:val="none"/>
          <w:lang w:val="en-US" w:eastAsia="zh-CN"/>
        </w:rPr>
        <w:t>2.政策、项目支出管理情况</w:t>
      </w:r>
    </w:p>
    <w:p w14:paraId="4A3823AE">
      <w:pPr>
        <w:bidi w:val="0"/>
        <w:rPr>
          <w:rFonts w:hint="eastAsia"/>
          <w:color w:val="auto"/>
          <w:highlight w:val="none"/>
          <w:lang w:val="en-US" w:eastAsia="zh-CN"/>
        </w:rPr>
      </w:pPr>
      <w:r>
        <w:rPr>
          <w:rFonts w:hint="eastAsia"/>
          <w:color w:val="auto"/>
          <w:highlight w:val="none"/>
          <w:lang w:val="en-US" w:eastAsia="zh-CN"/>
        </w:rPr>
        <w:t>（1）资金管理情况。我单位项目资金全部按财政国库集中支付制度要求使用和拨付，通过财政直接支付方式拨给项目实施单位。在拨付过程中严把监督审核关，建立健全内部审批制度，财务做好项目专账，严格实行专款专用，保证资金及时足额用到项目中。2023年上级财政下达我单位专项资金19.19万元，其中2023年自治州人大代表活动经费5.88万元，以财政直接支付形式发放州人大代表履职补助2.94万元，会议费及代表工作室建设费2.94万元，主要用于会议场地租赁，办公用品购置，以及人大代表活动开展所需相关开支；</w:t>
      </w:r>
      <w:r>
        <w:rPr>
          <w:rFonts w:hint="default"/>
          <w:color w:val="auto"/>
          <w:highlight w:val="none"/>
          <w:lang w:val="en-US" w:eastAsia="zh-CN"/>
        </w:rPr>
        <w:t>人大代表履职能力提升支出</w:t>
      </w:r>
      <w:r>
        <w:rPr>
          <w:rFonts w:hint="eastAsia"/>
          <w:color w:val="auto"/>
          <w:highlight w:val="none"/>
          <w:lang w:val="en-US" w:eastAsia="zh-CN"/>
        </w:rPr>
        <w:t>的2023年自治州县市人大代表联络站补助经费2</w:t>
      </w:r>
      <w:r>
        <w:rPr>
          <w:rFonts w:hint="default"/>
          <w:color w:val="auto"/>
          <w:highlight w:val="none"/>
          <w:lang w:val="en-US" w:eastAsia="zh-CN"/>
        </w:rPr>
        <w:t>万元</w:t>
      </w:r>
      <w:r>
        <w:rPr>
          <w:rFonts w:hint="eastAsia"/>
          <w:color w:val="auto"/>
          <w:highlight w:val="none"/>
          <w:lang w:val="en-US" w:eastAsia="zh-CN"/>
        </w:rPr>
        <w:t>，主要用于代表联络站补助支出经费，办公用品购置，宣传印刷服务购置；</w:t>
      </w:r>
      <w:r>
        <w:rPr>
          <w:rFonts w:hint="default"/>
          <w:color w:val="auto"/>
          <w:highlight w:val="none"/>
          <w:lang w:val="en-US" w:eastAsia="zh-CN"/>
        </w:rPr>
        <w:t>其他人大事务支出</w:t>
      </w:r>
      <w:r>
        <w:rPr>
          <w:rFonts w:hint="eastAsia"/>
          <w:color w:val="auto"/>
          <w:highlight w:val="none"/>
          <w:lang w:val="en-US" w:eastAsia="zh-CN"/>
        </w:rPr>
        <w:t>的基层人大补助经费11.31万元，主要用于报刊订购，人大代表履职能力提升培训，办公用品购置，以及人大代表活动开展所需相关开支；人大代表活动经费38.63万元，会议费及代表工作室建设费38.6099万元，主要用于会议场地租赁，办公用品购置，以及人大代表活动开展所需相关开支。</w:t>
      </w:r>
    </w:p>
    <w:p w14:paraId="75867BC5">
      <w:pPr>
        <w:bidi w:val="0"/>
        <w:rPr>
          <w:rFonts w:hint="eastAsia"/>
          <w:color w:val="auto"/>
          <w:highlight w:val="none"/>
          <w:lang w:val="en-US" w:eastAsia="zh-CN"/>
        </w:rPr>
      </w:pPr>
      <w:r>
        <w:rPr>
          <w:rFonts w:hint="eastAsia"/>
          <w:color w:val="auto"/>
          <w:highlight w:val="none"/>
          <w:lang w:val="en-US" w:eastAsia="zh-CN"/>
        </w:rPr>
        <w:t>（2）项目实施组织管理情况。我单位项目实施和资金使用分配坚持集体决策。对人大代表活动经费项目制订工作方案，明确时间节点，开展项目规划设计、部署工作，认真落实项目任务。人大代表活动经费，有效保障人大常委会党组会议、主任办公会议及专门委员会会议的及时召开。扎实做好人大工作，保障参与人大代表活动人数不少于171人，调研次数不少于10次，召开人代会及常委会不少于6次。加大监督力度，改进监督方式，密切协调“一府一委两院”，增强监督的严肃性、协同性、有效性。对和静县生态景区保护工作、农田防护林建设管理落实情况展开实地调研。听民声，访民意，解民忧。以财政直接支付形式发放人大代表。</w:t>
      </w:r>
    </w:p>
    <w:p w14:paraId="263203A1">
      <w:pPr>
        <w:pStyle w:val="2"/>
        <w:bidi w:val="0"/>
        <w:rPr>
          <w:rFonts w:hint="eastAsia"/>
          <w:color w:val="auto"/>
          <w:highlight w:val="none"/>
          <w:lang w:val="en-US" w:eastAsia="zh-CN"/>
        </w:rPr>
      </w:pPr>
      <w:r>
        <w:rPr>
          <w:rFonts w:hint="eastAsia"/>
          <w:color w:val="auto"/>
          <w:highlight w:val="none"/>
          <w:lang w:val="en-US" w:eastAsia="zh-CN"/>
        </w:rPr>
        <w:t>3.政策、项目支出总体实际使用情况</w:t>
      </w:r>
    </w:p>
    <w:p w14:paraId="0E78AA11">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度安排项目支出资金57.8万元，</w:t>
      </w:r>
      <w:r>
        <w:rPr>
          <w:rFonts w:hint="eastAsia"/>
          <w:color w:val="auto"/>
          <w:highlight w:val="none"/>
          <w:lang w:eastAsia="zh-CN"/>
        </w:rPr>
        <w:t>实际</w:t>
      </w:r>
      <w:r>
        <w:rPr>
          <w:rFonts w:hint="eastAsia"/>
          <w:color w:val="auto"/>
          <w:highlight w:val="none"/>
          <w:lang w:val="en-US" w:eastAsia="zh-CN"/>
        </w:rPr>
        <w:t>支出57.8</w:t>
      </w:r>
      <w:r>
        <w:rPr>
          <w:rFonts w:hint="eastAsia"/>
          <w:color w:val="auto"/>
          <w:highlight w:val="none"/>
          <w:lang w:eastAsia="zh-CN"/>
        </w:rPr>
        <w:t>万元，</w:t>
      </w:r>
      <w:r>
        <w:rPr>
          <w:rFonts w:hint="eastAsia"/>
          <w:color w:val="auto"/>
          <w:highlight w:val="none"/>
          <w:lang w:val="en-US" w:eastAsia="zh-CN"/>
        </w:rPr>
        <w:t>其中：上级专项资金支出19.19万元，本级财政安排项目资金支出38.06万元，项目预算资金</w:t>
      </w:r>
      <w:r>
        <w:rPr>
          <w:rFonts w:hint="eastAsia"/>
          <w:color w:val="auto"/>
          <w:highlight w:val="none"/>
        </w:rPr>
        <w:t>执行率</w:t>
      </w:r>
      <w:r>
        <w:rPr>
          <w:rFonts w:hint="eastAsia"/>
          <w:color w:val="auto"/>
          <w:highlight w:val="none"/>
          <w:lang w:val="en-US" w:eastAsia="zh-CN"/>
        </w:rPr>
        <w:t>100%</w:t>
      </w:r>
      <w:r>
        <w:rPr>
          <w:rFonts w:hint="eastAsia"/>
          <w:color w:val="auto"/>
          <w:highlight w:val="none"/>
          <w:lang w:eastAsia="zh-CN"/>
        </w:rPr>
        <w:t>，结转</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结余0</w:t>
      </w:r>
      <w:r>
        <w:rPr>
          <w:rFonts w:hint="eastAsia"/>
          <w:color w:val="auto"/>
          <w:highlight w:val="none"/>
          <w:lang w:eastAsia="zh-CN"/>
        </w:rPr>
        <w:t>万元。</w:t>
      </w:r>
      <w:bookmarkStart w:id="2" w:name="_Toc1734_WPSOffice_Level1"/>
    </w:p>
    <w:p w14:paraId="5FC18A26">
      <w:pPr>
        <w:bidi w:val="0"/>
        <w:rPr>
          <w:rFonts w:hint="default"/>
          <w:color w:val="auto"/>
          <w:highlight w:val="none"/>
          <w:lang w:val="en-US" w:eastAsia="zh-CN"/>
        </w:rPr>
      </w:pPr>
      <w:r>
        <w:rPr>
          <w:rFonts w:hint="default"/>
          <w:color w:val="auto"/>
          <w:highlight w:val="none"/>
          <w:lang w:val="en-US" w:eastAsia="zh-CN"/>
        </w:rPr>
        <w:t>我单位2023年度安排项目支出主要内容</w:t>
      </w:r>
      <w:r>
        <w:rPr>
          <w:rFonts w:hint="eastAsia"/>
          <w:color w:val="auto"/>
          <w:highlight w:val="none"/>
          <w:lang w:val="en-US" w:eastAsia="zh-CN"/>
        </w:rPr>
        <w:t>（</w:t>
      </w:r>
      <w:r>
        <w:rPr>
          <w:rFonts w:hint="default"/>
          <w:color w:val="auto"/>
          <w:highlight w:val="none"/>
          <w:lang w:val="en-US" w:eastAsia="zh-CN"/>
        </w:rPr>
        <w:t>按功能分类</w:t>
      </w:r>
      <w:r>
        <w:rPr>
          <w:rFonts w:hint="eastAsia"/>
          <w:color w:val="auto"/>
          <w:highlight w:val="none"/>
          <w:lang w:val="en-US" w:eastAsia="zh-CN"/>
        </w:rPr>
        <w:t>）：</w:t>
      </w:r>
      <w:r>
        <w:rPr>
          <w:rFonts w:hint="default"/>
          <w:color w:val="auto"/>
          <w:highlight w:val="none"/>
          <w:lang w:val="en-US" w:eastAsia="zh-CN"/>
        </w:rPr>
        <w:t>包括人大代表履职能力提升支出</w:t>
      </w:r>
      <w:r>
        <w:rPr>
          <w:rFonts w:hint="eastAsia"/>
          <w:color w:val="auto"/>
          <w:highlight w:val="none"/>
          <w:lang w:val="en-US" w:eastAsia="zh-CN"/>
        </w:rPr>
        <w:t>2</w:t>
      </w:r>
      <w:r>
        <w:rPr>
          <w:rFonts w:hint="default"/>
          <w:color w:val="auto"/>
          <w:highlight w:val="none"/>
          <w:lang w:val="en-US" w:eastAsia="zh-CN"/>
        </w:rPr>
        <w:t>万元，代表工作支出</w:t>
      </w:r>
      <w:r>
        <w:rPr>
          <w:rFonts w:hint="eastAsia"/>
          <w:color w:val="auto"/>
          <w:highlight w:val="none"/>
          <w:lang w:val="en-US" w:eastAsia="zh-CN"/>
        </w:rPr>
        <w:t>5.88</w:t>
      </w:r>
      <w:r>
        <w:rPr>
          <w:rFonts w:hint="default"/>
          <w:color w:val="auto"/>
          <w:highlight w:val="none"/>
          <w:lang w:val="en-US" w:eastAsia="zh-CN"/>
        </w:rPr>
        <w:t>万元，其他人大事务支出</w:t>
      </w:r>
      <w:r>
        <w:rPr>
          <w:rFonts w:hint="eastAsia"/>
          <w:color w:val="auto"/>
          <w:highlight w:val="none"/>
          <w:lang w:val="en-US" w:eastAsia="zh-CN"/>
        </w:rPr>
        <w:t>49.92</w:t>
      </w:r>
      <w:r>
        <w:rPr>
          <w:rFonts w:hint="default"/>
          <w:color w:val="auto"/>
          <w:highlight w:val="none"/>
          <w:lang w:val="en-US" w:eastAsia="zh-CN"/>
        </w:rPr>
        <w:t>万元</w:t>
      </w:r>
      <w:r>
        <w:rPr>
          <w:rFonts w:hint="eastAsia"/>
          <w:color w:val="auto"/>
          <w:highlight w:val="none"/>
          <w:lang w:val="en-US" w:eastAsia="zh-CN"/>
        </w:rPr>
        <w:t>。</w:t>
      </w:r>
    </w:p>
    <w:bookmarkEnd w:id="2"/>
    <w:p w14:paraId="4EE4DF3C">
      <w:pPr>
        <w:pStyle w:val="3"/>
        <w:bidi w:val="0"/>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14:paraId="16F5173A">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3</w:t>
      </w:r>
      <w:r>
        <w:rPr>
          <w:rFonts w:hint="eastAsia"/>
          <w:color w:val="auto"/>
          <w:highlight w:val="none"/>
        </w:rPr>
        <w:t>个，二级指标</w:t>
      </w:r>
      <w:r>
        <w:rPr>
          <w:rFonts w:hint="eastAsia"/>
          <w:color w:val="auto"/>
          <w:highlight w:val="none"/>
          <w:lang w:val="en-US" w:eastAsia="zh-CN"/>
        </w:rPr>
        <w:t>1</w:t>
      </w:r>
      <w:r>
        <w:rPr>
          <w:rFonts w:hint="eastAsia"/>
          <w:color w:val="auto"/>
          <w:highlight w:val="none"/>
        </w:rPr>
        <w:t>个，三级指标</w:t>
      </w:r>
      <w:r>
        <w:rPr>
          <w:rFonts w:hint="eastAsia"/>
          <w:color w:val="auto"/>
          <w:highlight w:val="none"/>
          <w:lang w:val="en-US" w:eastAsia="zh-CN"/>
        </w:rPr>
        <w:t>6</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6</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14:paraId="6225268A">
      <w:pPr>
        <w:pStyle w:val="4"/>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一）项目支出预算执行率</w:t>
      </w:r>
      <w:r>
        <w:rPr>
          <w:rFonts w:hint="eastAsia"/>
          <w:color w:val="auto"/>
          <w:highlight w:val="none"/>
        </w:rPr>
        <w:t>指标完成情况分析</w:t>
      </w:r>
    </w:p>
    <w:p w14:paraId="7B9AA916">
      <w:pPr>
        <w:bidi w:val="0"/>
        <w:rPr>
          <w:rFonts w:hint="eastAsia"/>
          <w:color w:val="auto"/>
          <w:highlight w:val="none"/>
          <w:lang w:val="en-US" w:eastAsia="zh-CN"/>
        </w:rPr>
      </w:pPr>
      <w:r>
        <w:rPr>
          <w:rFonts w:hint="eastAsia"/>
          <w:color w:val="auto"/>
          <w:highlight w:val="none"/>
          <w:lang w:val="en-US" w:eastAsia="zh-CN"/>
        </w:rPr>
        <w:t>项目支出预算执行率指标年初设定目标是&gt;=90%，年中绩效运行监控时完成值0%，年终实际完成值是100%，指标完成率是100%，达到及时完成召开会议前期采购工作，保障人民代表大会顺利召开预期目标。偏差原因：无偏差。</w:t>
      </w:r>
    </w:p>
    <w:p w14:paraId="7BAC9902">
      <w:pPr>
        <w:pStyle w:val="4"/>
        <w:bidi w:val="0"/>
        <w:rPr>
          <w:rFonts w:hint="eastAsia"/>
          <w:color w:val="auto"/>
          <w:highlight w:val="none"/>
          <w:lang w:val="en-US" w:eastAsia="zh-CN"/>
        </w:rPr>
      </w:pPr>
      <w:r>
        <w:rPr>
          <w:rFonts w:hint="eastAsia"/>
          <w:color w:val="auto"/>
          <w:highlight w:val="none"/>
          <w:lang w:val="en-US" w:eastAsia="zh-CN"/>
        </w:rPr>
        <w:t>（二）“三公经费”控制率指标完成情况分析</w:t>
      </w:r>
    </w:p>
    <w:p w14:paraId="696C345D">
      <w:pPr>
        <w:bidi w:val="0"/>
        <w:rPr>
          <w:rFonts w:hint="eastAsia"/>
          <w:color w:val="auto"/>
          <w:highlight w:val="none"/>
          <w:lang w:val="en-US" w:eastAsia="zh-CN"/>
        </w:rPr>
      </w:pPr>
      <w:r>
        <w:rPr>
          <w:rFonts w:hint="eastAsia"/>
          <w:color w:val="auto"/>
          <w:highlight w:val="none"/>
          <w:lang w:val="en-US" w:eastAsia="zh-CN"/>
        </w:rPr>
        <w:t>指标年初设定目标是&gt;=100%，年中绩效运行监控时完成值100%，年终实际完成值是100%，指标完成率是100%，达到严格财务管理，厉行节约经费支出的预期目标。偏差原因：无偏差。</w:t>
      </w:r>
    </w:p>
    <w:p w14:paraId="43FAD112">
      <w:pPr>
        <w:pStyle w:val="4"/>
        <w:bidi w:val="0"/>
        <w:rPr>
          <w:rFonts w:hint="eastAsia"/>
          <w:color w:val="auto"/>
          <w:highlight w:val="none"/>
          <w:lang w:val="en-US" w:eastAsia="zh-CN"/>
        </w:rPr>
      </w:pPr>
      <w:r>
        <w:rPr>
          <w:rFonts w:hint="eastAsia"/>
          <w:color w:val="auto"/>
          <w:highlight w:val="none"/>
          <w:lang w:val="en-US" w:eastAsia="zh-CN"/>
        </w:rPr>
        <w:t>（三）县人代会召开次数指标完成情况分析</w:t>
      </w:r>
    </w:p>
    <w:p w14:paraId="7A3D6B20">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color w:val="auto"/>
          <w:highlight w:val="none"/>
          <w:lang w:val="en-US" w:eastAsia="zh-CN"/>
        </w:rPr>
      </w:pPr>
      <w:r>
        <w:rPr>
          <w:rFonts w:hint="eastAsia"/>
          <w:color w:val="auto"/>
          <w:highlight w:val="none"/>
          <w:lang w:val="en-US" w:eastAsia="zh-CN"/>
        </w:rPr>
        <w:t>指标年初设定目标是=1次，年中绩效运行监控时完成值0次，年终实际完成值是1次，指标完成率是100%，达到常委会坚持把党的领导作为首要政治原则贯穿到人大工作全过程、各方面，扎根在思想深处、落实到具体行动中，将党委的决策部署贯彻落实在基层预期目标。偏差原因：无偏差。</w:t>
      </w:r>
    </w:p>
    <w:p w14:paraId="76CFD678">
      <w:pPr>
        <w:pStyle w:val="4"/>
        <w:bidi w:val="0"/>
        <w:rPr>
          <w:rFonts w:hint="eastAsia"/>
          <w:color w:val="auto"/>
          <w:highlight w:val="none"/>
          <w:lang w:val="en-US" w:eastAsia="zh-CN"/>
        </w:rPr>
      </w:pPr>
      <w:r>
        <w:rPr>
          <w:rFonts w:hint="eastAsia"/>
          <w:color w:val="auto"/>
          <w:highlight w:val="none"/>
          <w:lang w:val="en-US" w:eastAsia="zh-CN"/>
        </w:rPr>
        <w:t>（四）人大常委会会议次数指标完成情况分析</w:t>
      </w:r>
    </w:p>
    <w:p w14:paraId="441650F9">
      <w:pPr>
        <w:bidi w:val="0"/>
        <w:rPr>
          <w:rFonts w:hint="eastAsia"/>
          <w:color w:val="auto"/>
          <w:highlight w:val="none"/>
          <w:lang w:val="en-US" w:eastAsia="zh-CN"/>
        </w:rPr>
      </w:pPr>
      <w:r>
        <w:rPr>
          <w:rFonts w:hint="eastAsia"/>
          <w:color w:val="auto"/>
          <w:highlight w:val="none"/>
          <w:lang w:val="en-US" w:eastAsia="zh-CN"/>
        </w:rPr>
        <w:t>指标年初设定目标是=6次，年中绩效运行监控时完成值4次，年终实际完成值是6次，指标完成率是100%，达到常委会聚焦改革发展稳定重点任务，突出维护稳定、经济发展、民生改善、生态环保等监督重点，召开常委会专题会议，推动县党委的决策部署得到更好的落实预期目标。偏差原因：无偏差。</w:t>
      </w:r>
    </w:p>
    <w:p w14:paraId="113F4327">
      <w:pPr>
        <w:pStyle w:val="4"/>
        <w:bidi w:val="0"/>
        <w:rPr>
          <w:rFonts w:hint="eastAsia"/>
          <w:color w:val="auto"/>
          <w:highlight w:val="none"/>
          <w:lang w:val="en-US" w:eastAsia="zh-CN"/>
        </w:rPr>
      </w:pPr>
      <w:r>
        <w:rPr>
          <w:rFonts w:hint="eastAsia"/>
          <w:color w:val="auto"/>
          <w:highlight w:val="none"/>
          <w:lang w:val="en-US" w:eastAsia="zh-CN"/>
        </w:rPr>
        <w:t>（五）视察调研次数指标完成情况分析</w:t>
      </w:r>
    </w:p>
    <w:p w14:paraId="5BED69CD">
      <w:pPr>
        <w:bidi w:val="0"/>
        <w:rPr>
          <w:rFonts w:hint="eastAsia"/>
          <w:color w:val="auto"/>
          <w:highlight w:val="none"/>
          <w:lang w:val="en-US" w:eastAsia="zh-CN"/>
        </w:rPr>
      </w:pPr>
      <w:r>
        <w:rPr>
          <w:rFonts w:hint="eastAsia"/>
          <w:color w:val="auto"/>
          <w:highlight w:val="none"/>
          <w:lang w:val="en-US" w:eastAsia="zh-CN"/>
        </w:rPr>
        <w:t>指标年初设定目标是&gt;=10次，年中绩效运行监控时完成值5次，年终实际完成值是10次，指标完成率是100%，达到今年以来，举办代表培训两次，开展代表联络站活动24次，各级人大代表参与接访、座谈、调研等活动320余人次，累计收集意见建议120余条，协助解决问题85个，化解各类矛盾纠纷110件，让各族群众的“操心事、揪心事、烦心事”得到有效解决，受到群众的一致称赞的预期目标。偏差原因：无偏差。</w:t>
      </w:r>
    </w:p>
    <w:p w14:paraId="15C90C38">
      <w:pPr>
        <w:pStyle w:val="4"/>
        <w:bidi w:val="0"/>
        <w:rPr>
          <w:rFonts w:hint="eastAsia"/>
          <w:color w:val="auto"/>
          <w:highlight w:val="none"/>
          <w:lang w:val="en-US" w:eastAsia="zh-CN"/>
        </w:rPr>
      </w:pPr>
      <w:r>
        <w:rPr>
          <w:rFonts w:hint="eastAsia"/>
          <w:color w:val="auto"/>
          <w:highlight w:val="none"/>
          <w:lang w:val="en-US" w:eastAsia="zh-CN"/>
        </w:rPr>
        <w:t>（六）履职服务专项报告指标完成情况分析</w:t>
      </w:r>
    </w:p>
    <w:p w14:paraId="23FADEDC">
      <w:pPr>
        <w:bidi w:val="0"/>
        <w:rPr>
          <w:rFonts w:hint="eastAsia"/>
          <w:color w:val="auto"/>
          <w:highlight w:val="none"/>
          <w:lang w:val="en-US" w:eastAsia="zh-CN"/>
        </w:rPr>
      </w:pPr>
      <w:r>
        <w:rPr>
          <w:rFonts w:hint="eastAsia"/>
          <w:color w:val="auto"/>
          <w:highlight w:val="none"/>
          <w:lang w:val="en-US" w:eastAsia="zh-CN"/>
        </w:rPr>
        <w:t>指标年初设定目标是&gt;=5次，年中绩效运行监控时完成值5次，年终实际完成值是5次，指标完成率是100%，达到</w:t>
      </w:r>
      <w:r>
        <w:rPr>
          <w:rFonts w:hint="default"/>
          <w:color w:val="auto"/>
          <w:highlight w:val="none"/>
          <w:lang w:val="en-US" w:eastAsia="zh-CN"/>
        </w:rPr>
        <w:t>坚持新时代好干部标准，推进素质培养、知事识人、从严管理、正向激励，努力建设忠诚干净担当的高素质干部队伍。</w:t>
      </w:r>
      <w:r>
        <w:rPr>
          <w:rFonts w:hint="eastAsia"/>
          <w:color w:val="auto"/>
          <w:highlight w:val="none"/>
          <w:lang w:val="en-US" w:eastAsia="zh-CN"/>
        </w:rPr>
        <w:t>突出维护稳定、经济发展、民生改善、生态环保等监督重点工作内容发表工作报告5次预期目标。偏差原因：无偏差。</w:t>
      </w:r>
    </w:p>
    <w:p w14:paraId="0885D10C">
      <w:pPr>
        <w:pStyle w:val="3"/>
        <w:numPr>
          <w:ilvl w:val="0"/>
          <w:numId w:val="0"/>
        </w:numPr>
        <w:bidi w:val="0"/>
        <w:ind w:leftChars="200"/>
        <w:rPr>
          <w:rFonts w:hint="default"/>
          <w:color w:val="auto"/>
          <w:highlight w:val="none"/>
          <w:lang w:val="en-US"/>
        </w:rPr>
      </w:pPr>
      <w:r>
        <w:rPr>
          <w:rFonts w:hint="eastAsia"/>
          <w:color w:val="auto"/>
          <w:highlight w:val="none"/>
          <w:lang w:val="en-US" w:eastAsia="zh-CN"/>
        </w:rPr>
        <w:t>四、评价结论</w:t>
      </w:r>
    </w:p>
    <w:p w14:paraId="68D77EED">
      <w:pPr>
        <w:bidi w:val="0"/>
        <w:rPr>
          <w:rFonts w:hint="eastAsia" w:ascii="Times New Roman" w:hAnsi="Times New Roman" w:cs="Times New Roman"/>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100</w:t>
      </w:r>
      <w:r>
        <w:rPr>
          <w:rFonts w:hint="eastAsia"/>
          <w:color w:val="auto"/>
          <w:highlight w:val="none"/>
          <w:lang w:eastAsia="zh-CN"/>
        </w:rPr>
        <w:t>分，评价结果为“优”。</w:t>
      </w:r>
      <w:r>
        <w:rPr>
          <w:rFonts w:hint="eastAsia" w:ascii="Times New Roman" w:hAnsi="Times New Roman" w:cs="Times New Roman"/>
          <w:color w:val="auto"/>
          <w:highlight w:val="none"/>
          <w:lang w:eastAsia="zh-CN"/>
        </w:rPr>
        <w:t>我</w:t>
      </w:r>
      <w:r>
        <w:rPr>
          <w:rFonts w:hint="default" w:ascii="Times New Roman" w:hAnsi="Times New Roman" w:cs="Times New Roman"/>
          <w:color w:val="auto"/>
          <w:highlight w:val="none"/>
          <w:lang w:eastAsia="zh-CN"/>
        </w:rPr>
        <w:t>单位</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年部门履职效果良好，</w:t>
      </w:r>
      <w:r>
        <w:rPr>
          <w:rFonts w:hint="eastAsia" w:ascii="Times New Roman" w:hAnsi="Times New Roman" w:cs="Times New Roman"/>
          <w:color w:val="auto"/>
          <w:highlight w:val="none"/>
          <w:lang w:val="en-US" w:eastAsia="zh-CN"/>
        </w:rPr>
        <w:t>主要体现在：</w:t>
      </w:r>
    </w:p>
    <w:p w14:paraId="4326F487">
      <w:pPr>
        <w:bidi w:val="0"/>
        <w:rPr>
          <w:rFonts w:hint="eastAsia"/>
          <w:color w:val="auto"/>
          <w:highlight w:val="none"/>
          <w:lang w:val="en-US" w:eastAsia="zh-CN"/>
        </w:rPr>
      </w:pPr>
      <w:bookmarkStart w:id="4" w:name="_Toc22800_WPSOffice_Level1"/>
      <w:r>
        <w:rPr>
          <w:rFonts w:hint="eastAsia"/>
          <w:color w:val="auto"/>
          <w:highlight w:val="none"/>
          <w:lang w:val="en-US" w:eastAsia="zh-CN"/>
        </w:rPr>
        <w:t>1.今年累计召开常委会议6次、听取审议报告34个、开展湿地保护法和自治区民族团结进步模范区创建条例、去极端化条例等法律法规的执法检查10个，组织人大常委会委员认真审改各项报告，提出合理化意见建议并转送县人民政府，及时督促县人民政府及其有关部门加强整改，推动县党委的决策部署得到更好的落实。</w:t>
      </w:r>
    </w:p>
    <w:p w14:paraId="590304B1">
      <w:pPr>
        <w:bidi w:val="0"/>
        <w:rPr>
          <w:rFonts w:hint="eastAsia"/>
          <w:color w:val="auto"/>
          <w:highlight w:val="none"/>
          <w:lang w:val="en-US" w:eastAsia="zh-CN"/>
        </w:rPr>
      </w:pPr>
      <w:r>
        <w:rPr>
          <w:rFonts w:hint="eastAsia"/>
          <w:color w:val="auto"/>
          <w:highlight w:val="none"/>
          <w:lang w:val="en-US" w:eastAsia="zh-CN"/>
        </w:rPr>
        <w:t>2.静县人大常委会以乡镇人大代表联络站为平台，持续性抓好基层人大代表联络站每周三“开放日”、</w:t>
      </w:r>
      <w:r>
        <w:rPr>
          <w:rFonts w:hint="default"/>
          <w:color w:val="auto"/>
          <w:highlight w:val="none"/>
          <w:lang w:val="en-US" w:eastAsia="zh-CN"/>
        </w:rPr>
        <w:t>每月20日</w:t>
      </w:r>
      <w:r>
        <w:rPr>
          <w:rFonts w:hint="eastAsia"/>
          <w:color w:val="auto"/>
          <w:highlight w:val="none"/>
          <w:lang w:val="en-US" w:eastAsia="zh-CN"/>
        </w:rPr>
        <w:t xml:space="preserve">“接待日”、每季度“代表大讲堂”等活动，推进人大代表与群众之间的联系，代表也可以通过入户走访、进站接待群众、召开座谈会等形式，与群众保持经常性的互动联系，听取和反映意见建议，并反馈意见建议办理结果。 </w:t>
      </w:r>
    </w:p>
    <w:p w14:paraId="5BC8AB7F">
      <w:pPr>
        <w:bidi w:val="0"/>
        <w:rPr>
          <w:rFonts w:hint="default"/>
          <w:color w:val="auto"/>
          <w:highlight w:val="none"/>
          <w:lang w:val="en-US" w:eastAsia="zh-CN"/>
        </w:rPr>
      </w:pPr>
      <w:r>
        <w:rPr>
          <w:rFonts w:hint="eastAsia"/>
          <w:color w:val="auto"/>
          <w:highlight w:val="none"/>
          <w:lang w:val="en-US" w:eastAsia="zh-CN"/>
        </w:rPr>
        <w:t>3.今年以来，举办代表培训两次，开展代表联络站活动24次，各级人大代表参与接访、座谈、调研等活动320余人次，累计收集意见建议120余条，协助解决问题85个，化解各类矛盾纠纷110件，让各族群众的“操心事、揪心事、烦心事”得到有效解决，受到群众的一致称赞。</w:t>
      </w:r>
    </w:p>
    <w:p w14:paraId="1AA64175">
      <w:pPr>
        <w:pStyle w:val="3"/>
        <w:bidi w:val="0"/>
        <w:rPr>
          <w:rFonts w:hint="default" w:eastAsia="黑体"/>
          <w:color w:val="auto"/>
          <w:highlight w:val="none"/>
          <w:lang w:val="en-US" w:eastAsia="zh-CN"/>
        </w:rPr>
      </w:pPr>
      <w:r>
        <w:rPr>
          <w:rFonts w:hint="eastAsia"/>
          <w:color w:val="auto"/>
          <w:highlight w:val="none"/>
          <w:lang w:val="en-US" w:eastAsia="zh-CN"/>
        </w:rPr>
        <w:t>五、</w:t>
      </w:r>
      <w:r>
        <w:rPr>
          <w:rFonts w:hint="eastAsia"/>
          <w:color w:val="auto"/>
          <w:highlight w:val="none"/>
        </w:rPr>
        <w:t>存在的主要问题</w:t>
      </w:r>
      <w:bookmarkEnd w:id="4"/>
      <w:r>
        <w:rPr>
          <w:rFonts w:hint="eastAsia"/>
          <w:color w:val="auto"/>
          <w:highlight w:val="none"/>
          <w:lang w:val="en-US" w:eastAsia="zh-CN"/>
        </w:rPr>
        <w:t>及原因分析</w:t>
      </w:r>
    </w:p>
    <w:p w14:paraId="45D58113">
      <w:pPr>
        <w:bidi w:val="0"/>
        <w:rPr>
          <w:rFonts w:hint="default"/>
          <w:color w:val="auto"/>
          <w:highlight w:val="none"/>
          <w:lang w:eastAsia="zh-CN"/>
        </w:rPr>
      </w:pPr>
      <w:bookmarkStart w:id="5" w:name="_Toc29546_WPSOffice_Level1"/>
      <w:r>
        <w:rPr>
          <w:rFonts w:hint="default"/>
          <w:color w:val="auto"/>
          <w:highlight w:val="none"/>
          <w:lang w:eastAsia="zh-CN"/>
        </w:rPr>
        <w:t>（一）学习不够深入。理论学习自觉性不高，班子成员忙于事务，精力分散，刻苦钻研理论不够，在理论学习方面存在表面应付、完成任务的现象，理解精髓不够。主要领导干部讲党课少，专题讨论少、照本宣科的多，剖析问题少、部署工作多，在主观上对加强理论学习的紧迫感认识不足。</w:t>
      </w:r>
    </w:p>
    <w:p w14:paraId="47CA090C">
      <w:pPr>
        <w:bidi w:val="0"/>
        <w:rPr>
          <w:rFonts w:hint="default"/>
          <w:color w:val="auto"/>
          <w:highlight w:val="none"/>
          <w:lang w:eastAsia="zh-CN"/>
        </w:rPr>
      </w:pPr>
      <w:r>
        <w:rPr>
          <w:rFonts w:hint="default"/>
          <w:color w:val="auto"/>
          <w:highlight w:val="none"/>
          <w:lang w:eastAsia="zh-CN"/>
        </w:rPr>
        <w:t>（二）刚性监督力度不够。在实际工作中，由于监督方式运用不够充分、监督力度不够强，导致人大监督的实效性大打折扣。比如，听取审议专项工作报告、执法检查、视察调研等监督方式运用比较广泛，以提意见、建议的方法很难有效解决一些深层次、实质性的问题。</w:t>
      </w:r>
    </w:p>
    <w:p w14:paraId="26C486E9">
      <w:pPr>
        <w:bidi w:val="0"/>
        <w:rPr>
          <w:rFonts w:hint="default"/>
          <w:color w:val="auto"/>
          <w:highlight w:val="none"/>
          <w:lang w:eastAsia="zh-CN"/>
        </w:rPr>
      </w:pPr>
      <w:r>
        <w:rPr>
          <w:rFonts w:hint="default"/>
          <w:color w:val="auto"/>
          <w:highlight w:val="none"/>
          <w:lang w:eastAsia="zh-CN"/>
        </w:rPr>
        <w:t>（三）监督跟踪问效少。跟踪监督力度不够，对“一府一委两院”</w:t>
      </w:r>
      <w:r>
        <w:rPr>
          <w:rFonts w:hint="default"/>
          <w:color w:val="auto"/>
          <w:highlight w:val="none"/>
          <w:lang w:val="en-US" w:eastAsia="zh-CN"/>
        </w:rPr>
        <w:t>工作中存在的</w:t>
      </w:r>
      <w:r>
        <w:rPr>
          <w:rFonts w:hint="default"/>
          <w:color w:val="auto"/>
          <w:highlight w:val="none"/>
          <w:lang w:eastAsia="zh-CN"/>
        </w:rPr>
        <w:t>问题是否真正解决、工作是否真正改进，很少持续跟踪、一抓到底，重答复轻落实、审议意见落实不到位、监督效果不明显的突出问题。</w:t>
      </w:r>
    </w:p>
    <w:p w14:paraId="703D23A2">
      <w:pPr>
        <w:pStyle w:val="3"/>
        <w:bidi w:val="0"/>
        <w:rPr>
          <w:rFonts w:hint="eastAsia"/>
          <w:color w:val="auto"/>
          <w:highlight w:val="none"/>
        </w:rPr>
      </w:pPr>
      <w:r>
        <w:rPr>
          <w:rFonts w:hint="eastAsia"/>
          <w:color w:val="auto"/>
          <w:highlight w:val="none"/>
          <w:lang w:val="en-US" w:eastAsia="zh-CN"/>
        </w:rPr>
        <w:t>六、</w:t>
      </w:r>
      <w:r>
        <w:rPr>
          <w:rFonts w:hint="eastAsia"/>
          <w:color w:val="auto"/>
          <w:highlight w:val="none"/>
        </w:rPr>
        <w:t>改进措施和建议</w:t>
      </w:r>
      <w:bookmarkEnd w:id="5"/>
    </w:p>
    <w:p w14:paraId="0CC8EE02">
      <w:pPr>
        <w:bidi w:val="0"/>
        <w:rPr>
          <w:rFonts w:hint="eastAsia"/>
          <w:color w:val="auto"/>
          <w:highlight w:val="none"/>
          <w:lang w:val="en-US" w:eastAsia="zh-CN"/>
        </w:rPr>
      </w:pPr>
      <w:r>
        <w:rPr>
          <w:rFonts w:hint="eastAsia"/>
          <w:color w:val="auto"/>
          <w:highlight w:val="none"/>
          <w:lang w:val="en-US" w:eastAsia="zh-CN"/>
        </w:rPr>
        <w:t>（一）强化思想引领。健全党的创新理论学习长效机制，努力做到入心见行、善思善用，在构建人大制度、全过程人民民主的理论体系、话语体系上取得突破。要自觉把党的领导全面、系统、整体落实到人大工作和机关建设中。</w:t>
      </w:r>
    </w:p>
    <w:p w14:paraId="0EF0B5D5">
      <w:pPr>
        <w:bidi w:val="0"/>
        <w:rPr>
          <w:rFonts w:hint="eastAsia"/>
          <w:color w:val="auto"/>
          <w:highlight w:val="none"/>
          <w:lang w:val="en-US" w:eastAsia="zh-CN"/>
        </w:rPr>
      </w:pPr>
      <w:r>
        <w:rPr>
          <w:rFonts w:hint="eastAsia"/>
          <w:color w:val="auto"/>
          <w:highlight w:val="none"/>
          <w:lang w:val="en-US" w:eastAsia="zh-CN"/>
        </w:rPr>
        <w:t>（二）坚持党的领导。牢记政治机关是全国人大机关的第一属性，旗帜鲜明讲政治，始终在政治立场、政治方向、政治原则、政治道路上同以习近平同志为核心的党中央保持高度一致。坚持党的全面领导特别是党中央集中统一领导，不折不扣贯彻落实习近平总书记重要指示和党中央决策部署，严格执行请示报告制度，坚决守好人大意识形态阵地。要不断提高服务保障工作能力和水平。健全完善各负其责、功能完备、贯通协调、运行高效的人大党建工作体系，打造政治坚定、服务人民、尊崇法治、发扬民主、勤勉尽责的人大工作队伍，为强国建设、民族复兴作出人大贡献。</w:t>
      </w:r>
    </w:p>
    <w:p w14:paraId="75971EEB">
      <w:pPr>
        <w:bidi w:val="0"/>
        <w:rPr>
          <w:rFonts w:hint="eastAsia"/>
          <w:color w:val="auto"/>
          <w:highlight w:val="none"/>
        </w:rPr>
      </w:pPr>
      <w:r>
        <w:rPr>
          <w:rFonts w:hint="eastAsia"/>
          <w:color w:val="auto"/>
          <w:highlight w:val="none"/>
          <w:lang w:val="en-US" w:eastAsia="zh-CN"/>
        </w:rPr>
        <w:t>（三）建章立制推动人大工作走深走实。为确保人大工作切实推进，县人大常委会机关</w:t>
      </w:r>
      <w:bookmarkStart w:id="6" w:name="_GoBack"/>
      <w:bookmarkEnd w:id="6"/>
      <w:r>
        <w:rPr>
          <w:rFonts w:hint="eastAsia"/>
          <w:color w:val="auto"/>
          <w:highlight w:val="none"/>
          <w:lang w:val="en-US" w:eastAsia="zh-CN"/>
        </w:rPr>
        <w:t>积极推动建章立制，不断提升机关各项工作的制度化、规范化、标准化水平。组织机关各单位全面开展机关规章制度和规范性文件集中清理工作，用制度衔接党中央最新要求精神、巩固经验做法、补齐短板弱项，引导机关党员严格按照制度履职尽责、善于运用制度谋事干事，不断提高机关工作效能。</w:t>
      </w:r>
    </w:p>
    <w:p w14:paraId="62684A97">
      <w:pPr>
        <w:pStyle w:val="2"/>
        <w:rPr>
          <w:rFonts w:hint="eastAsia"/>
          <w:color w:val="auto"/>
          <w:highlight w:val="none"/>
          <w:lang w:val="en-US" w:eastAsia="zh-CN"/>
        </w:rPr>
      </w:pPr>
      <w:r>
        <w:rPr>
          <w:rFonts w:hint="eastAsia"/>
          <w:color w:val="auto"/>
          <w:highlight w:val="none"/>
          <w:lang w:val="en-US" w:eastAsia="zh-CN"/>
        </w:rPr>
        <w:t>七、附件上传</w:t>
      </w: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2"/>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9E2042">
    <w:pPr>
      <w:pStyle w:val="9"/>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14:paraId="0779DC10">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3B41EB"/>
    <w:rsid w:val="01941124"/>
    <w:rsid w:val="01CC583F"/>
    <w:rsid w:val="02337D11"/>
    <w:rsid w:val="02C40969"/>
    <w:rsid w:val="04DB4953"/>
    <w:rsid w:val="04FF0482"/>
    <w:rsid w:val="05062887"/>
    <w:rsid w:val="05464D81"/>
    <w:rsid w:val="05F70F85"/>
    <w:rsid w:val="0607573C"/>
    <w:rsid w:val="06547701"/>
    <w:rsid w:val="072B19D6"/>
    <w:rsid w:val="084208C4"/>
    <w:rsid w:val="098A3C0A"/>
    <w:rsid w:val="09A24E4E"/>
    <w:rsid w:val="0A8A5D94"/>
    <w:rsid w:val="0A9A7091"/>
    <w:rsid w:val="0C6738B8"/>
    <w:rsid w:val="0E7D784C"/>
    <w:rsid w:val="10300946"/>
    <w:rsid w:val="10FE60D7"/>
    <w:rsid w:val="134F7771"/>
    <w:rsid w:val="13E513B9"/>
    <w:rsid w:val="158C5316"/>
    <w:rsid w:val="15B904C0"/>
    <w:rsid w:val="165C118C"/>
    <w:rsid w:val="172D035F"/>
    <w:rsid w:val="175D58E3"/>
    <w:rsid w:val="18061B60"/>
    <w:rsid w:val="190C3DF8"/>
    <w:rsid w:val="19AA4D08"/>
    <w:rsid w:val="19F83E30"/>
    <w:rsid w:val="1B403139"/>
    <w:rsid w:val="1C2E6057"/>
    <w:rsid w:val="1C6D319F"/>
    <w:rsid w:val="1D384A93"/>
    <w:rsid w:val="1D4D74D6"/>
    <w:rsid w:val="1D7259CE"/>
    <w:rsid w:val="1DE32CFD"/>
    <w:rsid w:val="1E2375F4"/>
    <w:rsid w:val="1F1A602A"/>
    <w:rsid w:val="1F2854B6"/>
    <w:rsid w:val="20040346"/>
    <w:rsid w:val="217D20CE"/>
    <w:rsid w:val="21C67E02"/>
    <w:rsid w:val="21C768CD"/>
    <w:rsid w:val="22E14253"/>
    <w:rsid w:val="23931BB2"/>
    <w:rsid w:val="23F209A3"/>
    <w:rsid w:val="2403516E"/>
    <w:rsid w:val="24E71FCC"/>
    <w:rsid w:val="256A2A9E"/>
    <w:rsid w:val="27F7226E"/>
    <w:rsid w:val="2805537E"/>
    <w:rsid w:val="289437EE"/>
    <w:rsid w:val="297873DB"/>
    <w:rsid w:val="29F35E61"/>
    <w:rsid w:val="2A285817"/>
    <w:rsid w:val="2B6F150A"/>
    <w:rsid w:val="2BB557CB"/>
    <w:rsid w:val="2BC51751"/>
    <w:rsid w:val="2D166684"/>
    <w:rsid w:val="2EBF757D"/>
    <w:rsid w:val="313A1C72"/>
    <w:rsid w:val="31927D00"/>
    <w:rsid w:val="31AE39CE"/>
    <w:rsid w:val="31B83F5F"/>
    <w:rsid w:val="328E2AB6"/>
    <w:rsid w:val="329B12EA"/>
    <w:rsid w:val="32FB1A54"/>
    <w:rsid w:val="331A3077"/>
    <w:rsid w:val="33291F9F"/>
    <w:rsid w:val="33A83F87"/>
    <w:rsid w:val="340D2D0F"/>
    <w:rsid w:val="348F1A9E"/>
    <w:rsid w:val="355C2B3F"/>
    <w:rsid w:val="356B4AF0"/>
    <w:rsid w:val="35F12468"/>
    <w:rsid w:val="36851B5C"/>
    <w:rsid w:val="37392339"/>
    <w:rsid w:val="37661A13"/>
    <w:rsid w:val="379871D0"/>
    <w:rsid w:val="37BA58BB"/>
    <w:rsid w:val="37D360CA"/>
    <w:rsid w:val="38CB5066"/>
    <w:rsid w:val="38E054C9"/>
    <w:rsid w:val="3A565DE9"/>
    <w:rsid w:val="3AC36A27"/>
    <w:rsid w:val="3B4A3407"/>
    <w:rsid w:val="3F301058"/>
    <w:rsid w:val="417A34F9"/>
    <w:rsid w:val="418810F4"/>
    <w:rsid w:val="41A37673"/>
    <w:rsid w:val="42503F5E"/>
    <w:rsid w:val="42C30950"/>
    <w:rsid w:val="459B4F7E"/>
    <w:rsid w:val="45A65C7F"/>
    <w:rsid w:val="45F13359"/>
    <w:rsid w:val="468C2A4A"/>
    <w:rsid w:val="46AD2493"/>
    <w:rsid w:val="46EC7F14"/>
    <w:rsid w:val="47CA7D9C"/>
    <w:rsid w:val="47DB3D58"/>
    <w:rsid w:val="480D0379"/>
    <w:rsid w:val="48194880"/>
    <w:rsid w:val="48AF4C7F"/>
    <w:rsid w:val="4A5B46DD"/>
    <w:rsid w:val="4A6F6A56"/>
    <w:rsid w:val="4A81677A"/>
    <w:rsid w:val="4B3B5348"/>
    <w:rsid w:val="4DA177B2"/>
    <w:rsid w:val="4DA370C6"/>
    <w:rsid w:val="4DF36D4F"/>
    <w:rsid w:val="4F1B51AE"/>
    <w:rsid w:val="501B7C76"/>
    <w:rsid w:val="504D5CCF"/>
    <w:rsid w:val="511A2CA6"/>
    <w:rsid w:val="533A7469"/>
    <w:rsid w:val="53526129"/>
    <w:rsid w:val="538B4CD8"/>
    <w:rsid w:val="53A21BCD"/>
    <w:rsid w:val="54394F3D"/>
    <w:rsid w:val="565F61A9"/>
    <w:rsid w:val="56AD4B11"/>
    <w:rsid w:val="57232FC4"/>
    <w:rsid w:val="572D2326"/>
    <w:rsid w:val="57365691"/>
    <w:rsid w:val="57FC6F1A"/>
    <w:rsid w:val="59EE1E48"/>
    <w:rsid w:val="5A490F5C"/>
    <w:rsid w:val="5B805E16"/>
    <w:rsid w:val="5BD21464"/>
    <w:rsid w:val="5BDE2B83"/>
    <w:rsid w:val="5C777282"/>
    <w:rsid w:val="61635F72"/>
    <w:rsid w:val="618606C5"/>
    <w:rsid w:val="6224402D"/>
    <w:rsid w:val="6384067A"/>
    <w:rsid w:val="638D125E"/>
    <w:rsid w:val="6396333E"/>
    <w:rsid w:val="63E114D3"/>
    <w:rsid w:val="64F41E51"/>
    <w:rsid w:val="65054BB5"/>
    <w:rsid w:val="6AD46D46"/>
    <w:rsid w:val="6B07083C"/>
    <w:rsid w:val="6B623CC4"/>
    <w:rsid w:val="6B6C65E0"/>
    <w:rsid w:val="6C2B67AC"/>
    <w:rsid w:val="6CB31465"/>
    <w:rsid w:val="6DE07909"/>
    <w:rsid w:val="6E58438A"/>
    <w:rsid w:val="6E7066F8"/>
    <w:rsid w:val="6E9D5508"/>
    <w:rsid w:val="6F871359"/>
    <w:rsid w:val="711B7F18"/>
    <w:rsid w:val="71EB22B3"/>
    <w:rsid w:val="72010FA6"/>
    <w:rsid w:val="733F48EB"/>
    <w:rsid w:val="74212849"/>
    <w:rsid w:val="744C1D4E"/>
    <w:rsid w:val="748A4F72"/>
    <w:rsid w:val="74961819"/>
    <w:rsid w:val="750202C6"/>
    <w:rsid w:val="752A1476"/>
    <w:rsid w:val="75664078"/>
    <w:rsid w:val="761E4132"/>
    <w:rsid w:val="78061A79"/>
    <w:rsid w:val="79181486"/>
    <w:rsid w:val="7AFE508C"/>
    <w:rsid w:val="7B2561EC"/>
    <w:rsid w:val="7BC003CA"/>
    <w:rsid w:val="7CBF4BB4"/>
    <w:rsid w:val="7E53749D"/>
    <w:rsid w:val="7E5D346D"/>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2">
    <w:name w:val="heading 3"/>
    <w:basedOn w:val="1"/>
    <w:next w:val="1"/>
    <w:unhideWhenUsed/>
    <w:qFormat/>
    <w:uiPriority w:val="9"/>
    <w:pPr>
      <w:keepNext/>
      <w:keepLines/>
      <w:spacing w:before="140" w:line="360" w:lineRule="auto"/>
      <w:outlineLvl w:val="2"/>
    </w:pPr>
    <w:rPr>
      <w:b/>
      <w:bCs/>
      <w:sz w:val="30"/>
      <w:szCs w:val="32"/>
    </w:rPr>
  </w:style>
  <w:style w:type="character" w:default="1" w:styleId="18">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ind w:firstLine="420"/>
    </w:pPr>
    <w:rPr>
      <w:sz w:val="21"/>
    </w:rPr>
  </w:style>
  <w:style w:type="paragraph" w:styleId="6">
    <w:name w:val="toc 4"/>
    <w:basedOn w:val="1"/>
    <w:next w:val="1"/>
    <w:qFormat/>
    <w:uiPriority w:val="0"/>
    <w:pPr>
      <w:ind w:left="1260" w:leftChars="600"/>
    </w:pPr>
  </w:style>
  <w:style w:type="paragraph" w:styleId="7">
    <w:name w:val="annotation text"/>
    <w:basedOn w:val="1"/>
    <w:unhideWhenUsed/>
    <w:qFormat/>
    <w:uiPriority w:val="99"/>
    <w:pPr>
      <w:jc w:val="left"/>
    </w:pPr>
  </w:style>
  <w:style w:type="paragraph" w:styleId="8">
    <w:name w:val="Body Text"/>
    <w:basedOn w:val="1"/>
    <w:qFormat/>
    <w:uiPriority w:val="0"/>
    <w:pPr>
      <w:spacing w:before="240" w:after="240" w:line="360" w:lineRule="auto"/>
      <w:jc w:val="center"/>
    </w:pPr>
    <w:rPr>
      <w:b/>
      <w:sz w:val="44"/>
    </w:rPr>
  </w:style>
  <w:style w:type="paragraph" w:styleId="9">
    <w:name w:val="footer"/>
    <w:basedOn w:val="1"/>
    <w:link w:val="22"/>
    <w:unhideWhenUsed/>
    <w:qFormat/>
    <w:uiPriority w:val="99"/>
    <w:pPr>
      <w:tabs>
        <w:tab w:val="center" w:pos="4153"/>
        <w:tab w:val="right" w:pos="8306"/>
      </w:tabs>
      <w:snapToGrid w:val="0"/>
      <w:jc w:val="left"/>
    </w:pPr>
    <w:rPr>
      <w:sz w:val="18"/>
      <w:szCs w:val="18"/>
    </w:rPr>
  </w:style>
  <w:style w:type="paragraph" w:styleId="10">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footnote text"/>
    <w:basedOn w:val="1"/>
    <w:next w:val="12"/>
    <w:qFormat/>
    <w:uiPriority w:val="0"/>
    <w:pPr>
      <w:snapToGrid w:val="0"/>
      <w:jc w:val="left"/>
    </w:pPr>
    <w:rPr>
      <w:rFonts w:hint="eastAsia"/>
      <w:sz w:val="18"/>
    </w:rPr>
  </w:style>
  <w:style w:type="paragraph" w:customStyle="1" w:styleId="12">
    <w:name w:val="正文文本首行缩进 21"/>
    <w:basedOn w:val="13"/>
    <w:qFormat/>
    <w:uiPriority w:val="0"/>
    <w:pPr>
      <w:ind w:firstLine="420" w:firstLineChars="200"/>
    </w:pPr>
  </w:style>
  <w:style w:type="paragraph" w:customStyle="1" w:styleId="13">
    <w:name w:val="正文文本缩进1"/>
    <w:basedOn w:val="1"/>
    <w:next w:val="14"/>
    <w:qFormat/>
    <w:uiPriority w:val="0"/>
    <w:pPr>
      <w:spacing w:line="574" w:lineRule="exact"/>
      <w:ind w:left="400" w:hanging="400" w:hangingChars="400"/>
    </w:pPr>
    <w:rPr>
      <w:rFonts w:eastAsia="仿宋_GB2312"/>
      <w:sz w:val="32"/>
      <w:szCs w:val="32"/>
    </w:rPr>
  </w:style>
  <w:style w:type="paragraph" w:customStyle="1" w:styleId="14">
    <w:name w:val="正文缩进1"/>
    <w:basedOn w:val="1"/>
    <w:qFormat/>
    <w:uiPriority w:val="0"/>
    <w:pPr>
      <w:ind w:firstLine="420"/>
    </w:pPr>
    <w:rPr>
      <w:sz w:val="32"/>
    </w:rPr>
  </w:style>
  <w:style w:type="paragraph" w:styleId="15">
    <w:name w:val="Normal (Web)"/>
    <w:basedOn w:val="1"/>
    <w:qFormat/>
    <w:uiPriority w:val="99"/>
    <w:pPr>
      <w:spacing w:before="100" w:beforeAutospacing="1" w:after="100" w:afterAutospacing="1"/>
      <w:jc w:val="left"/>
    </w:pPr>
    <w:rPr>
      <w:sz w:val="24"/>
      <w:lang w:bidi="ar"/>
    </w:r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basedOn w:val="18"/>
    <w:qFormat/>
    <w:uiPriority w:val="0"/>
    <w:rPr>
      <w:b/>
      <w:bCs/>
    </w:rPr>
  </w:style>
  <w:style w:type="character" w:styleId="20">
    <w:name w:val="Hyperlink"/>
    <w:basedOn w:val="18"/>
    <w:qFormat/>
    <w:uiPriority w:val="0"/>
    <w:rPr>
      <w:color w:val="5B677D"/>
      <w:u w:val="none"/>
    </w:rPr>
  </w:style>
  <w:style w:type="paragraph" w:customStyle="1" w:styleId="21">
    <w:name w:val="List Paragraph"/>
    <w:basedOn w:val="1"/>
    <w:unhideWhenUsed/>
    <w:qFormat/>
    <w:uiPriority w:val="99"/>
    <w:pPr>
      <w:ind w:firstLine="420" w:firstLineChars="200"/>
    </w:pPr>
  </w:style>
  <w:style w:type="character" w:customStyle="1" w:styleId="22">
    <w:name w:val="页脚 字符"/>
    <w:basedOn w:val="18"/>
    <w:link w:val="9"/>
    <w:qFormat/>
    <w:uiPriority w:val="99"/>
    <w:rPr>
      <w:sz w:val="18"/>
      <w:szCs w:val="18"/>
    </w:rPr>
  </w:style>
  <w:style w:type="character" w:customStyle="1" w:styleId="23">
    <w:name w:val="页眉 字符"/>
    <w:basedOn w:val="18"/>
    <w:link w:val="10"/>
    <w:qFormat/>
    <w:uiPriority w:val="99"/>
    <w:rPr>
      <w:sz w:val="18"/>
      <w:szCs w:val="18"/>
    </w:rPr>
  </w:style>
  <w:style w:type="paragraph" w:customStyle="1" w:styleId="24">
    <w:name w:val="WPSOffice手动目录 1"/>
    <w:qFormat/>
    <w:uiPriority w:val="0"/>
    <w:pPr>
      <w:ind w:leftChars="0"/>
    </w:pPr>
    <w:rPr>
      <w:rFonts w:asciiTheme="minorHAnsi" w:hAnsiTheme="minorHAnsi" w:eastAsiaTheme="minorEastAsia" w:cstheme="minorBidi"/>
      <w:sz w:val="20"/>
      <w:szCs w:val="20"/>
    </w:rPr>
  </w:style>
  <w:style w:type="paragraph" w:customStyle="1" w:styleId="25">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10</Pages>
  <Words>5368</Words>
  <Characters>5707</Characters>
  <Lines>7</Lines>
  <Paragraphs>2</Paragraphs>
  <TotalTime>4</TotalTime>
  <ScaleCrop>false</ScaleCrop>
  <LinksUpToDate>false</LinksUpToDate>
  <CharactersWithSpaces>5759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布舵</cp:lastModifiedBy>
  <dcterms:modified xsi:type="dcterms:W3CDTF">2024-11-21T02:08:23Z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FA48308C584B4C498E9734F137FE4F69</vt:lpwstr>
  </property>
</Properties>
</file>