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CD6A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国道218线那拉提至</w:t>
      </w:r>
      <w:r>
        <w:rPr>
          <w:rFonts w:hint="eastAsia" w:ascii="方正小标宋_GBK" w:hAnsi="方正小标宋_GBK" w:eastAsia="方正小标宋_GBK" w:cs="方正小标宋_GBK"/>
          <w:spacing w:val="0"/>
          <w:sz w:val="44"/>
          <w:szCs w:val="44"/>
          <w:lang w:eastAsia="zh-CN"/>
        </w:rPr>
        <w:t>巴伦台</w:t>
      </w:r>
      <w:r>
        <w:rPr>
          <w:rFonts w:hint="eastAsia" w:ascii="方正小标宋_GBK" w:hAnsi="方正小标宋_GBK" w:eastAsia="方正小标宋_GBK" w:cs="方正小标宋_GBK"/>
          <w:spacing w:val="0"/>
          <w:sz w:val="44"/>
          <w:szCs w:val="44"/>
        </w:rPr>
        <w:t>公路项目第NBTZ-</w:t>
      </w:r>
      <w:r>
        <w:rPr>
          <w:rFonts w:hint="eastAsia" w:ascii="方正小标宋_GBK" w:hAnsi="方正小标宋_GBK" w:eastAsia="方正小标宋_GBK" w:cs="方正小标宋_GBK"/>
          <w:spacing w:val="0"/>
          <w:sz w:val="44"/>
          <w:szCs w:val="44"/>
          <w:lang w:val="en-US" w:eastAsia="zh-CN"/>
        </w:rPr>
        <w:t>9</w:t>
      </w:r>
      <w:r>
        <w:rPr>
          <w:rFonts w:hint="eastAsia" w:ascii="方正小标宋_GBK" w:hAnsi="方正小标宋_GBK" w:eastAsia="方正小标宋_GBK" w:cs="方正小标宋_GBK"/>
          <w:spacing w:val="0"/>
          <w:sz w:val="44"/>
          <w:szCs w:val="44"/>
        </w:rPr>
        <w:t>标段项目经理部</w:t>
      </w:r>
      <w:r>
        <w:rPr>
          <w:rFonts w:hint="eastAsia" w:ascii="方正小标宋_GBK" w:hAnsi="方正小标宋_GBK" w:eastAsia="方正小标宋_GBK" w:cs="方正小标宋_GBK"/>
          <w:spacing w:val="0"/>
          <w:sz w:val="44"/>
          <w:szCs w:val="44"/>
          <w:lang w:val="en-US" w:eastAsia="zh-CN"/>
        </w:rPr>
        <w:t>T梁场、初喷</w:t>
      </w:r>
    </w:p>
    <w:p w14:paraId="52493C9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站、型钢厂、工人驻地和施工便道临时</w:t>
      </w:r>
    </w:p>
    <w:p w14:paraId="6B5D50D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用地</w:t>
      </w:r>
      <w:r>
        <w:rPr>
          <w:rFonts w:hint="eastAsia" w:ascii="方正小标宋_GBK" w:hAnsi="方正小标宋_GBK" w:eastAsia="方正小标宋_GBK" w:cs="方正小标宋_GBK"/>
          <w:spacing w:val="0"/>
          <w:sz w:val="44"/>
          <w:szCs w:val="44"/>
        </w:rPr>
        <w:t>土地复垦</w:t>
      </w:r>
      <w:r>
        <w:rPr>
          <w:rFonts w:hint="eastAsia" w:ascii="方正小标宋_GBK" w:hAnsi="方正小标宋_GBK" w:eastAsia="方正小标宋_GBK" w:cs="方正小标宋_GBK"/>
          <w:spacing w:val="0"/>
          <w:sz w:val="44"/>
          <w:szCs w:val="44"/>
          <w:lang w:val="en-US" w:eastAsia="zh-CN"/>
        </w:rPr>
        <w:t>方</w:t>
      </w:r>
      <w:r>
        <w:rPr>
          <w:rFonts w:hint="eastAsia" w:ascii="方正小标宋_GBK" w:hAnsi="方正小标宋_GBK" w:eastAsia="方正小标宋_GBK" w:cs="方正小标宋_GBK"/>
          <w:spacing w:val="0"/>
          <w:sz w:val="44"/>
          <w:szCs w:val="44"/>
        </w:rPr>
        <w:t>案</w:t>
      </w:r>
      <w:r>
        <w:rPr>
          <w:rFonts w:hint="eastAsia" w:ascii="方正小标宋_GBK" w:hAnsi="方正小标宋_GBK" w:eastAsia="方正小标宋_GBK" w:cs="方正小标宋_GBK"/>
          <w:spacing w:val="0"/>
          <w:sz w:val="44"/>
          <w:szCs w:val="44"/>
          <w:lang w:val="en-US" w:eastAsia="zh-CN"/>
        </w:rPr>
        <w:t>报告书》公开征求</w:t>
      </w: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意见的公告</w:t>
      </w: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公路项目第NBTZ-9标段项目经理部T梁场、初喷站、型钢厂、工人驻地和施工便道临时用地土地复垦方案报告书》对公众征询意见的公示文件要求，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69620F7C">
      <w:pPr>
        <w:keepNext w:val="0"/>
        <w:keepLines w:val="0"/>
        <w:pageBreakBefore w:val="0"/>
        <w:wordWrap/>
        <w:overflowPunct/>
        <w:topLinePunct w:val="0"/>
        <w:autoSpaceDE/>
        <w:autoSpaceDN/>
        <w:bidi w:val="0"/>
        <w:spacing w:line="560" w:lineRule="exact"/>
        <w:ind w:left="0" w:right="0" w:firstLine="640" w:firstLineChars="200"/>
        <w:jc w:val="both"/>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lang w:val="en-US" w:eastAsia="zh-CN"/>
        </w:rPr>
        <w:t>一、</w:t>
      </w:r>
      <w:r>
        <w:rPr>
          <w:rFonts w:hint="eastAsia" w:ascii="方正黑体_GBK" w:hAnsi="方正黑体_GBK" w:eastAsia="方正黑体_GBK" w:cs="方正黑体_GBK"/>
          <w:spacing w:val="0"/>
          <w:sz w:val="32"/>
          <w:szCs w:val="32"/>
        </w:rPr>
        <w:t>编制背景及过程</w:t>
      </w:r>
    </w:p>
    <w:p w14:paraId="1676C97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国道218线那拉提至巴伦台公路项目第NBTZ-9标段项目经理部T梁厂、初喷站、型钢厂、工人驻地和施工便道临时用地位于新疆维吾尔自治区巴音郭楞蒙古自治州和静县境内，国道218线那拉提至巴伦台公路的部署实施具有重大的意义，其加快公路网的建设，优化原有道路，从而充分发挥国省干线公路网的功能，使南北疆的联系更加紧密提高，增强城镇对周围地区的辐射带动作用，促进农村经济社会的均衡发展，提高人们的生活质量。</w:t>
      </w:r>
    </w:p>
    <w:p w14:paraId="5EAE4F8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本项目共占地3.0797公顷，拟占用土地位于和静县辖区，占地类型为临时占地，用途为T梁厂、初喷站、型钢厂、工人驻地和施工便道。</w:t>
      </w:r>
    </w:p>
    <w:p w14:paraId="5CE35C6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根据国务院颁布的《关于落实国土资源部贯彻实施〈土地复垦条例〉的通知》（新国土资发〔2011〕421号）文件要求，及时复垦利用被损毁的土地，充分挖掘废弃土地潜力，促进土地节约集约利用，保护和改善建设项目周边环境，实现社会经济与生态环境可持续发展，贵州省公路工程集团有限公司于2022年5月委托乌鲁木齐瑞丰源矿业技术有限公司编制《国道218线那拉提至巴伦台公路项目第NBTZ-9标段项目经理部T梁厂、初喷站、型钢厂、工人驻地和施工便道临时用地土地复垦方案报告书》。</w:t>
      </w:r>
    </w:p>
    <w:p w14:paraId="4202D05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接受委托后，我单位编制组成员多次对现场进行实地调研，对项目区的土地利用现状与规划进行了调查，收集了相关基础资料，走访了相关职能部门和土地权利人，咨询和了解了当地土地利用总体规划和相关土地复垦规定，严格按照《土地复垦方案编制规程》等有关规定进行编制，并反复讨论修改，最终形成《国道218线那拉提至巴伦台公路项目第NBTZ-9标段项目经理部T梁厂、初喷站、型钢厂、工人驻地和施工便道临时用地复垦方案报告书》。</w:t>
      </w:r>
    </w:p>
    <w:p w14:paraId="577F30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在本方案编制期间，得到了和静县自然资源局大力支持，在此深表谢意！</w:t>
      </w:r>
    </w:p>
    <w:p w14:paraId="12625243">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textAlignment w:val="baseline"/>
        <w:rPr>
          <w:rFonts w:hint="default"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二、</w:t>
      </w:r>
      <w:r>
        <w:rPr>
          <w:rFonts w:hint="default" w:ascii="方正黑体_GBK" w:hAnsi="方正黑体_GBK" w:eastAsia="方正黑体_GBK" w:cs="方正黑体_GBK"/>
          <w:spacing w:val="0"/>
          <w:sz w:val="32"/>
          <w:szCs w:val="32"/>
          <w:lang w:val="en-US" w:eastAsia="zh-CN"/>
        </w:rPr>
        <w:t>复垦方案摘要</w:t>
      </w:r>
    </w:p>
    <w:p w14:paraId="7197581F">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方正仿宋_GBK" w:cs="Times New Roman"/>
          <w:b/>
          <w:bCs/>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1.服务年限</w:t>
      </w:r>
    </w:p>
    <w:p w14:paraId="0134316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该项目为国道218线那拉提至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公路项目第NBTZ-9标段项目经理部T梁厂、初喷站、型钢厂、工人驻地和施工便道临时用地，工程施工期为4年4个月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包括</w:t>
      </w:r>
      <w:r>
        <w:rPr>
          <w:rFonts w:hint="eastAsia" w:ascii="Times New Roman" w:hAnsi="Times New Roman" w:eastAsia="方正仿宋_GBK" w:cs="Times New Roman"/>
          <w:b w:val="0"/>
          <w:bCs w:val="0"/>
          <w:spacing w:val="0"/>
          <w:sz w:val="32"/>
          <w:szCs w:val="32"/>
          <w:lang w:val="en-US" w:eastAsia="zh-CN"/>
        </w:rPr>
        <w:t>施工准备</w:t>
      </w:r>
      <w:r>
        <w:rPr>
          <w:rFonts w:hint="default" w:ascii="Times New Roman" w:hAnsi="Times New Roman" w:eastAsia="方正仿宋_GBK" w:cs="Times New Roman"/>
          <w:b w:val="0"/>
          <w:bCs w:val="0"/>
          <w:spacing w:val="0"/>
          <w:sz w:val="32"/>
          <w:szCs w:val="32"/>
          <w:lang w:val="en-US" w:eastAsia="zh-CN"/>
        </w:rPr>
        <w:t>期和主体工程施工期，2022年6月-2026年9月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。土地复量滞后于建设期，设计复垦施工期为7个月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2026年10月—2027年4月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。同时，考虑本项目自然条件的限制性，初步制定2年的管护期</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2027年5月—2029年5月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w:t>
      </w:r>
    </w:p>
    <w:p w14:paraId="4B140A9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因此，最终确定本方案的服务年限6年11个月，即2022年6月—2029年5月。</w:t>
      </w:r>
    </w:p>
    <w:p w14:paraId="151C77A2">
      <w:pPr>
        <w:keepNext w:val="0"/>
        <w:keepLines w:val="0"/>
        <w:pageBreakBefore w:val="0"/>
        <w:wordWrap/>
        <w:overflowPunct/>
        <w:topLinePunct w:val="0"/>
        <w:autoSpaceDE/>
        <w:autoSpaceDN/>
        <w:bidi w:val="0"/>
        <w:spacing w:line="560" w:lineRule="exact"/>
        <w:ind w:left="0" w:right="0" w:firstLine="643" w:firstLineChars="200"/>
        <w:outlineLvl w:val="6"/>
        <w:rPr>
          <w:rFonts w:hint="eastAsia" w:ascii="方正仿宋_GBK" w:hAnsi="方正仿宋_GBK" w:eastAsia="方正仿宋_GBK" w:cs="方正仿宋_GBK"/>
          <w:b/>
          <w:bCs/>
          <w:spacing w:val="0"/>
          <w:sz w:val="32"/>
          <w:szCs w:val="32"/>
        </w:rPr>
      </w:pPr>
      <w:r>
        <w:rPr>
          <w:rFonts w:hint="default" w:ascii="Times New Roman" w:hAnsi="Times New Roman" w:eastAsia="方正仿宋_GBK" w:cs="Times New Roman"/>
          <w:b/>
          <w:bCs/>
          <w:spacing w:val="0"/>
          <w:sz w:val="32"/>
          <w:szCs w:val="32"/>
        </w:rPr>
        <w:t>2.</w:t>
      </w:r>
      <w:r>
        <w:rPr>
          <w:rFonts w:hint="eastAsia" w:ascii="方正仿宋_GBK" w:hAnsi="方正仿宋_GBK" w:eastAsia="方正仿宋_GBK" w:cs="方正仿宋_GBK"/>
          <w:b/>
          <w:bCs/>
          <w:spacing w:val="0"/>
          <w:sz w:val="32"/>
          <w:szCs w:val="32"/>
        </w:rPr>
        <w:t>工程涉及的各类土地面积</w:t>
      </w:r>
    </w:p>
    <w:p w14:paraId="2680EF7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项目占地总面积为3.0797公顷，全部为临时用地。由于部分临时用地现状为交通运输用地和水域及水利设施用地，交通运输用地为直接使用，不涉及损毁；水域及水利设施用地主要为上空架设临时桥梁占用，使用结束后拆除临时桥梁及附属设施，恢复河道原始形态。则本方案复</w:t>
      </w:r>
      <w:r>
        <w:rPr>
          <w:rFonts w:hint="eastAsia" w:ascii="Times New Roman" w:hAnsi="Times New Roman" w:eastAsia="方正仿宋_GBK" w:cs="Times New Roman"/>
          <w:b w:val="0"/>
          <w:bCs w:val="0"/>
          <w:spacing w:val="0"/>
          <w:sz w:val="32"/>
          <w:szCs w:val="32"/>
          <w:lang w:val="en-US" w:eastAsia="zh-CN"/>
        </w:rPr>
        <w:t>垦责任范围</w:t>
      </w:r>
      <w:r>
        <w:rPr>
          <w:rFonts w:hint="default" w:ascii="Times New Roman" w:hAnsi="Times New Roman" w:eastAsia="方正仿宋_GBK" w:cs="Times New Roman"/>
          <w:b w:val="0"/>
          <w:bCs w:val="0"/>
          <w:spacing w:val="0"/>
          <w:sz w:val="32"/>
          <w:szCs w:val="32"/>
          <w:lang w:val="en-US" w:eastAsia="zh-CN"/>
        </w:rPr>
        <w:t>为天然牧草地，即3.0138公顷。方案涉及具体各类用地面积见表1-1所示。</w:t>
      </w:r>
    </w:p>
    <w:p w14:paraId="71768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r>
        <w:rPr>
          <w:rFonts w:ascii="Times New Roman" w:hAnsi="Times New Roman" w:eastAsia="黑体" w:cs="Times New Roman"/>
          <w:snapToGrid/>
          <w:color w:val="auto"/>
          <w:spacing w:val="0"/>
          <w:kern w:val="0"/>
          <w:szCs w:val="21"/>
          <w:lang w:eastAsia="zh-CN"/>
        </w:rPr>
        <w:t>表1-1方案涉及各类土地面积表</w:t>
      </w:r>
    </w:p>
    <w:tbl>
      <w:tblPr>
        <w:tblStyle w:val="5"/>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3"/>
        <w:gridCol w:w="1918"/>
        <w:gridCol w:w="1568"/>
        <w:gridCol w:w="2197"/>
        <w:gridCol w:w="1014"/>
      </w:tblGrid>
      <w:tr w14:paraId="2A24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913" w:type="dxa"/>
            <w:vAlign w:val="top"/>
          </w:tcPr>
          <w:p w14:paraId="7FDBD6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hint="eastAsia" w:ascii="Times New Roman" w:hAnsi="Times New Roman" w:eastAsia="仿宋" w:cs="Times New Roman"/>
                <w:snapToGrid/>
                <w:color w:val="000000"/>
                <w:spacing w:val="0"/>
                <w:kern w:val="0"/>
                <w:szCs w:val="21"/>
                <w:lang w:val="en-US" w:eastAsia="zh-CN"/>
              </w:rPr>
              <w:t>一</w:t>
            </w:r>
            <w:r>
              <w:rPr>
                <w:rFonts w:ascii="Times New Roman" w:hAnsi="Times New Roman" w:eastAsia="仿宋" w:cs="Times New Roman"/>
                <w:snapToGrid/>
                <w:color w:val="000000"/>
                <w:spacing w:val="0"/>
                <w:kern w:val="0"/>
                <w:szCs w:val="21"/>
                <w:lang w:eastAsia="zh-CN"/>
              </w:rPr>
              <w:t>级地类名称</w:t>
            </w:r>
          </w:p>
        </w:tc>
        <w:tc>
          <w:tcPr>
            <w:tcW w:w="1918" w:type="dxa"/>
            <w:vAlign w:val="top"/>
          </w:tcPr>
          <w:p w14:paraId="4DCDA0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交通运输用地</w:t>
            </w:r>
          </w:p>
        </w:tc>
        <w:tc>
          <w:tcPr>
            <w:tcW w:w="1568" w:type="dxa"/>
            <w:vAlign w:val="top"/>
          </w:tcPr>
          <w:p w14:paraId="44E2D1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草地</w:t>
            </w:r>
          </w:p>
        </w:tc>
        <w:tc>
          <w:tcPr>
            <w:tcW w:w="2197" w:type="dxa"/>
            <w:vAlign w:val="top"/>
          </w:tcPr>
          <w:p w14:paraId="7295BA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水域及水利设施</w:t>
            </w:r>
          </w:p>
        </w:tc>
        <w:tc>
          <w:tcPr>
            <w:tcW w:w="1014" w:type="dxa"/>
            <w:vMerge w:val="restart"/>
            <w:tcBorders>
              <w:bottom w:val="nil"/>
            </w:tcBorders>
            <w:vAlign w:val="top"/>
          </w:tcPr>
          <w:p w14:paraId="5EF22B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p w14:paraId="472D55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合计</w:t>
            </w:r>
          </w:p>
        </w:tc>
      </w:tr>
      <w:tr w14:paraId="6B53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913" w:type="dxa"/>
            <w:vAlign w:val="top"/>
          </w:tcPr>
          <w:p w14:paraId="6BC8AF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代码</w:t>
            </w:r>
          </w:p>
        </w:tc>
        <w:tc>
          <w:tcPr>
            <w:tcW w:w="1918" w:type="dxa"/>
            <w:vAlign w:val="top"/>
          </w:tcPr>
          <w:p w14:paraId="29353D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10</w:t>
            </w:r>
          </w:p>
        </w:tc>
        <w:tc>
          <w:tcPr>
            <w:tcW w:w="1568" w:type="dxa"/>
            <w:vAlign w:val="top"/>
          </w:tcPr>
          <w:p w14:paraId="36B8B7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04</w:t>
            </w:r>
          </w:p>
        </w:tc>
        <w:tc>
          <w:tcPr>
            <w:tcW w:w="2197" w:type="dxa"/>
            <w:vAlign w:val="top"/>
          </w:tcPr>
          <w:p w14:paraId="70297D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11</w:t>
            </w:r>
          </w:p>
        </w:tc>
        <w:tc>
          <w:tcPr>
            <w:tcW w:w="1014" w:type="dxa"/>
            <w:vMerge w:val="continue"/>
            <w:tcBorders>
              <w:top w:val="nil"/>
              <w:bottom w:val="nil"/>
            </w:tcBorders>
            <w:vAlign w:val="top"/>
          </w:tcPr>
          <w:p w14:paraId="1C20F3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r>
      <w:tr w14:paraId="20A7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913" w:type="dxa"/>
            <w:vAlign w:val="top"/>
          </w:tcPr>
          <w:p w14:paraId="410C99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二级地类名称</w:t>
            </w:r>
          </w:p>
        </w:tc>
        <w:tc>
          <w:tcPr>
            <w:tcW w:w="1918" w:type="dxa"/>
            <w:vAlign w:val="top"/>
          </w:tcPr>
          <w:p w14:paraId="4A2EBE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公路用地</w:t>
            </w:r>
          </w:p>
        </w:tc>
        <w:tc>
          <w:tcPr>
            <w:tcW w:w="1568" w:type="dxa"/>
            <w:vAlign w:val="top"/>
          </w:tcPr>
          <w:p w14:paraId="370EB7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天然牧草地</w:t>
            </w:r>
          </w:p>
        </w:tc>
        <w:tc>
          <w:tcPr>
            <w:tcW w:w="2197" w:type="dxa"/>
            <w:vAlign w:val="top"/>
          </w:tcPr>
          <w:p w14:paraId="260D75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河流水面</w:t>
            </w:r>
          </w:p>
        </w:tc>
        <w:tc>
          <w:tcPr>
            <w:tcW w:w="1014" w:type="dxa"/>
            <w:vMerge w:val="continue"/>
            <w:tcBorders>
              <w:top w:val="nil"/>
            </w:tcBorders>
            <w:vAlign w:val="top"/>
          </w:tcPr>
          <w:p w14:paraId="4239B7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r>
      <w:tr w14:paraId="19AE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913" w:type="dxa"/>
            <w:vAlign w:val="top"/>
          </w:tcPr>
          <w:p w14:paraId="36812D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代码</w:t>
            </w:r>
          </w:p>
        </w:tc>
        <w:tc>
          <w:tcPr>
            <w:tcW w:w="1918" w:type="dxa"/>
            <w:vAlign w:val="top"/>
          </w:tcPr>
          <w:p w14:paraId="05815B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1003</w:t>
            </w:r>
          </w:p>
        </w:tc>
        <w:tc>
          <w:tcPr>
            <w:tcW w:w="1568" w:type="dxa"/>
            <w:vAlign w:val="top"/>
          </w:tcPr>
          <w:p w14:paraId="1F3E35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0401</w:t>
            </w:r>
          </w:p>
        </w:tc>
        <w:tc>
          <w:tcPr>
            <w:tcW w:w="2197" w:type="dxa"/>
            <w:vAlign w:val="top"/>
          </w:tcPr>
          <w:p w14:paraId="7E4CD3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1101</w:t>
            </w:r>
          </w:p>
        </w:tc>
        <w:tc>
          <w:tcPr>
            <w:tcW w:w="1014" w:type="dxa"/>
            <w:vMerge w:val="restart"/>
            <w:tcBorders>
              <w:bottom w:val="nil"/>
            </w:tcBorders>
            <w:vAlign w:val="top"/>
          </w:tcPr>
          <w:p w14:paraId="0462F4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p w14:paraId="1D4CA9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3.0797</w:t>
            </w:r>
          </w:p>
        </w:tc>
      </w:tr>
      <w:tr w14:paraId="12E2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913" w:type="dxa"/>
            <w:vAlign w:val="top"/>
          </w:tcPr>
          <w:p w14:paraId="404B83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面积</w:t>
            </w:r>
          </w:p>
        </w:tc>
        <w:tc>
          <w:tcPr>
            <w:tcW w:w="1918" w:type="dxa"/>
            <w:vAlign w:val="top"/>
          </w:tcPr>
          <w:p w14:paraId="769C8D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0.0644</w:t>
            </w:r>
          </w:p>
        </w:tc>
        <w:tc>
          <w:tcPr>
            <w:tcW w:w="1568" w:type="dxa"/>
            <w:vAlign w:val="top"/>
          </w:tcPr>
          <w:p w14:paraId="561585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3.0138</w:t>
            </w:r>
          </w:p>
        </w:tc>
        <w:tc>
          <w:tcPr>
            <w:tcW w:w="2197" w:type="dxa"/>
            <w:vAlign w:val="top"/>
          </w:tcPr>
          <w:p w14:paraId="1A0EAF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0.0015</w:t>
            </w:r>
          </w:p>
        </w:tc>
        <w:tc>
          <w:tcPr>
            <w:tcW w:w="1014" w:type="dxa"/>
            <w:vMerge w:val="continue"/>
            <w:tcBorders>
              <w:top w:val="nil"/>
              <w:bottom w:val="nil"/>
            </w:tcBorders>
            <w:vAlign w:val="top"/>
          </w:tcPr>
          <w:p w14:paraId="4F8511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r>
      <w:tr w14:paraId="6E38E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913" w:type="dxa"/>
            <w:vAlign w:val="top"/>
          </w:tcPr>
          <w:p w14:paraId="07B18F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总计</w:t>
            </w:r>
          </w:p>
        </w:tc>
        <w:tc>
          <w:tcPr>
            <w:tcW w:w="1918" w:type="dxa"/>
            <w:vAlign w:val="top"/>
          </w:tcPr>
          <w:p w14:paraId="19D074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0.0644</w:t>
            </w:r>
          </w:p>
        </w:tc>
        <w:tc>
          <w:tcPr>
            <w:tcW w:w="1568" w:type="dxa"/>
            <w:vAlign w:val="top"/>
          </w:tcPr>
          <w:p w14:paraId="3D8364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3.0138</w:t>
            </w:r>
          </w:p>
        </w:tc>
        <w:tc>
          <w:tcPr>
            <w:tcW w:w="2197" w:type="dxa"/>
            <w:vAlign w:val="top"/>
          </w:tcPr>
          <w:p w14:paraId="498E81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0.0015</w:t>
            </w:r>
          </w:p>
        </w:tc>
        <w:tc>
          <w:tcPr>
            <w:tcW w:w="1014" w:type="dxa"/>
            <w:vMerge w:val="continue"/>
            <w:tcBorders>
              <w:top w:val="nil"/>
            </w:tcBorders>
            <w:vAlign w:val="top"/>
          </w:tcPr>
          <w:p w14:paraId="640BB9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r>
    </w:tbl>
    <w:p w14:paraId="4C29359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3.</w:t>
      </w:r>
      <w:r>
        <w:rPr>
          <w:rFonts w:hint="eastAsia" w:ascii="Times New Roman" w:hAnsi="Times New Roman" w:eastAsia="方正仿宋_GBK" w:cs="Times New Roman"/>
          <w:b/>
          <w:bCs/>
          <w:spacing w:val="0"/>
          <w:sz w:val="32"/>
          <w:szCs w:val="32"/>
          <w:lang w:val="en-US" w:eastAsia="zh-CN"/>
        </w:rPr>
        <w:t>土地损毁情况</w:t>
      </w:r>
    </w:p>
    <w:p w14:paraId="4A353C2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本方案临时用地面积为3.0797公顷，其中天然牧草地3.0138公顷，交通运输用地0.0644公顷，水域及水利设施0.0015公顷。</w:t>
      </w:r>
    </w:p>
    <w:p w14:paraId="3EF766E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临时用地损毁地类为草地中的天然牧草地、土地损毁形式为挖损和压占。</w:t>
      </w:r>
    </w:p>
    <w:p w14:paraId="597D957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交通运输用地为直接使用，不涉及损毁，不纳入复垦责任范围；水域及水利设施用地主要为上空架设临时桥梁占用，使用结束后拆除临时桥梁及附属设施，恢复河道原始形态，不纳入复垦责任范围。用于T梁厂、初喷站、型钢厂、工人驻地的天然牧草地，剥离表土20cm后，用20cm的混凝土硬化；用于施工便道的天然牧草地，覆盖20cm厚的砾石土作为临时路面，纳入复垦责任范围。</w:t>
      </w:r>
    </w:p>
    <w:p w14:paraId="57DB3740">
      <w:pPr>
        <w:widowControl w:val="0"/>
        <w:kinsoku/>
        <w:autoSpaceDE/>
        <w:autoSpaceDN/>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r>
        <w:rPr>
          <w:rFonts w:ascii="Times New Roman" w:hAnsi="Times New Roman" w:eastAsia="黑体" w:cs="Times New Roman"/>
          <w:snapToGrid/>
          <w:color w:val="auto"/>
          <w:spacing w:val="0"/>
          <w:kern w:val="0"/>
          <w:szCs w:val="21"/>
          <w:lang w:eastAsia="zh-CN"/>
        </w:rPr>
        <w:t>表1-2土地损毁程度评价标准表</w:t>
      </w:r>
    </w:p>
    <w:p w14:paraId="0471B52B">
      <w:pPr>
        <w:spacing w:line="130" w:lineRule="auto"/>
        <w:rPr>
          <w:rFonts w:ascii="Arial"/>
          <w:spacing w:val="0"/>
          <w:sz w:val="2"/>
        </w:rPr>
      </w:pPr>
    </w:p>
    <w:tbl>
      <w:tblPr>
        <w:tblStyle w:val="5"/>
        <w:tblW w:w="9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818"/>
        <w:gridCol w:w="1118"/>
        <w:gridCol w:w="2127"/>
        <w:gridCol w:w="3045"/>
      </w:tblGrid>
      <w:tr w14:paraId="7B6C2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1024" w:type="dxa"/>
            <w:vMerge w:val="restart"/>
            <w:tcBorders>
              <w:bottom w:val="nil"/>
            </w:tcBorders>
            <w:vAlign w:val="top"/>
          </w:tcPr>
          <w:p w14:paraId="5C58BB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土地损毁形式</w:t>
            </w:r>
          </w:p>
        </w:tc>
        <w:tc>
          <w:tcPr>
            <w:tcW w:w="1818" w:type="dxa"/>
            <w:vMerge w:val="restart"/>
            <w:tcBorders>
              <w:bottom w:val="nil"/>
            </w:tcBorders>
            <w:vAlign w:val="top"/>
          </w:tcPr>
          <w:p w14:paraId="1F9252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评价因子</w:t>
            </w:r>
          </w:p>
        </w:tc>
        <w:tc>
          <w:tcPr>
            <w:tcW w:w="6290" w:type="dxa"/>
            <w:gridSpan w:val="3"/>
            <w:vAlign w:val="top"/>
          </w:tcPr>
          <w:p w14:paraId="0D381C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土地损毁程度</w:t>
            </w:r>
          </w:p>
        </w:tc>
      </w:tr>
      <w:tr w14:paraId="79BA9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024" w:type="dxa"/>
            <w:vMerge w:val="continue"/>
            <w:tcBorders>
              <w:top w:val="nil"/>
            </w:tcBorders>
            <w:vAlign w:val="top"/>
          </w:tcPr>
          <w:p w14:paraId="6A0D9B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p>
        </w:tc>
        <w:tc>
          <w:tcPr>
            <w:tcW w:w="1818" w:type="dxa"/>
            <w:vMerge w:val="continue"/>
            <w:tcBorders>
              <w:top w:val="nil"/>
            </w:tcBorders>
            <w:vAlign w:val="top"/>
          </w:tcPr>
          <w:p w14:paraId="7780E1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p>
        </w:tc>
        <w:tc>
          <w:tcPr>
            <w:tcW w:w="1118" w:type="dxa"/>
            <w:vAlign w:val="top"/>
          </w:tcPr>
          <w:p w14:paraId="06F313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轻度</w:t>
            </w:r>
          </w:p>
        </w:tc>
        <w:tc>
          <w:tcPr>
            <w:tcW w:w="2127" w:type="dxa"/>
            <w:vAlign w:val="top"/>
          </w:tcPr>
          <w:p w14:paraId="370862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中度</w:t>
            </w:r>
          </w:p>
        </w:tc>
        <w:tc>
          <w:tcPr>
            <w:tcW w:w="3045" w:type="dxa"/>
            <w:vAlign w:val="top"/>
          </w:tcPr>
          <w:p w14:paraId="571162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重度</w:t>
            </w:r>
          </w:p>
        </w:tc>
      </w:tr>
      <w:tr w14:paraId="75B9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24" w:type="dxa"/>
            <w:vMerge w:val="restart"/>
            <w:vAlign w:val="top"/>
          </w:tcPr>
          <w:p w14:paraId="6EF4C9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p>
          <w:p w14:paraId="0609C5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压占、</w:t>
            </w:r>
          </w:p>
          <w:p w14:paraId="4F1093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挖损</w:t>
            </w:r>
          </w:p>
        </w:tc>
        <w:tc>
          <w:tcPr>
            <w:tcW w:w="1818" w:type="dxa"/>
            <w:vAlign w:val="top"/>
          </w:tcPr>
          <w:p w14:paraId="22D5BB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表土层损毁厚度</w:t>
            </w:r>
          </w:p>
        </w:tc>
        <w:tc>
          <w:tcPr>
            <w:tcW w:w="1118" w:type="dxa"/>
            <w:vAlign w:val="top"/>
          </w:tcPr>
          <w:p w14:paraId="4713FD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&lt;10cm</w:t>
            </w:r>
          </w:p>
        </w:tc>
        <w:tc>
          <w:tcPr>
            <w:tcW w:w="2127" w:type="dxa"/>
            <w:vAlign w:val="top"/>
          </w:tcPr>
          <w:p w14:paraId="6B4EDC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10</w:t>
            </w:r>
            <w:r>
              <w:rPr>
                <w:rFonts w:hint="eastAsia" w:ascii="Times New Roman" w:hAnsi="Times New Roman" w:eastAsia="仿宋" w:cs="Times New Roman"/>
                <w:snapToGrid/>
                <w:color w:val="000000"/>
                <w:spacing w:val="0"/>
                <w:kern w:val="0"/>
                <w:szCs w:val="21"/>
                <w:lang w:eastAsia="zh-CN"/>
              </w:rPr>
              <w:t>—</w:t>
            </w:r>
            <w:bookmarkStart w:id="1" w:name="_GoBack"/>
            <w:bookmarkEnd w:id="1"/>
            <w:r>
              <w:rPr>
                <w:rFonts w:ascii="Times New Roman" w:hAnsi="Times New Roman" w:eastAsia="仿宋" w:cs="Times New Roman"/>
                <w:snapToGrid/>
                <w:color w:val="000000"/>
                <w:spacing w:val="0"/>
                <w:kern w:val="0"/>
                <w:szCs w:val="21"/>
                <w:lang w:eastAsia="zh-CN"/>
              </w:rPr>
              <w:t>20cm</w:t>
            </w:r>
          </w:p>
        </w:tc>
        <w:tc>
          <w:tcPr>
            <w:tcW w:w="3045" w:type="dxa"/>
            <w:vAlign w:val="top"/>
          </w:tcPr>
          <w:p w14:paraId="22EEFA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&gt;20cm</w:t>
            </w:r>
          </w:p>
        </w:tc>
      </w:tr>
      <w:tr w14:paraId="74F9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24" w:type="dxa"/>
            <w:vMerge w:val="continue"/>
            <w:vAlign w:val="top"/>
          </w:tcPr>
          <w:p w14:paraId="122CAF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p>
        </w:tc>
        <w:tc>
          <w:tcPr>
            <w:tcW w:w="1818" w:type="dxa"/>
            <w:vAlign w:val="top"/>
          </w:tcPr>
          <w:p w14:paraId="5D8A40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坡度</w:t>
            </w:r>
          </w:p>
        </w:tc>
        <w:tc>
          <w:tcPr>
            <w:tcW w:w="1118" w:type="dxa"/>
            <w:vAlign w:val="top"/>
          </w:tcPr>
          <w:p w14:paraId="69134E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&lt;6°</w:t>
            </w:r>
          </w:p>
        </w:tc>
        <w:tc>
          <w:tcPr>
            <w:tcW w:w="2127" w:type="dxa"/>
            <w:vAlign w:val="top"/>
          </w:tcPr>
          <w:p w14:paraId="5F842D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6-15°</w:t>
            </w:r>
          </w:p>
        </w:tc>
        <w:tc>
          <w:tcPr>
            <w:tcW w:w="3045" w:type="dxa"/>
            <w:vAlign w:val="top"/>
          </w:tcPr>
          <w:p w14:paraId="608D5C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&gt;15°</w:t>
            </w:r>
          </w:p>
        </w:tc>
      </w:tr>
      <w:tr w14:paraId="3D55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24" w:type="dxa"/>
            <w:vMerge w:val="continue"/>
            <w:vAlign w:val="top"/>
          </w:tcPr>
          <w:p w14:paraId="046B03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p>
        </w:tc>
        <w:tc>
          <w:tcPr>
            <w:tcW w:w="1818" w:type="dxa"/>
            <w:vAlign w:val="top"/>
          </w:tcPr>
          <w:p w14:paraId="19EFE2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压占物</w:t>
            </w:r>
          </w:p>
        </w:tc>
        <w:tc>
          <w:tcPr>
            <w:tcW w:w="1118" w:type="dxa"/>
            <w:vAlign w:val="top"/>
          </w:tcPr>
          <w:p w14:paraId="7A8E18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原始土壤</w:t>
            </w:r>
          </w:p>
        </w:tc>
        <w:tc>
          <w:tcPr>
            <w:tcW w:w="2127" w:type="dxa"/>
            <w:vAlign w:val="top"/>
          </w:tcPr>
          <w:p w14:paraId="3FEE38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原始土壤和岩石混合物</w:t>
            </w:r>
          </w:p>
        </w:tc>
        <w:tc>
          <w:tcPr>
            <w:tcW w:w="3045" w:type="dxa"/>
            <w:vAlign w:val="top"/>
          </w:tcPr>
          <w:p w14:paraId="491ABC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岩土、砾石、建筑物、建筑垃圾</w:t>
            </w:r>
          </w:p>
        </w:tc>
      </w:tr>
    </w:tbl>
    <w:p w14:paraId="0A58CCB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根据土地损毁程度评价标准表1-2</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确定施工便道对草地拟损毁土地损毁程度为中度；水域及水利设施用地拟损毁土地损毁程度为轻度。项目区土地损毁情况见表1-3</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复垦责任范围土地损毁情况见表1-4。</w:t>
      </w:r>
    </w:p>
    <w:p w14:paraId="46D9638D">
      <w:pPr>
        <w:widowControl w:val="0"/>
        <w:kinsoku/>
        <w:autoSpaceDE/>
        <w:autoSpaceDN/>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r>
        <w:rPr>
          <w:rFonts w:ascii="Times New Roman" w:hAnsi="Times New Roman" w:eastAsia="黑体" w:cs="Times New Roman"/>
          <w:snapToGrid/>
          <w:color w:val="auto"/>
          <w:spacing w:val="0"/>
          <w:kern w:val="0"/>
          <w:szCs w:val="21"/>
          <w:lang w:eastAsia="zh-CN"/>
        </w:rPr>
        <w:t>表1-3项目区土地损毁情况表</w:t>
      </w:r>
    </w:p>
    <w:p w14:paraId="1AAC0511">
      <w:pPr>
        <w:spacing w:line="18" w:lineRule="exact"/>
        <w:rPr>
          <w:spacing w:val="0"/>
        </w:rPr>
      </w:pPr>
    </w:p>
    <w:tbl>
      <w:tblPr>
        <w:tblStyle w:val="5"/>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7"/>
        <w:gridCol w:w="1166"/>
        <w:gridCol w:w="1946"/>
        <w:gridCol w:w="1252"/>
        <w:gridCol w:w="1464"/>
        <w:gridCol w:w="1483"/>
      </w:tblGrid>
      <w:tr w14:paraId="0127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78" w:type="pct"/>
            <w:vAlign w:val="top"/>
          </w:tcPr>
          <w:p w14:paraId="6A777D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临时用地用途</w:t>
            </w:r>
          </w:p>
        </w:tc>
        <w:tc>
          <w:tcPr>
            <w:tcW w:w="656" w:type="pct"/>
            <w:vAlign w:val="top"/>
          </w:tcPr>
          <w:p w14:paraId="63F91C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损毁形式</w:t>
            </w:r>
          </w:p>
        </w:tc>
        <w:tc>
          <w:tcPr>
            <w:tcW w:w="1097" w:type="pct"/>
            <w:vAlign w:val="top"/>
          </w:tcPr>
          <w:p w14:paraId="0E85C8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原地类</w:t>
            </w:r>
          </w:p>
        </w:tc>
        <w:tc>
          <w:tcPr>
            <w:tcW w:w="706" w:type="pct"/>
            <w:vAlign w:val="top"/>
          </w:tcPr>
          <w:p w14:paraId="13E891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面积/hm²</w:t>
            </w:r>
          </w:p>
        </w:tc>
        <w:tc>
          <w:tcPr>
            <w:tcW w:w="825" w:type="pct"/>
            <w:vAlign w:val="top"/>
          </w:tcPr>
          <w:p w14:paraId="5313E2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损毁程度</w:t>
            </w:r>
          </w:p>
        </w:tc>
        <w:tc>
          <w:tcPr>
            <w:tcW w:w="836" w:type="pct"/>
            <w:vAlign w:val="top"/>
          </w:tcPr>
          <w:p w14:paraId="161B95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各注</w:t>
            </w:r>
          </w:p>
        </w:tc>
      </w:tr>
      <w:tr w14:paraId="47E6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78" w:type="pct"/>
            <w:vMerge w:val="restart"/>
            <w:tcBorders>
              <w:bottom w:val="nil"/>
            </w:tcBorders>
            <w:vAlign w:val="top"/>
          </w:tcPr>
          <w:p w14:paraId="2E286E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p w14:paraId="72B856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p w14:paraId="13ABE8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临时性建设用地</w:t>
            </w:r>
          </w:p>
        </w:tc>
        <w:tc>
          <w:tcPr>
            <w:tcW w:w="656" w:type="pct"/>
            <w:vAlign w:val="top"/>
          </w:tcPr>
          <w:p w14:paraId="2D7BEE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拟挖损、</w:t>
            </w:r>
          </w:p>
          <w:p w14:paraId="76C685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压占</w:t>
            </w:r>
          </w:p>
        </w:tc>
        <w:tc>
          <w:tcPr>
            <w:tcW w:w="1097" w:type="pct"/>
            <w:vAlign w:val="top"/>
          </w:tcPr>
          <w:p w14:paraId="40F593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草地</w:t>
            </w:r>
          </w:p>
        </w:tc>
        <w:tc>
          <w:tcPr>
            <w:tcW w:w="706" w:type="pct"/>
            <w:vAlign w:val="top"/>
          </w:tcPr>
          <w:p w14:paraId="4FD896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3.0138</w:t>
            </w:r>
          </w:p>
        </w:tc>
        <w:tc>
          <w:tcPr>
            <w:tcW w:w="825" w:type="pct"/>
            <w:vAlign w:val="top"/>
          </w:tcPr>
          <w:p w14:paraId="2270EC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中度</w:t>
            </w:r>
          </w:p>
        </w:tc>
        <w:tc>
          <w:tcPr>
            <w:tcW w:w="836" w:type="pct"/>
            <w:vAlign w:val="top"/>
          </w:tcPr>
          <w:p w14:paraId="41F67A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纳入复垦责任范围</w:t>
            </w:r>
          </w:p>
        </w:tc>
      </w:tr>
      <w:tr w14:paraId="257DD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78" w:type="pct"/>
            <w:vMerge w:val="continue"/>
            <w:tcBorders>
              <w:top w:val="nil"/>
              <w:bottom w:val="nil"/>
            </w:tcBorders>
            <w:vAlign w:val="top"/>
          </w:tcPr>
          <w:p w14:paraId="4262AE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c>
          <w:tcPr>
            <w:tcW w:w="656" w:type="pct"/>
            <w:vAlign w:val="top"/>
          </w:tcPr>
          <w:p w14:paraId="2E6607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压占</w:t>
            </w:r>
          </w:p>
        </w:tc>
        <w:tc>
          <w:tcPr>
            <w:tcW w:w="1097" w:type="pct"/>
            <w:vAlign w:val="top"/>
          </w:tcPr>
          <w:p w14:paraId="47B18A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水域及水利设施</w:t>
            </w:r>
          </w:p>
        </w:tc>
        <w:tc>
          <w:tcPr>
            <w:tcW w:w="706" w:type="pct"/>
            <w:vAlign w:val="top"/>
          </w:tcPr>
          <w:p w14:paraId="17490F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0.0015</w:t>
            </w:r>
          </w:p>
        </w:tc>
        <w:tc>
          <w:tcPr>
            <w:tcW w:w="825" w:type="pct"/>
            <w:vAlign w:val="top"/>
          </w:tcPr>
          <w:p w14:paraId="65FC7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轻度</w:t>
            </w:r>
          </w:p>
        </w:tc>
        <w:tc>
          <w:tcPr>
            <w:tcW w:w="836" w:type="pct"/>
            <w:vAlign w:val="top"/>
          </w:tcPr>
          <w:p w14:paraId="395C2A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不纳入复垦</w:t>
            </w:r>
          </w:p>
          <w:p w14:paraId="5E7CEF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责任范围</w:t>
            </w:r>
          </w:p>
        </w:tc>
      </w:tr>
      <w:tr w14:paraId="255DC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78" w:type="pct"/>
            <w:vMerge w:val="continue"/>
            <w:tcBorders>
              <w:top w:val="nil"/>
            </w:tcBorders>
            <w:vAlign w:val="top"/>
          </w:tcPr>
          <w:p w14:paraId="619452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p>
        </w:tc>
        <w:tc>
          <w:tcPr>
            <w:tcW w:w="656" w:type="pct"/>
            <w:vAlign w:val="top"/>
          </w:tcPr>
          <w:p w14:paraId="473566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不损毁</w:t>
            </w:r>
          </w:p>
        </w:tc>
        <w:tc>
          <w:tcPr>
            <w:tcW w:w="1097" w:type="pct"/>
            <w:vAlign w:val="top"/>
          </w:tcPr>
          <w:p w14:paraId="39CF55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交通运输用地</w:t>
            </w:r>
          </w:p>
        </w:tc>
        <w:tc>
          <w:tcPr>
            <w:tcW w:w="706" w:type="pct"/>
            <w:vAlign w:val="top"/>
          </w:tcPr>
          <w:p w14:paraId="3EFEB8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0.0644</w:t>
            </w:r>
          </w:p>
        </w:tc>
        <w:tc>
          <w:tcPr>
            <w:tcW w:w="825" w:type="pct"/>
            <w:vAlign w:val="top"/>
          </w:tcPr>
          <w:p w14:paraId="26BBDE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snapToGrid/>
                <w:color w:val="000000"/>
                <w:spacing w:val="0"/>
                <w:kern w:val="0"/>
                <w:szCs w:val="21"/>
                <w:lang w:eastAsia="zh-CN"/>
              </w:rPr>
            </w:pPr>
            <w:r>
              <w:rPr>
                <w:rFonts w:hint="eastAsia" w:ascii="Times New Roman" w:hAnsi="Times New Roman" w:eastAsia="仿宋" w:cs="Times New Roman"/>
                <w:snapToGrid/>
                <w:color w:val="000000"/>
                <w:spacing w:val="0"/>
                <w:kern w:val="0"/>
                <w:szCs w:val="21"/>
                <w:lang w:eastAsia="zh-CN"/>
              </w:rPr>
              <w:t>—</w:t>
            </w:r>
          </w:p>
        </w:tc>
        <w:tc>
          <w:tcPr>
            <w:tcW w:w="836" w:type="pct"/>
            <w:vAlign w:val="top"/>
          </w:tcPr>
          <w:p w14:paraId="62D7FE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不纳入复垦</w:t>
            </w:r>
          </w:p>
          <w:p w14:paraId="79AE2E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责任范围</w:t>
            </w:r>
          </w:p>
        </w:tc>
      </w:tr>
      <w:tr w14:paraId="47F6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35" w:type="pct"/>
            <w:gridSpan w:val="2"/>
            <w:vAlign w:val="top"/>
          </w:tcPr>
          <w:p w14:paraId="00CD23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合计</w:t>
            </w:r>
          </w:p>
        </w:tc>
        <w:tc>
          <w:tcPr>
            <w:tcW w:w="3464" w:type="pct"/>
            <w:gridSpan w:val="4"/>
            <w:vAlign w:val="top"/>
          </w:tcPr>
          <w:p w14:paraId="0C9343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000000"/>
                <w:spacing w:val="0"/>
                <w:kern w:val="0"/>
                <w:szCs w:val="21"/>
                <w:lang w:eastAsia="zh-CN"/>
              </w:rPr>
            </w:pPr>
            <w:r>
              <w:rPr>
                <w:rFonts w:ascii="Times New Roman" w:hAnsi="Times New Roman" w:eastAsia="仿宋" w:cs="Times New Roman"/>
                <w:snapToGrid/>
                <w:color w:val="000000"/>
                <w:spacing w:val="0"/>
                <w:kern w:val="0"/>
                <w:szCs w:val="21"/>
                <w:lang w:eastAsia="zh-CN"/>
              </w:rPr>
              <w:t>3.0797</w:t>
            </w:r>
          </w:p>
        </w:tc>
      </w:tr>
    </w:tbl>
    <w:p w14:paraId="2BC93AD1">
      <w:pPr>
        <w:widowControl w:val="0"/>
        <w:kinsoku/>
        <w:autoSpaceDE/>
        <w:autoSpaceDN/>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p>
    <w:p w14:paraId="50AE85B6">
      <w:pPr>
        <w:widowControl w:val="0"/>
        <w:kinsoku/>
        <w:autoSpaceDE/>
        <w:autoSpaceDN/>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r>
        <w:rPr>
          <w:rFonts w:ascii="Times New Roman" w:hAnsi="Times New Roman" w:eastAsia="黑体" w:cs="Times New Roman"/>
          <w:snapToGrid/>
          <w:color w:val="auto"/>
          <w:spacing w:val="0"/>
          <w:kern w:val="0"/>
          <w:szCs w:val="21"/>
          <w:lang w:eastAsia="zh-CN"/>
        </w:rPr>
        <w:t>表1-4复垦责任范围土地损毁情况表</w:t>
      </w:r>
    </w:p>
    <w:p w14:paraId="6A0EE012">
      <w:pPr>
        <w:spacing w:line="20" w:lineRule="exact"/>
        <w:rPr>
          <w:spacing w:val="0"/>
        </w:rPr>
      </w:pPr>
    </w:p>
    <w:tbl>
      <w:tblPr>
        <w:tblStyle w:val="5"/>
        <w:tblW w:w="883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2247"/>
        <w:gridCol w:w="1978"/>
        <w:gridCol w:w="2552"/>
      </w:tblGrid>
      <w:tr w14:paraId="0CC2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53" w:type="dxa"/>
            <w:vAlign w:val="top"/>
          </w:tcPr>
          <w:p w14:paraId="559EA7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土地类型</w:t>
            </w:r>
          </w:p>
        </w:tc>
        <w:tc>
          <w:tcPr>
            <w:tcW w:w="2247" w:type="dxa"/>
            <w:vAlign w:val="top"/>
          </w:tcPr>
          <w:p w14:paraId="52BEE5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损毁方式</w:t>
            </w:r>
          </w:p>
        </w:tc>
        <w:tc>
          <w:tcPr>
            <w:tcW w:w="1978" w:type="dxa"/>
            <w:vAlign w:val="top"/>
          </w:tcPr>
          <w:p w14:paraId="778D1D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损毁程度</w:t>
            </w:r>
          </w:p>
        </w:tc>
        <w:tc>
          <w:tcPr>
            <w:tcW w:w="2552" w:type="dxa"/>
            <w:vAlign w:val="top"/>
          </w:tcPr>
          <w:p w14:paraId="4FCBD5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损毁面积hm²</w:t>
            </w:r>
          </w:p>
        </w:tc>
      </w:tr>
      <w:tr w14:paraId="0A51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053" w:type="dxa"/>
            <w:vAlign w:val="top"/>
          </w:tcPr>
          <w:p w14:paraId="254CA8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天然牧草地</w:t>
            </w:r>
          </w:p>
        </w:tc>
        <w:tc>
          <w:tcPr>
            <w:tcW w:w="2247" w:type="dxa"/>
            <w:vAlign w:val="top"/>
          </w:tcPr>
          <w:p w14:paraId="3BD1A8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挖损、压占</w:t>
            </w:r>
          </w:p>
        </w:tc>
        <w:tc>
          <w:tcPr>
            <w:tcW w:w="1978" w:type="dxa"/>
            <w:vAlign w:val="top"/>
          </w:tcPr>
          <w:p w14:paraId="19B5FB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中度</w:t>
            </w:r>
          </w:p>
        </w:tc>
        <w:tc>
          <w:tcPr>
            <w:tcW w:w="2552" w:type="dxa"/>
            <w:vAlign w:val="top"/>
          </w:tcPr>
          <w:p w14:paraId="5FCE5B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3.0138</w:t>
            </w:r>
          </w:p>
        </w:tc>
      </w:tr>
      <w:tr w14:paraId="7059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053" w:type="dxa"/>
            <w:vAlign w:val="top"/>
          </w:tcPr>
          <w:p w14:paraId="083534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合计：</w:t>
            </w:r>
          </w:p>
        </w:tc>
        <w:tc>
          <w:tcPr>
            <w:tcW w:w="2247" w:type="dxa"/>
            <w:vAlign w:val="top"/>
          </w:tcPr>
          <w:p w14:paraId="518634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p>
        </w:tc>
        <w:tc>
          <w:tcPr>
            <w:tcW w:w="1978" w:type="dxa"/>
            <w:vAlign w:val="top"/>
          </w:tcPr>
          <w:p w14:paraId="5464F5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p>
        </w:tc>
        <w:tc>
          <w:tcPr>
            <w:tcW w:w="2552" w:type="dxa"/>
            <w:vAlign w:val="top"/>
          </w:tcPr>
          <w:p w14:paraId="72547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eastAsia="zh-CN"/>
              </w:rPr>
            </w:pPr>
            <w:r>
              <w:rPr>
                <w:rFonts w:ascii="Times New Roman" w:hAnsi="Times New Roman" w:eastAsia="仿宋" w:cs="Times New Roman"/>
                <w:snapToGrid/>
                <w:color w:val="auto"/>
                <w:spacing w:val="0"/>
                <w:kern w:val="0"/>
                <w:szCs w:val="21"/>
                <w:lang w:eastAsia="zh-CN"/>
              </w:rPr>
              <w:t>3.0138</w:t>
            </w:r>
          </w:p>
        </w:tc>
      </w:tr>
    </w:tbl>
    <w:p w14:paraId="1BBD977D">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方正仿宋_GBK" w:cs="Times New Roman"/>
          <w:b/>
          <w:bCs/>
          <w:spacing w:val="0"/>
          <w:sz w:val="32"/>
          <w:szCs w:val="32"/>
          <w:lang w:val="en-US" w:eastAsia="zh-CN"/>
        </w:rPr>
      </w:pP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val="en-US" w:eastAsia="zh-CN"/>
        </w:rPr>
        <w:t>4</w:t>
      </w: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val="en-US" w:eastAsia="zh-CN"/>
        </w:rPr>
        <w:t>土地复垦目标</w:t>
      </w:r>
    </w:p>
    <w:p w14:paraId="01AEBD1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在尽量确保复垦方向与土地利用总体规划、周边景观保持一致的情况下，根据土地复垦适宜性评价结果，结合项目区自然环境特征，确定项目区最终的土地复垦方向、复垦面积及土地复垦率。本方案土地复垦目标为恢复原有地类，本方案复垦区责任范围面积3.0138公顷，拟复垦土地面积3.0138公顷，土地复垦率为100%。</w:t>
      </w:r>
    </w:p>
    <w:p w14:paraId="6526387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本方案复垦前后土地利用结构调整表见1-5。</w:t>
      </w:r>
    </w:p>
    <w:p w14:paraId="5786E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napToGrid/>
          <w:color w:val="auto"/>
          <w:spacing w:val="0"/>
          <w:kern w:val="0"/>
          <w:szCs w:val="21"/>
          <w:lang w:eastAsia="zh-CN"/>
        </w:rPr>
      </w:pPr>
      <w:r>
        <w:rPr>
          <w:rFonts w:ascii="Times New Roman" w:hAnsi="Times New Roman" w:eastAsia="黑体" w:cs="Times New Roman"/>
          <w:snapToGrid/>
          <w:color w:val="auto"/>
          <w:spacing w:val="0"/>
          <w:kern w:val="0"/>
          <w:szCs w:val="21"/>
          <w:lang w:eastAsia="zh-CN"/>
        </w:rPr>
        <w:t>表1-5复垦前后土地利用结构调整表</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2"/>
        <w:gridCol w:w="1369"/>
        <w:gridCol w:w="1978"/>
        <w:gridCol w:w="1928"/>
        <w:gridCol w:w="1333"/>
      </w:tblGrid>
      <w:tr w14:paraId="7237A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292" w:type="dxa"/>
            <w:vAlign w:val="top"/>
          </w:tcPr>
          <w:p w14:paraId="0368A9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一级地类</w:t>
            </w:r>
          </w:p>
        </w:tc>
        <w:tc>
          <w:tcPr>
            <w:tcW w:w="1369" w:type="dxa"/>
            <w:vAlign w:val="top"/>
          </w:tcPr>
          <w:p w14:paraId="6579E1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二级地类</w:t>
            </w:r>
          </w:p>
        </w:tc>
        <w:tc>
          <w:tcPr>
            <w:tcW w:w="1978" w:type="dxa"/>
            <w:vAlign w:val="top"/>
          </w:tcPr>
          <w:p w14:paraId="7B37F8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复垦前/hm²</w:t>
            </w:r>
          </w:p>
        </w:tc>
        <w:tc>
          <w:tcPr>
            <w:tcW w:w="1928" w:type="dxa"/>
            <w:vAlign w:val="top"/>
          </w:tcPr>
          <w:p w14:paraId="3B66DB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复垦后/hm²</w:t>
            </w:r>
          </w:p>
        </w:tc>
        <w:tc>
          <w:tcPr>
            <w:tcW w:w="1333" w:type="dxa"/>
            <w:vAlign w:val="top"/>
          </w:tcPr>
          <w:p w14:paraId="5D6CD6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交幅/%</w:t>
            </w:r>
          </w:p>
        </w:tc>
      </w:tr>
      <w:tr w14:paraId="2164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92" w:type="dxa"/>
            <w:vAlign w:val="top"/>
          </w:tcPr>
          <w:p w14:paraId="023D00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草地</w:t>
            </w:r>
          </w:p>
        </w:tc>
        <w:tc>
          <w:tcPr>
            <w:tcW w:w="1369" w:type="dxa"/>
            <w:vAlign w:val="top"/>
          </w:tcPr>
          <w:p w14:paraId="2BC6EC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天然牧草地</w:t>
            </w:r>
          </w:p>
        </w:tc>
        <w:tc>
          <w:tcPr>
            <w:tcW w:w="1978" w:type="dxa"/>
            <w:vAlign w:val="top"/>
          </w:tcPr>
          <w:p w14:paraId="4425AC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3.0138</w:t>
            </w:r>
          </w:p>
        </w:tc>
        <w:tc>
          <w:tcPr>
            <w:tcW w:w="1928" w:type="dxa"/>
            <w:vAlign w:val="top"/>
          </w:tcPr>
          <w:p w14:paraId="1B2F22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3.0138</w:t>
            </w:r>
          </w:p>
        </w:tc>
        <w:tc>
          <w:tcPr>
            <w:tcW w:w="1333" w:type="dxa"/>
            <w:vAlign w:val="top"/>
          </w:tcPr>
          <w:p w14:paraId="12C119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w:t>
            </w:r>
          </w:p>
        </w:tc>
      </w:tr>
      <w:tr w14:paraId="2FA3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92" w:type="dxa"/>
            <w:vAlign w:val="top"/>
          </w:tcPr>
          <w:p w14:paraId="1B4C22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水利及水利设施用地</w:t>
            </w:r>
          </w:p>
        </w:tc>
        <w:tc>
          <w:tcPr>
            <w:tcW w:w="1369" w:type="dxa"/>
            <w:vAlign w:val="top"/>
          </w:tcPr>
          <w:p w14:paraId="34983D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河流水面</w:t>
            </w:r>
          </w:p>
        </w:tc>
        <w:tc>
          <w:tcPr>
            <w:tcW w:w="1978" w:type="dxa"/>
            <w:vAlign w:val="top"/>
          </w:tcPr>
          <w:p w14:paraId="7607F4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0.0015</w:t>
            </w:r>
          </w:p>
        </w:tc>
        <w:tc>
          <w:tcPr>
            <w:tcW w:w="1928" w:type="dxa"/>
            <w:vAlign w:val="top"/>
          </w:tcPr>
          <w:p w14:paraId="76F3BC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0.0015</w:t>
            </w:r>
          </w:p>
        </w:tc>
        <w:tc>
          <w:tcPr>
            <w:tcW w:w="1333" w:type="dxa"/>
            <w:vAlign w:val="top"/>
          </w:tcPr>
          <w:p w14:paraId="531BD2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w:t>
            </w:r>
          </w:p>
        </w:tc>
      </w:tr>
      <w:tr w14:paraId="1259C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92" w:type="dxa"/>
            <w:vAlign w:val="top"/>
          </w:tcPr>
          <w:p w14:paraId="1860BE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交通运输用地</w:t>
            </w:r>
          </w:p>
        </w:tc>
        <w:tc>
          <w:tcPr>
            <w:tcW w:w="1369" w:type="dxa"/>
            <w:vAlign w:val="top"/>
          </w:tcPr>
          <w:p w14:paraId="245D31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公路用地</w:t>
            </w:r>
          </w:p>
        </w:tc>
        <w:tc>
          <w:tcPr>
            <w:tcW w:w="1978" w:type="dxa"/>
            <w:vAlign w:val="top"/>
          </w:tcPr>
          <w:p w14:paraId="79F55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0.0644</w:t>
            </w:r>
          </w:p>
        </w:tc>
        <w:tc>
          <w:tcPr>
            <w:tcW w:w="1928" w:type="dxa"/>
            <w:vAlign w:val="top"/>
          </w:tcPr>
          <w:p w14:paraId="431299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0.0644</w:t>
            </w:r>
          </w:p>
        </w:tc>
        <w:tc>
          <w:tcPr>
            <w:tcW w:w="1333" w:type="dxa"/>
            <w:vAlign w:val="top"/>
          </w:tcPr>
          <w:p w14:paraId="412F0F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w:t>
            </w:r>
          </w:p>
        </w:tc>
      </w:tr>
      <w:tr w14:paraId="4811F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61" w:type="dxa"/>
            <w:gridSpan w:val="2"/>
            <w:vAlign w:val="top"/>
          </w:tcPr>
          <w:p w14:paraId="0293E0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合计</w:t>
            </w:r>
          </w:p>
        </w:tc>
        <w:tc>
          <w:tcPr>
            <w:tcW w:w="1978" w:type="dxa"/>
            <w:vAlign w:val="top"/>
          </w:tcPr>
          <w:p w14:paraId="775124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3.0797</w:t>
            </w:r>
          </w:p>
        </w:tc>
        <w:tc>
          <w:tcPr>
            <w:tcW w:w="1928" w:type="dxa"/>
            <w:vAlign w:val="top"/>
          </w:tcPr>
          <w:p w14:paraId="3CF930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3.0797</w:t>
            </w:r>
          </w:p>
        </w:tc>
        <w:tc>
          <w:tcPr>
            <w:tcW w:w="1333" w:type="dxa"/>
            <w:vAlign w:val="top"/>
          </w:tcPr>
          <w:p w14:paraId="34F828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napToGrid/>
                <w:color w:val="auto"/>
                <w:spacing w:val="0"/>
                <w:kern w:val="0"/>
                <w:szCs w:val="21"/>
                <w:lang w:val="en-US" w:eastAsia="en-US"/>
              </w:rPr>
            </w:pPr>
            <w:r>
              <w:rPr>
                <w:rFonts w:ascii="Times New Roman" w:hAnsi="Times New Roman" w:eastAsia="仿宋" w:cs="Times New Roman"/>
                <w:snapToGrid/>
                <w:color w:val="auto"/>
                <w:spacing w:val="0"/>
                <w:kern w:val="0"/>
                <w:szCs w:val="21"/>
                <w:lang w:val="en-US" w:eastAsia="en-US"/>
              </w:rPr>
              <w:t>0%</w:t>
            </w:r>
          </w:p>
        </w:tc>
      </w:tr>
    </w:tbl>
    <w:p w14:paraId="31E89D10">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方正仿宋_GBK" w:cs="Times New Roman"/>
          <w:b/>
          <w:bCs/>
          <w:spacing w:val="0"/>
          <w:sz w:val="32"/>
          <w:szCs w:val="32"/>
          <w:lang w:val="en-US" w:eastAsia="zh-CN"/>
        </w:rPr>
      </w:pP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val="en-US" w:eastAsia="zh-CN"/>
        </w:rPr>
        <w:t>5</w:t>
      </w: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val="en-US" w:eastAsia="zh-CN"/>
        </w:rPr>
        <w:t>复垦的</w:t>
      </w:r>
      <w:r>
        <w:rPr>
          <w:rFonts w:hint="eastAsia" w:ascii="Times New Roman" w:hAnsi="Times New Roman" w:eastAsia="方正仿宋_GBK" w:cs="Times New Roman"/>
          <w:b/>
          <w:bCs/>
          <w:spacing w:val="0"/>
          <w:sz w:val="32"/>
          <w:szCs w:val="32"/>
          <w:lang w:val="en-US" w:eastAsia="zh-CN"/>
        </w:rPr>
        <w:t>投</w:t>
      </w:r>
      <w:r>
        <w:rPr>
          <w:rFonts w:hint="default" w:ascii="Times New Roman" w:hAnsi="Times New Roman" w:eastAsia="方正仿宋_GBK" w:cs="Times New Roman"/>
          <w:b/>
          <w:bCs/>
          <w:spacing w:val="0"/>
          <w:sz w:val="32"/>
          <w:szCs w:val="32"/>
          <w:lang w:val="en-US" w:eastAsia="zh-CN"/>
        </w:rPr>
        <w:t>资情况</w:t>
      </w:r>
    </w:p>
    <w:p w14:paraId="32B9F1B2">
      <w:pPr>
        <w:keepNext w:val="0"/>
        <w:keepLines w:val="0"/>
        <w:pageBreakBefore w:val="0"/>
        <w:kinsoku w:val="0"/>
        <w:wordWrap/>
        <w:overflowPunct/>
        <w:topLinePunct w:val="0"/>
        <w:autoSpaceDE/>
        <w:autoSpaceDN/>
        <w:bidi w:val="0"/>
        <w:adjustRightInd w:val="0"/>
        <w:snapToGrid w:val="0"/>
        <w:spacing w:before="0" w:line="560" w:lineRule="exact"/>
        <w:ind w:left="0" w:right="0" w:firstLine="640" w:firstLineChars="200"/>
        <w:jc w:val="both"/>
        <w:textAlignment w:val="baseline"/>
        <w:rPr>
          <w:rFonts w:hint="default" w:ascii="Times New Roman" w:hAnsi="Times New Roman" w:eastAsia="方正仿宋_GBK" w:cs="Times New Roman"/>
          <w:b w:val="0"/>
          <w:bCs w:val="0"/>
          <w:snapToGrid w:val="0"/>
          <w:color w:val="000000"/>
          <w:spacing w:val="0"/>
          <w:kern w:val="0"/>
          <w:sz w:val="32"/>
          <w:szCs w:val="32"/>
          <w:lang w:val="en-US" w:eastAsia="en-US" w:bidi="ar-SA"/>
        </w:rPr>
      </w:pPr>
      <w:r>
        <w:rPr>
          <w:rFonts w:hint="default" w:ascii="Times New Roman" w:hAnsi="Times New Roman" w:eastAsia="方正仿宋_GBK" w:cs="Times New Roman"/>
          <w:b w:val="0"/>
          <w:bCs w:val="0"/>
          <w:snapToGrid w:val="0"/>
          <w:color w:val="000000"/>
          <w:spacing w:val="0"/>
          <w:kern w:val="0"/>
          <w:sz w:val="32"/>
          <w:szCs w:val="32"/>
          <w:lang w:val="en-US" w:eastAsia="en-US" w:bidi="ar-SA"/>
        </w:rPr>
        <w:t>复垦静态总投资7.06万元，静态天然牧草地亩均投资1562.8元。其中：工程施工费4.68万元，其他费用0.65万元，监测费1.04万元，管护费0.54万元，预备费0.16万元。</w:t>
      </w:r>
    </w:p>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8</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26</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系</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3ABE15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14:paraId="11A06B4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1AB3A18E">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3527641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2E571F47">
      <w:pPr>
        <w:keepNext w:val="0"/>
        <w:keepLines w:val="0"/>
        <w:pageBreakBefore w:val="0"/>
        <w:widowControl w:val="0"/>
        <w:kinsoku/>
        <w:wordWrap/>
        <w:overflowPunct/>
        <w:topLinePunct w:val="0"/>
        <w:autoSpaceDE/>
        <w:autoSpaceDN/>
        <w:bidi w:val="0"/>
        <w:spacing w:line="480" w:lineRule="exact"/>
        <w:ind w:firstLine="4800" w:firstLineChars="15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26日</w:t>
      </w:r>
    </w:p>
    <w:p w14:paraId="03BF37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539158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DA341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57CB44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7FDC80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1C1D73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24BD0D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36A355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3A2A63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707AC1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100EF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E14F1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48F9C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62EF53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3460CD54">
      <w:pPr>
        <w:spacing w:line="560" w:lineRule="exact"/>
        <w:ind w:firstLine="320" w:firstLineChars="100"/>
        <w:jc w:val="left"/>
        <w:rPr>
          <w:rFonts w:hint="default" w:ascii="仿宋" w:hAnsi="仿宋" w:eastAsia="仿宋" w:cs="Times New Roman"/>
          <w:color w:val="00000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0"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26</w:t>
      </w:r>
      <w:r>
        <w:rPr>
          <w:rFonts w:hint="eastAsia" w:ascii="仿宋" w:hAnsi="仿宋" w:eastAsia="仿宋" w:cs="Times New Roman"/>
          <w:color w:val="000000"/>
          <w:sz w:val="32"/>
          <w:szCs w:val="32"/>
        </w:rPr>
        <w:t>日</w:t>
      </w:r>
      <w:bookmarkEnd w:id="0"/>
      <w:r>
        <w:rPr>
          <w:rFonts w:hint="eastAsia" w:ascii="仿宋" w:hAnsi="仿宋" w:eastAsia="仿宋" w:cs="Times New Roman"/>
          <w:color w:val="000000"/>
          <w:sz w:val="32"/>
          <w:szCs w:val="32"/>
        </w:rPr>
        <w:t>印发</w:t>
      </w:r>
    </w:p>
    <w:sectPr>
      <w:pgSz w:w="11906" w:h="16838"/>
      <w:pgMar w:top="1871" w:right="1531" w:bottom="1984" w:left="1531" w:header="851" w:footer="992"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3A7C2A74"/>
    <w:rsid w:val="2B6A5CC1"/>
    <w:rsid w:val="2CCC6994"/>
    <w:rsid w:val="3A7C2A74"/>
    <w:rsid w:val="5EE57D3B"/>
    <w:rsid w:val="62805805"/>
    <w:rsid w:val="76B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2388</Words>
  <Characters>2767</Characters>
  <Lines>0</Lines>
  <Paragraphs>0</Paragraphs>
  <TotalTime>13</TotalTime>
  <ScaleCrop>false</ScaleCrop>
  <LinksUpToDate>false</LinksUpToDate>
  <CharactersWithSpaces>2782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2024-08-22T03:10:00Z</dcterms:created>
  <dc:creator></dc:creator>
  <cp:lastModifiedBy>觉伦图尔根</cp:lastModifiedBy>
  <dcterms:modified xsi:type="dcterms:W3CDTF">2024-08-26T03:46:31Z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4958BECFD6274864A03A7B25FC7983F5_11</vt:lpwstr>
  </property>
</Properties>
</file>