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4087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0CD68684">
      <w:pPr>
        <w:pStyle w:val="2"/>
        <w:keepNext w:val="0"/>
        <w:keepLines w:val="0"/>
        <w:pageBreakBefore w:val="0"/>
        <w:widowControl w:val="0"/>
        <w:kinsoku/>
        <w:wordWrap/>
        <w:overflowPunct/>
        <w:topLinePunct w:val="0"/>
        <w:autoSpaceDE/>
        <w:autoSpaceDN/>
        <w:bidi w:val="0"/>
        <w:adjustRightInd/>
        <w:snapToGrid/>
        <w:spacing w:after="0" w:afterLines="0"/>
        <w:ind w:left="0" w:leftChars="0"/>
        <w:rPr>
          <w:rFonts w:hint="eastAsia" w:ascii="方正小标宋_GBK" w:hAnsi="方正小标宋_GBK" w:eastAsia="方正小标宋_GBK" w:cs="方正小标宋_GBK"/>
          <w:b w:val="0"/>
          <w:bCs w:val="0"/>
          <w:spacing w:val="0"/>
          <w:sz w:val="32"/>
          <w:szCs w:val="32"/>
          <w:lang w:val="en-US" w:eastAsia="zh-CN"/>
        </w:rPr>
      </w:pPr>
    </w:p>
    <w:p w14:paraId="26B912A0">
      <w:pPr>
        <w:pStyle w:val="2"/>
        <w:keepNext w:val="0"/>
        <w:keepLines w:val="0"/>
        <w:pageBreakBefore w:val="0"/>
        <w:widowControl w:val="0"/>
        <w:kinsoku/>
        <w:wordWrap/>
        <w:overflowPunct/>
        <w:topLinePunct w:val="0"/>
        <w:autoSpaceDE/>
        <w:autoSpaceDN/>
        <w:bidi w:val="0"/>
        <w:adjustRightInd/>
        <w:snapToGrid/>
        <w:spacing w:after="0" w:afterLines="0"/>
        <w:ind w:left="0" w:leftChars="0"/>
        <w:rPr>
          <w:rFonts w:hint="eastAsia" w:ascii="方正小标宋_GBK" w:hAnsi="方正小标宋_GBK" w:eastAsia="方正小标宋_GBK" w:cs="方正小标宋_GBK"/>
          <w:b w:val="0"/>
          <w:bCs w:val="0"/>
          <w:spacing w:val="0"/>
          <w:sz w:val="32"/>
          <w:szCs w:val="32"/>
          <w:lang w:val="en-US" w:eastAsia="zh-CN"/>
        </w:rPr>
      </w:pPr>
    </w:p>
    <w:p w14:paraId="4AB59F8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贵州省公路工程集团有限公司国道218线那拉提至</w:t>
      </w:r>
      <w:r>
        <w:rPr>
          <w:rFonts w:hint="eastAsia" w:ascii="方正小标宋_GBK" w:hAnsi="方正小标宋_GBK" w:eastAsia="方正小标宋_GBK" w:cs="方正小标宋_GBK"/>
          <w:spacing w:val="0"/>
          <w:sz w:val="44"/>
          <w:szCs w:val="44"/>
          <w:lang w:eastAsia="zh-CN"/>
        </w:rPr>
        <w:t>巴伦台</w:t>
      </w:r>
      <w:r>
        <w:rPr>
          <w:rFonts w:hint="eastAsia" w:ascii="方正小标宋_GBK" w:hAnsi="方正小标宋_GBK" w:eastAsia="方正小标宋_GBK" w:cs="方正小标宋_GBK"/>
          <w:spacing w:val="0"/>
          <w:sz w:val="44"/>
          <w:szCs w:val="44"/>
        </w:rPr>
        <w:t>公路项目第NBTZ-9</w:t>
      </w:r>
    </w:p>
    <w:p w14:paraId="6EF4D05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标段项目经理部包格旦1#隧道出口便道、</w:t>
      </w:r>
    </w:p>
    <w:p w14:paraId="71893F6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2#隧道出口工人驻地、场站、4号弃土</w:t>
      </w:r>
    </w:p>
    <w:p w14:paraId="4C1E770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场及便道临时用地土地复垦方案</w:t>
      </w:r>
      <w:r>
        <w:rPr>
          <w:rFonts w:hint="eastAsia" w:ascii="方正小标宋_GBK" w:hAnsi="方正小标宋_GBK" w:eastAsia="方正小标宋_GBK" w:cs="方正小标宋_GBK"/>
          <w:spacing w:val="0"/>
          <w:sz w:val="44"/>
          <w:szCs w:val="44"/>
          <w:lang w:val="en-US" w:eastAsia="zh-CN"/>
        </w:rPr>
        <w:t>》</w:t>
      </w: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公开征求意见的公告</w:t>
      </w:r>
    </w:p>
    <w:p w14:paraId="3AE7F2C8">
      <w:pPr>
        <w:pStyle w:val="2"/>
        <w:rPr>
          <w:rFonts w:hint="eastAsia"/>
          <w:lang w:val="en-US" w:eastAsia="zh-CN"/>
        </w:rPr>
      </w:pP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按照《土地复垦方案》文件规定，对《贵州省公路工程集团有限公司国道218线那拉提至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公路项目第NBTZ-9标段项目经理部包格旦1#隧道出口便道、2#隧道出口工人驻地、场站、4号弃土场及便道临时用地土地复垦方案》对公众征询意见的公示文件要求，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5F05F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snapToGrid/>
          <w:kern w:val="2"/>
          <w:sz w:val="32"/>
          <w:szCs w:val="32"/>
          <w:lang w:eastAsia="zh-CN"/>
        </w:rPr>
      </w:pPr>
      <w:bookmarkStart w:id="0" w:name="_Toc340565702"/>
      <w:bookmarkStart w:id="1" w:name="_Toc341112431"/>
      <w:bookmarkStart w:id="2" w:name="_Toc340440652"/>
      <w:bookmarkStart w:id="3" w:name="_Toc30576"/>
      <w:bookmarkStart w:id="4" w:name="_Toc340565569"/>
      <w:r>
        <w:rPr>
          <w:rFonts w:hint="eastAsia" w:ascii="方正黑体_GBK" w:hAnsi="方正黑体_GBK" w:eastAsia="方正黑体_GBK" w:cs="方正黑体_GBK"/>
          <w:snapToGrid/>
          <w:kern w:val="2"/>
          <w:sz w:val="32"/>
          <w:szCs w:val="32"/>
          <w:lang w:val="en-US" w:eastAsia="zh-CN"/>
        </w:rPr>
        <w:t>一、</w:t>
      </w:r>
      <w:r>
        <w:rPr>
          <w:rFonts w:hint="eastAsia" w:ascii="方正黑体_GBK" w:hAnsi="方正黑体_GBK" w:eastAsia="方正黑体_GBK" w:cs="方正黑体_GBK"/>
          <w:snapToGrid/>
          <w:kern w:val="2"/>
          <w:sz w:val="32"/>
          <w:szCs w:val="32"/>
          <w:lang w:eastAsia="zh-CN"/>
        </w:rPr>
        <w:t>编制背景及过程</w:t>
      </w:r>
      <w:bookmarkEnd w:id="0"/>
      <w:bookmarkEnd w:id="1"/>
      <w:bookmarkEnd w:id="2"/>
      <w:bookmarkEnd w:id="3"/>
      <w:bookmarkEnd w:id="4"/>
    </w:p>
    <w:p w14:paraId="43303B5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bookmarkStart w:id="5" w:name="_Toc341112432"/>
      <w:bookmarkStart w:id="6" w:name="_Toc340565703"/>
      <w:bookmarkStart w:id="7" w:name="_Toc340565570"/>
      <w:bookmarkStart w:id="8" w:name="_Toc340440653"/>
      <w:r>
        <w:rPr>
          <w:rFonts w:hint="eastAsia" w:ascii="Times New Roman" w:hAnsi="Times New Roman" w:eastAsia="方正仿宋_GBK" w:cs="Times New Roman"/>
          <w:b w:val="0"/>
          <w:bCs w:val="0"/>
          <w:spacing w:val="0"/>
          <w:sz w:val="32"/>
          <w:szCs w:val="32"/>
          <w:lang w:val="en-US" w:eastAsia="zh-CN"/>
        </w:rPr>
        <w:t>国道218线那拉提至巴伦台公路项目第NBTZ-9标段项目经理部包格旦1#隧道出口便道、2#隧道出口工人驻地、场站、4号弃土场及便道临时用地</w:t>
      </w:r>
      <w:r>
        <w:rPr>
          <w:rFonts w:hint="default" w:ascii="Times New Roman" w:hAnsi="Times New Roman" w:eastAsia="方正仿宋_GBK" w:cs="Times New Roman"/>
          <w:b w:val="0"/>
          <w:bCs w:val="0"/>
          <w:spacing w:val="0"/>
          <w:sz w:val="32"/>
          <w:szCs w:val="32"/>
          <w:lang w:val="en-US" w:eastAsia="zh-CN"/>
        </w:rPr>
        <w:t>位于新疆维吾尔自治区巴音郭楞蒙古自治州和静县境内，国道218线那拉提至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的部署实施具有重大的意义，其加快公路网的建设，优化原有道路，从而充分发挥国省干线公路网的功能，使南北疆的联系更加紧密提高，增强城镇对周围地区的辐射带动作用，促进农村经济社会的均衡发展，提高人们的生活质量。</w:t>
      </w:r>
    </w:p>
    <w:p w14:paraId="67D27F7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本项目共占地</w:t>
      </w:r>
      <w:r>
        <w:rPr>
          <w:rFonts w:hint="eastAsia" w:ascii="Times New Roman" w:hAnsi="Times New Roman" w:eastAsia="方正仿宋_GBK" w:cs="Times New Roman"/>
          <w:b w:val="0"/>
          <w:bCs w:val="0"/>
          <w:spacing w:val="0"/>
          <w:sz w:val="32"/>
          <w:szCs w:val="32"/>
          <w:lang w:val="en-US" w:eastAsia="zh-CN"/>
        </w:rPr>
        <w:t>4.6279</w:t>
      </w:r>
      <w:r>
        <w:rPr>
          <w:rFonts w:hint="default" w:ascii="Times New Roman" w:hAnsi="Times New Roman" w:eastAsia="方正仿宋_GBK" w:cs="Times New Roman"/>
          <w:b w:val="0"/>
          <w:bCs w:val="0"/>
          <w:spacing w:val="0"/>
          <w:sz w:val="32"/>
          <w:szCs w:val="32"/>
          <w:lang w:val="en-US" w:eastAsia="zh-CN"/>
        </w:rPr>
        <w:t>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，拟占用土地位于和静县辖区，占地类型全部为临时占地，其中包括</w:t>
      </w:r>
      <w:r>
        <w:rPr>
          <w:rFonts w:hint="eastAsia" w:ascii="Times New Roman" w:hAnsi="Times New Roman" w:eastAsia="方正仿宋_GBK" w:cs="Times New Roman"/>
          <w:b w:val="0"/>
          <w:bCs w:val="0"/>
          <w:spacing w:val="0"/>
          <w:sz w:val="32"/>
          <w:szCs w:val="32"/>
          <w:lang w:val="en-US" w:eastAsia="zh-CN"/>
        </w:rPr>
        <w:t>包格旦1#隧道出口便道临时用地</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0.4224</w:t>
      </w:r>
      <w:r>
        <w:rPr>
          <w:rFonts w:hint="default" w:ascii="Times New Roman" w:hAnsi="Times New Roman" w:eastAsia="方正仿宋_GBK" w:cs="Times New Roman"/>
          <w:b w:val="0"/>
          <w:bCs w:val="0"/>
          <w:spacing w:val="0"/>
          <w:sz w:val="32"/>
          <w:szCs w:val="32"/>
          <w:lang w:val="en-US" w:eastAsia="zh-CN"/>
        </w:rPr>
        <w:t>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包格旦2#隧道出口工人驻地、场站临时用地</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1.4256</w:t>
      </w:r>
      <w:r>
        <w:rPr>
          <w:rFonts w:hint="default" w:ascii="Times New Roman" w:hAnsi="Times New Roman" w:eastAsia="方正仿宋_GBK" w:cs="Times New Roman"/>
          <w:b w:val="0"/>
          <w:bCs w:val="0"/>
          <w:spacing w:val="0"/>
          <w:sz w:val="32"/>
          <w:szCs w:val="32"/>
          <w:lang w:val="en-US" w:eastAsia="zh-CN"/>
        </w:rPr>
        <w:t>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4号弃土场及便道临时用地</w:t>
      </w:r>
      <w:r>
        <w:rPr>
          <w:rFonts w:hint="default" w:ascii="Times New Roman" w:hAnsi="Times New Roman" w:eastAsia="方正仿宋_GBK" w:cs="Times New Roman"/>
          <w:b w:val="0"/>
          <w:bCs w:val="0"/>
          <w:spacing w:val="0"/>
          <w:sz w:val="32"/>
          <w:szCs w:val="32"/>
          <w:lang w:val="zh-CN" w:eastAsia="zh-CN"/>
        </w:rPr>
        <w:t>（</w:t>
      </w:r>
      <w:r>
        <w:rPr>
          <w:rFonts w:hint="eastAsia" w:ascii="Times New Roman" w:hAnsi="Times New Roman" w:eastAsia="方正仿宋_GBK" w:cs="Times New Roman"/>
          <w:b w:val="0"/>
          <w:bCs w:val="0"/>
          <w:spacing w:val="0"/>
          <w:sz w:val="32"/>
          <w:szCs w:val="32"/>
          <w:lang w:val="en-US" w:eastAsia="zh-CN"/>
        </w:rPr>
        <w:t>2.7799</w:t>
      </w:r>
      <w:r>
        <w:rPr>
          <w:rFonts w:hint="default" w:ascii="Times New Roman" w:hAnsi="Times New Roman" w:eastAsia="方正仿宋_GBK" w:cs="Times New Roman"/>
          <w:b w:val="0"/>
          <w:bCs w:val="0"/>
          <w:spacing w:val="0"/>
          <w:sz w:val="32"/>
          <w:szCs w:val="32"/>
          <w:lang w:val="en-US" w:eastAsia="zh-CN"/>
        </w:rPr>
        <w:t>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zh-CN" w:eastAsia="zh-CN"/>
        </w:rPr>
        <w:t>）</w:t>
      </w:r>
      <w:r>
        <w:rPr>
          <w:rFonts w:hint="default" w:ascii="Times New Roman" w:hAnsi="Times New Roman" w:eastAsia="方正仿宋_GBK" w:cs="Times New Roman"/>
          <w:b w:val="0"/>
          <w:bCs w:val="0"/>
          <w:spacing w:val="0"/>
          <w:sz w:val="32"/>
          <w:szCs w:val="32"/>
          <w:lang w:val="en-US" w:eastAsia="zh-CN"/>
        </w:rPr>
        <w:t>。</w:t>
      </w:r>
    </w:p>
    <w:p w14:paraId="621459C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国务院颁布的《关于落实国土资源部贯彻实施〈土地复垦条例〉的通知》（新国土资发〔2011〕421号）文件要求，及时复垦利用被损毁的土地，充分挖掘废弃土地潜力，促进土地节约集约利用，保护和改善建设项目周边环境，实现社会经济与生态环境可持续发展，</w:t>
      </w:r>
      <w:r>
        <w:rPr>
          <w:rFonts w:hint="eastAsia" w:ascii="Times New Roman" w:hAnsi="Times New Roman" w:eastAsia="方正仿宋_GBK" w:cs="Times New Roman"/>
          <w:b w:val="0"/>
          <w:bCs w:val="0"/>
          <w:spacing w:val="0"/>
          <w:sz w:val="32"/>
          <w:szCs w:val="32"/>
          <w:lang w:val="en-US" w:eastAsia="zh-CN"/>
        </w:rPr>
        <w:t>贵州省公路工程集团有限公司</w:t>
      </w:r>
      <w:r>
        <w:rPr>
          <w:rFonts w:hint="default" w:ascii="Times New Roman" w:hAnsi="Times New Roman" w:eastAsia="方正仿宋_GBK" w:cs="Times New Roman"/>
          <w:b w:val="0"/>
          <w:bCs w:val="0"/>
          <w:spacing w:val="0"/>
          <w:sz w:val="32"/>
          <w:szCs w:val="32"/>
          <w:lang w:val="en-US" w:eastAsia="zh-CN"/>
        </w:rPr>
        <w:t>于2022年5月委托</w:t>
      </w:r>
      <w:r>
        <w:rPr>
          <w:rFonts w:hint="eastAsia" w:ascii="Times New Roman" w:hAnsi="Times New Roman" w:eastAsia="方正仿宋_GBK" w:cs="Times New Roman"/>
          <w:b w:val="0"/>
          <w:bCs w:val="0"/>
          <w:spacing w:val="0"/>
          <w:sz w:val="32"/>
          <w:szCs w:val="32"/>
          <w:lang w:val="en-US" w:eastAsia="zh-CN"/>
        </w:rPr>
        <w:t>乌鲁木齐瑞丰源矿业技术有限公司</w:t>
      </w:r>
      <w:r>
        <w:rPr>
          <w:rFonts w:hint="default" w:ascii="Times New Roman" w:hAnsi="Times New Roman" w:eastAsia="方正仿宋_GBK" w:cs="Times New Roman"/>
          <w:b w:val="0"/>
          <w:bCs w:val="0"/>
          <w:spacing w:val="0"/>
          <w:sz w:val="32"/>
          <w:szCs w:val="32"/>
          <w:lang w:val="en-US" w:eastAsia="zh-CN"/>
        </w:rPr>
        <w:t>编制《</w:t>
      </w:r>
      <w:r>
        <w:rPr>
          <w:rFonts w:hint="eastAsia" w:ascii="Times New Roman" w:hAnsi="Times New Roman" w:eastAsia="方正仿宋_GBK" w:cs="Times New Roman"/>
          <w:b w:val="0"/>
          <w:bCs w:val="0"/>
          <w:spacing w:val="0"/>
          <w:sz w:val="32"/>
          <w:szCs w:val="32"/>
          <w:lang w:val="en-US" w:eastAsia="zh-CN"/>
        </w:rPr>
        <w:t>国道218线那拉提至巴伦台公路项目第NBTZ-9标段项目经理部包格旦1#隧道出口便道、2#隧道出口工人驻地、场站、4号弃土场及便道临时用地</w:t>
      </w:r>
      <w:r>
        <w:rPr>
          <w:rFonts w:hint="default" w:ascii="Times New Roman" w:hAnsi="Times New Roman" w:eastAsia="方正仿宋_GBK" w:cs="Times New Roman"/>
          <w:b w:val="0"/>
          <w:bCs w:val="0"/>
          <w:spacing w:val="0"/>
          <w:sz w:val="32"/>
          <w:szCs w:val="32"/>
          <w:lang w:val="en-US" w:eastAsia="zh-CN"/>
        </w:rPr>
        <w:t>复垦方案报告书》。</w:t>
      </w:r>
    </w:p>
    <w:p w14:paraId="03F2F58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接受委托后，我单位编制组成员多次对现场进行实地调研，对项目区的土地利用现状与规划进行了调查，收集了相关基础资料，走访了相关职能部门和土地权利人，咨询和了解了当地土地利用总体规划和相关土地复垦规定，严格按照《土地复垦方案编制规程》等有关规定进行编制，并反复讨论修改，最终形成《</w:t>
      </w:r>
      <w:r>
        <w:rPr>
          <w:rFonts w:hint="eastAsia" w:ascii="Times New Roman" w:hAnsi="Times New Roman" w:eastAsia="方正仿宋_GBK" w:cs="Times New Roman"/>
          <w:b w:val="0"/>
          <w:bCs w:val="0"/>
          <w:spacing w:val="0"/>
          <w:sz w:val="32"/>
          <w:szCs w:val="32"/>
          <w:lang w:val="en-US" w:eastAsia="zh-CN"/>
        </w:rPr>
        <w:t>国道218线那拉提至巴伦台公路项目第NBTZ-9标段项目经理部包格旦1#隧道出口便道、2#隧道出口工人驻地、场站、4号弃土场及便道临时用地临时用地</w:t>
      </w:r>
      <w:r>
        <w:rPr>
          <w:rFonts w:hint="default" w:ascii="Times New Roman" w:hAnsi="Times New Roman" w:eastAsia="方正仿宋_GBK" w:cs="Times New Roman"/>
          <w:b w:val="0"/>
          <w:bCs w:val="0"/>
          <w:spacing w:val="0"/>
          <w:sz w:val="32"/>
          <w:szCs w:val="32"/>
          <w:lang w:val="en-US" w:eastAsia="zh-CN"/>
        </w:rPr>
        <w:t>复垦方案》。</w:t>
      </w:r>
    </w:p>
    <w:p w14:paraId="76F2355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在本方案编制期间，得到了和静县自然资源局大力支持，在此深表谢意！</w:t>
      </w:r>
    </w:p>
    <w:p w14:paraId="571CD4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snapToGrid/>
          <w:kern w:val="2"/>
          <w:sz w:val="32"/>
          <w:szCs w:val="32"/>
          <w:lang w:eastAsia="zh-CN"/>
        </w:rPr>
      </w:pPr>
      <w:bookmarkStart w:id="9" w:name="_Toc472"/>
      <w:r>
        <w:rPr>
          <w:rFonts w:hint="eastAsia" w:ascii="方正黑体_GBK" w:hAnsi="方正黑体_GBK" w:eastAsia="方正黑体_GBK" w:cs="方正黑体_GBK"/>
          <w:snapToGrid/>
          <w:kern w:val="2"/>
          <w:sz w:val="32"/>
          <w:szCs w:val="32"/>
          <w:lang w:val="en-US" w:eastAsia="zh-CN"/>
        </w:rPr>
        <w:t>二、</w:t>
      </w:r>
      <w:r>
        <w:rPr>
          <w:rFonts w:hint="eastAsia" w:ascii="方正黑体_GBK" w:hAnsi="方正黑体_GBK" w:eastAsia="方正黑体_GBK" w:cs="方正黑体_GBK"/>
          <w:snapToGrid/>
          <w:kern w:val="2"/>
          <w:sz w:val="32"/>
          <w:szCs w:val="32"/>
          <w:lang w:eastAsia="zh-CN"/>
        </w:rPr>
        <w:t>复垦方案摘要</w:t>
      </w:r>
      <w:bookmarkEnd w:id="5"/>
      <w:bookmarkEnd w:id="6"/>
      <w:bookmarkEnd w:id="7"/>
      <w:bookmarkEnd w:id="8"/>
      <w:bookmarkEnd w:id="9"/>
      <w:r>
        <w:rPr>
          <w:rFonts w:hint="eastAsia" w:ascii="方正黑体_GBK" w:hAnsi="方正黑体_GBK" w:eastAsia="方正黑体_GBK" w:cs="方正黑体_GBK"/>
          <w:snapToGrid/>
          <w:kern w:val="2"/>
          <w:sz w:val="32"/>
          <w:szCs w:val="32"/>
          <w:lang w:eastAsia="zh-CN"/>
        </w:rPr>
        <w:tab/>
      </w:r>
    </w:p>
    <w:p w14:paraId="7AE8B1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方正仿宋_GBK" w:hAnsi="方正仿宋_GBK" w:eastAsia="方正仿宋_GBK" w:cs="方正仿宋_GBK"/>
          <w:b/>
          <w:bCs/>
          <w:snapToGrid/>
          <w:kern w:val="2"/>
          <w:sz w:val="32"/>
          <w:szCs w:val="32"/>
          <w:lang w:eastAsia="zh-CN"/>
        </w:rPr>
      </w:pPr>
      <w:bookmarkStart w:id="10" w:name="_Toc15559"/>
      <w:r>
        <w:rPr>
          <w:rFonts w:hint="eastAsia" w:ascii="方正仿宋_GBK" w:hAnsi="方正仿宋_GBK" w:eastAsia="方正仿宋_GBK" w:cs="方正仿宋_GBK"/>
          <w:b/>
          <w:bCs/>
          <w:snapToGrid/>
          <w:kern w:val="2"/>
          <w:sz w:val="32"/>
          <w:szCs w:val="32"/>
          <w:lang w:eastAsia="zh-CN"/>
        </w:rPr>
        <w:t>1</w:t>
      </w:r>
      <w:r>
        <w:rPr>
          <w:rFonts w:hint="eastAsia" w:ascii="方正仿宋_GBK" w:hAnsi="方正仿宋_GBK" w:eastAsia="方正仿宋_GBK" w:cs="方正仿宋_GBK"/>
          <w:b/>
          <w:bCs/>
          <w:snapToGrid/>
          <w:kern w:val="2"/>
          <w:sz w:val="32"/>
          <w:szCs w:val="32"/>
          <w:lang w:val="en-US" w:eastAsia="zh-CN"/>
        </w:rPr>
        <w:t>.</w:t>
      </w:r>
      <w:r>
        <w:rPr>
          <w:rFonts w:hint="eastAsia" w:ascii="方正仿宋_GBK" w:hAnsi="方正仿宋_GBK" w:eastAsia="方正仿宋_GBK" w:cs="方正仿宋_GBK"/>
          <w:b/>
          <w:bCs/>
          <w:snapToGrid/>
          <w:kern w:val="2"/>
          <w:sz w:val="32"/>
          <w:szCs w:val="32"/>
          <w:lang w:eastAsia="zh-CN"/>
        </w:rPr>
        <w:t>服务年限</w:t>
      </w:r>
      <w:bookmarkEnd w:id="10"/>
    </w:p>
    <w:p w14:paraId="41B7E9D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b w:val="0"/>
          <w:bCs w:val="0"/>
          <w:snapToGrid w:val="0"/>
          <w:color w:val="000000"/>
          <w:spacing w:val="0"/>
          <w:kern w:val="0"/>
          <w:sz w:val="32"/>
          <w:szCs w:val="32"/>
          <w:lang w:val="en-US" w:eastAsia="zh-CN" w:bidi="ar-SA"/>
        </w:rPr>
      </w:pPr>
      <w:r>
        <w:rPr>
          <w:rFonts w:hint="default" w:ascii="Times New Roman" w:hAnsi="Times New Roman" w:eastAsia="方正仿宋_GBK" w:cs="Times New Roman"/>
          <w:b w:val="0"/>
          <w:bCs w:val="0"/>
          <w:snapToGrid w:val="0"/>
          <w:color w:val="000000"/>
          <w:spacing w:val="0"/>
          <w:kern w:val="0"/>
          <w:sz w:val="32"/>
          <w:szCs w:val="32"/>
          <w:lang w:val="en-US" w:eastAsia="zh-CN" w:bidi="ar-SA"/>
        </w:rPr>
        <w:t>该项目为</w:t>
      </w:r>
      <w:r>
        <w:rPr>
          <w:rFonts w:hint="eastAsia" w:ascii="Times New Roman" w:hAnsi="Times New Roman" w:eastAsia="方正仿宋_GBK" w:cs="Times New Roman"/>
          <w:b w:val="0"/>
          <w:bCs w:val="0"/>
          <w:snapToGrid w:val="0"/>
          <w:color w:val="000000"/>
          <w:spacing w:val="0"/>
          <w:kern w:val="0"/>
          <w:sz w:val="32"/>
          <w:szCs w:val="32"/>
          <w:lang w:val="en-US" w:eastAsia="zh-CN" w:bidi="ar-SA"/>
        </w:rPr>
        <w:t>国道218线那拉提至</w:t>
      </w:r>
      <w:r>
        <w:rPr>
          <w:rFonts w:hint="eastAsia" w:eastAsia="方正仿宋_GBK" w:cs="Times New Roman"/>
          <w:b w:val="0"/>
          <w:bCs w:val="0"/>
          <w:snapToGrid w:val="0"/>
          <w:color w:val="000000"/>
          <w:spacing w:val="0"/>
          <w:kern w:val="0"/>
          <w:sz w:val="32"/>
          <w:szCs w:val="32"/>
          <w:lang w:val="en-US" w:eastAsia="zh-CN" w:bidi="ar-SA"/>
        </w:rPr>
        <w:t>巴伦台</w:t>
      </w:r>
      <w:r>
        <w:rPr>
          <w:rFonts w:hint="eastAsia" w:ascii="Times New Roman" w:hAnsi="Times New Roman" w:eastAsia="方正仿宋_GBK" w:cs="Times New Roman"/>
          <w:b w:val="0"/>
          <w:bCs w:val="0"/>
          <w:snapToGrid w:val="0"/>
          <w:color w:val="000000"/>
          <w:spacing w:val="0"/>
          <w:kern w:val="0"/>
          <w:sz w:val="32"/>
          <w:szCs w:val="32"/>
          <w:lang w:val="en-US" w:eastAsia="zh-CN" w:bidi="ar-SA"/>
        </w:rPr>
        <w:t>公路项目第NBTZ-9标段项目经理部包格旦1#隧道出口便道、2#隧道出口工人驻地、场站、4号弃土场及便道临时用地</w:t>
      </w:r>
      <w:r>
        <w:rPr>
          <w:rFonts w:hint="default" w:ascii="Times New Roman" w:hAnsi="Times New Roman" w:eastAsia="方正仿宋_GBK" w:cs="Times New Roman"/>
          <w:b w:val="0"/>
          <w:bCs w:val="0"/>
          <w:snapToGrid w:val="0"/>
          <w:color w:val="000000"/>
          <w:spacing w:val="0"/>
          <w:kern w:val="0"/>
          <w:sz w:val="32"/>
          <w:szCs w:val="32"/>
          <w:lang w:val="en-US" w:eastAsia="zh-CN" w:bidi="ar-SA"/>
        </w:rPr>
        <w:t>，工程施工期为4年4个月（包括施工准备期和主体工程施工期，2022年5月-2026年8月）。土地复垦滞后于建设期，设计复垦施工期为7个月（2026年9月—2027年3月）。同时，考虑本项目自然条件的限制性，初步制定</w:t>
      </w:r>
      <w:r>
        <w:rPr>
          <w:rFonts w:hint="eastAsia" w:ascii="Times New Roman" w:hAnsi="Times New Roman" w:eastAsia="方正仿宋_GBK" w:cs="Times New Roman"/>
          <w:b w:val="0"/>
          <w:bCs w:val="0"/>
          <w:snapToGrid w:val="0"/>
          <w:color w:val="000000"/>
          <w:spacing w:val="0"/>
          <w:kern w:val="0"/>
          <w:sz w:val="32"/>
          <w:szCs w:val="32"/>
          <w:lang w:val="en-US" w:eastAsia="zh-CN" w:bidi="ar-SA"/>
        </w:rPr>
        <w:t>2</w:t>
      </w:r>
      <w:r>
        <w:rPr>
          <w:rFonts w:hint="default" w:ascii="Times New Roman" w:hAnsi="Times New Roman" w:eastAsia="方正仿宋_GBK" w:cs="Times New Roman"/>
          <w:b w:val="0"/>
          <w:bCs w:val="0"/>
          <w:snapToGrid w:val="0"/>
          <w:color w:val="000000"/>
          <w:spacing w:val="0"/>
          <w:kern w:val="0"/>
          <w:sz w:val="32"/>
          <w:szCs w:val="32"/>
          <w:lang w:val="en-US" w:eastAsia="zh-CN" w:bidi="ar-SA"/>
        </w:rPr>
        <w:t>年的管护期</w:t>
      </w:r>
      <w:r>
        <w:rPr>
          <w:rFonts w:hint="eastAsia" w:eastAsia="方正仿宋_GBK" w:cs="Times New Roman"/>
          <w:b w:val="0"/>
          <w:bCs w:val="0"/>
          <w:snapToGrid w:val="0"/>
          <w:color w:val="000000"/>
          <w:spacing w:val="0"/>
          <w:kern w:val="0"/>
          <w:sz w:val="32"/>
          <w:szCs w:val="32"/>
          <w:lang w:val="en-US" w:eastAsia="zh-CN" w:bidi="ar-SA"/>
        </w:rPr>
        <w:t>（</w:t>
      </w:r>
      <w:r>
        <w:rPr>
          <w:rFonts w:hint="default" w:ascii="Times New Roman" w:hAnsi="Times New Roman" w:eastAsia="方正仿宋_GBK" w:cs="Times New Roman"/>
          <w:b w:val="0"/>
          <w:bCs w:val="0"/>
          <w:snapToGrid w:val="0"/>
          <w:color w:val="000000"/>
          <w:spacing w:val="0"/>
          <w:kern w:val="0"/>
          <w:sz w:val="32"/>
          <w:szCs w:val="32"/>
          <w:lang w:val="en-US" w:eastAsia="zh-CN" w:bidi="ar-SA"/>
        </w:rPr>
        <w:t>2027年4月—20</w:t>
      </w:r>
      <w:r>
        <w:rPr>
          <w:rFonts w:hint="eastAsia" w:ascii="Times New Roman" w:hAnsi="Times New Roman" w:eastAsia="方正仿宋_GBK" w:cs="Times New Roman"/>
          <w:b w:val="0"/>
          <w:bCs w:val="0"/>
          <w:snapToGrid w:val="0"/>
          <w:color w:val="000000"/>
          <w:spacing w:val="0"/>
          <w:kern w:val="0"/>
          <w:sz w:val="32"/>
          <w:szCs w:val="32"/>
          <w:lang w:val="en-US" w:eastAsia="zh-CN" w:bidi="ar-SA"/>
        </w:rPr>
        <w:t>29</w:t>
      </w:r>
      <w:r>
        <w:rPr>
          <w:rFonts w:hint="default" w:ascii="Times New Roman" w:hAnsi="Times New Roman" w:eastAsia="方正仿宋_GBK" w:cs="Times New Roman"/>
          <w:b w:val="0"/>
          <w:bCs w:val="0"/>
          <w:snapToGrid w:val="0"/>
          <w:color w:val="000000"/>
          <w:spacing w:val="0"/>
          <w:kern w:val="0"/>
          <w:sz w:val="32"/>
          <w:szCs w:val="32"/>
          <w:lang w:val="en-US" w:eastAsia="zh-CN" w:bidi="ar-SA"/>
        </w:rPr>
        <w:t>年4月</w:t>
      </w:r>
      <w:r>
        <w:rPr>
          <w:rFonts w:hint="eastAsia" w:eastAsia="方正仿宋_GBK" w:cs="Times New Roman"/>
          <w:b w:val="0"/>
          <w:bCs w:val="0"/>
          <w:snapToGrid w:val="0"/>
          <w:color w:val="000000"/>
          <w:spacing w:val="0"/>
          <w:kern w:val="0"/>
          <w:sz w:val="32"/>
          <w:szCs w:val="32"/>
          <w:lang w:val="en-US" w:eastAsia="zh-CN" w:bidi="ar-SA"/>
        </w:rPr>
        <w:t>）</w:t>
      </w:r>
      <w:r>
        <w:rPr>
          <w:rFonts w:hint="default" w:ascii="Times New Roman" w:hAnsi="Times New Roman" w:eastAsia="方正仿宋_GBK" w:cs="Times New Roman"/>
          <w:b w:val="0"/>
          <w:bCs w:val="0"/>
          <w:snapToGrid w:val="0"/>
          <w:color w:val="000000"/>
          <w:spacing w:val="0"/>
          <w:kern w:val="0"/>
          <w:sz w:val="32"/>
          <w:szCs w:val="32"/>
          <w:lang w:val="en-US" w:eastAsia="zh-CN" w:bidi="ar-SA"/>
        </w:rPr>
        <w:t>。</w:t>
      </w:r>
    </w:p>
    <w:p w14:paraId="6BD17BD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b w:val="0"/>
          <w:bCs w:val="0"/>
          <w:snapToGrid w:val="0"/>
          <w:color w:val="000000"/>
          <w:spacing w:val="0"/>
          <w:kern w:val="0"/>
          <w:sz w:val="32"/>
          <w:szCs w:val="32"/>
          <w:lang w:val="en-US" w:eastAsia="zh-CN" w:bidi="ar-SA"/>
        </w:rPr>
      </w:pPr>
      <w:r>
        <w:rPr>
          <w:rFonts w:hint="default" w:ascii="Times New Roman" w:hAnsi="Times New Roman" w:eastAsia="方正仿宋_GBK" w:cs="Times New Roman"/>
          <w:b w:val="0"/>
          <w:bCs w:val="0"/>
          <w:snapToGrid w:val="0"/>
          <w:color w:val="000000"/>
          <w:spacing w:val="0"/>
          <w:kern w:val="0"/>
          <w:sz w:val="32"/>
          <w:szCs w:val="32"/>
          <w:lang w:val="en-US" w:eastAsia="zh-CN" w:bidi="ar-SA"/>
        </w:rPr>
        <w:t>因此，最终确定本方案的服务年限</w:t>
      </w:r>
      <w:r>
        <w:rPr>
          <w:rFonts w:hint="eastAsia" w:ascii="Times New Roman" w:hAnsi="Times New Roman" w:eastAsia="方正仿宋_GBK" w:cs="Times New Roman"/>
          <w:b w:val="0"/>
          <w:bCs w:val="0"/>
          <w:snapToGrid w:val="0"/>
          <w:color w:val="000000"/>
          <w:spacing w:val="0"/>
          <w:kern w:val="0"/>
          <w:sz w:val="32"/>
          <w:szCs w:val="32"/>
          <w:lang w:val="en-US" w:eastAsia="zh-CN" w:bidi="ar-SA"/>
        </w:rPr>
        <w:t>6</w:t>
      </w:r>
      <w:r>
        <w:rPr>
          <w:rFonts w:hint="default" w:ascii="Times New Roman" w:hAnsi="Times New Roman" w:eastAsia="方正仿宋_GBK" w:cs="Times New Roman"/>
          <w:b w:val="0"/>
          <w:bCs w:val="0"/>
          <w:snapToGrid w:val="0"/>
          <w:color w:val="000000"/>
          <w:spacing w:val="0"/>
          <w:kern w:val="0"/>
          <w:sz w:val="32"/>
          <w:szCs w:val="32"/>
          <w:lang w:val="en-US" w:eastAsia="zh-CN" w:bidi="ar-SA"/>
        </w:rPr>
        <w:t>年11个月，即2022年5月—20</w:t>
      </w:r>
      <w:r>
        <w:rPr>
          <w:rFonts w:hint="eastAsia" w:ascii="Times New Roman" w:hAnsi="Times New Roman" w:eastAsia="方正仿宋_GBK" w:cs="Times New Roman"/>
          <w:b w:val="0"/>
          <w:bCs w:val="0"/>
          <w:snapToGrid w:val="0"/>
          <w:color w:val="000000"/>
          <w:spacing w:val="0"/>
          <w:kern w:val="0"/>
          <w:sz w:val="32"/>
          <w:szCs w:val="32"/>
          <w:lang w:val="en-US" w:eastAsia="zh-CN" w:bidi="ar-SA"/>
        </w:rPr>
        <w:t>29</w:t>
      </w:r>
      <w:r>
        <w:rPr>
          <w:rFonts w:hint="default" w:ascii="Times New Roman" w:hAnsi="Times New Roman" w:eastAsia="方正仿宋_GBK" w:cs="Times New Roman"/>
          <w:b w:val="0"/>
          <w:bCs w:val="0"/>
          <w:snapToGrid w:val="0"/>
          <w:color w:val="000000"/>
          <w:spacing w:val="0"/>
          <w:kern w:val="0"/>
          <w:sz w:val="32"/>
          <w:szCs w:val="32"/>
          <w:lang w:val="en-US" w:eastAsia="zh-CN" w:bidi="ar-SA"/>
        </w:rPr>
        <w:t>年4月。</w:t>
      </w:r>
    </w:p>
    <w:p w14:paraId="30E4CC6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方正仿宋_GBK" w:hAnsi="方正仿宋_GBK" w:eastAsia="方正仿宋_GBK" w:cs="方正仿宋_GBK"/>
          <w:b/>
          <w:bCs/>
          <w:snapToGrid/>
          <w:kern w:val="2"/>
          <w:sz w:val="32"/>
          <w:szCs w:val="32"/>
          <w:lang w:eastAsia="zh-CN"/>
        </w:rPr>
      </w:pPr>
      <w:bookmarkStart w:id="11" w:name="_Toc30906"/>
      <w:r>
        <w:rPr>
          <w:rFonts w:hint="default" w:ascii="方正仿宋_GBK" w:hAnsi="方正仿宋_GBK" w:eastAsia="方正仿宋_GBK" w:cs="方正仿宋_GBK"/>
          <w:b/>
          <w:bCs/>
          <w:snapToGrid/>
          <w:kern w:val="2"/>
          <w:sz w:val="32"/>
          <w:szCs w:val="32"/>
          <w:lang w:eastAsia="zh-CN"/>
        </w:rPr>
        <w:t>2.工程涉及的各类土地面积</w:t>
      </w:r>
      <w:bookmarkEnd w:id="11"/>
    </w:p>
    <w:p w14:paraId="5D986A4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b w:val="0"/>
          <w:bCs w:val="0"/>
          <w:snapToGrid w:val="0"/>
          <w:color w:val="000000"/>
          <w:spacing w:val="0"/>
          <w:kern w:val="0"/>
          <w:sz w:val="32"/>
          <w:szCs w:val="32"/>
          <w:lang w:val="en-US" w:eastAsia="zh-CN" w:bidi="ar-SA"/>
        </w:rPr>
      </w:pPr>
      <w:r>
        <w:rPr>
          <w:rFonts w:hint="default" w:ascii="Times New Roman" w:hAnsi="Times New Roman" w:eastAsia="方正仿宋_GBK" w:cs="Times New Roman"/>
          <w:b w:val="0"/>
          <w:bCs w:val="0"/>
          <w:snapToGrid w:val="0"/>
          <w:color w:val="000000"/>
          <w:spacing w:val="0"/>
          <w:kern w:val="0"/>
          <w:sz w:val="32"/>
          <w:szCs w:val="32"/>
          <w:lang w:val="en-US" w:eastAsia="zh-CN" w:bidi="ar-SA"/>
        </w:rPr>
        <w:t>本项目占地总面积为</w:t>
      </w:r>
      <w:r>
        <w:rPr>
          <w:rFonts w:hint="eastAsia" w:ascii="Times New Roman" w:hAnsi="Times New Roman" w:eastAsia="方正仿宋_GBK" w:cs="Times New Roman"/>
          <w:b w:val="0"/>
          <w:bCs w:val="0"/>
          <w:snapToGrid w:val="0"/>
          <w:color w:val="000000"/>
          <w:spacing w:val="0"/>
          <w:kern w:val="0"/>
          <w:sz w:val="32"/>
          <w:szCs w:val="32"/>
          <w:lang w:val="en-US" w:eastAsia="zh-CN" w:bidi="ar-SA"/>
        </w:rPr>
        <w:t>4.6279</w:t>
      </w:r>
      <w:r>
        <w:rPr>
          <w:rFonts w:hint="default" w:ascii="Times New Roman" w:hAnsi="Times New Roman" w:eastAsia="方正仿宋_GBK" w:cs="Times New Roman"/>
          <w:b w:val="0"/>
          <w:bCs w:val="0"/>
          <w:snapToGrid w:val="0"/>
          <w:color w:val="000000"/>
          <w:spacing w:val="0"/>
          <w:kern w:val="0"/>
          <w:sz w:val="32"/>
          <w:szCs w:val="32"/>
          <w:lang w:val="en-US" w:eastAsia="zh-CN" w:bidi="ar-SA"/>
        </w:rPr>
        <w:t>hm</w:t>
      </w:r>
      <w:r>
        <w:rPr>
          <w:rFonts w:hint="default" w:ascii="Times New Roman" w:hAnsi="Times New Roman" w:eastAsia="方正仿宋_GBK" w:cs="Times New Roman"/>
          <w:b w:val="0"/>
          <w:bCs w:val="0"/>
          <w:snapToGrid w:val="0"/>
          <w:color w:val="000000"/>
          <w:spacing w:val="0"/>
          <w:kern w:val="0"/>
          <w:sz w:val="32"/>
          <w:szCs w:val="32"/>
          <w:vertAlign w:val="superscript"/>
          <w:lang w:val="en-US" w:eastAsia="zh-CN" w:bidi="ar-SA"/>
        </w:rPr>
        <w:t>2</w:t>
      </w:r>
      <w:r>
        <w:rPr>
          <w:rFonts w:hint="default" w:ascii="Times New Roman" w:hAnsi="Times New Roman" w:eastAsia="方正仿宋_GBK" w:cs="Times New Roman"/>
          <w:b w:val="0"/>
          <w:bCs w:val="0"/>
          <w:snapToGrid w:val="0"/>
          <w:color w:val="000000"/>
          <w:spacing w:val="0"/>
          <w:kern w:val="0"/>
          <w:sz w:val="32"/>
          <w:szCs w:val="32"/>
          <w:lang w:val="en-US" w:eastAsia="zh-CN" w:bidi="ar-SA"/>
        </w:rPr>
        <w:t>，全部为临时用地。临时用地损毁土地面积为</w:t>
      </w:r>
      <w:r>
        <w:rPr>
          <w:rFonts w:hint="eastAsia" w:ascii="Times New Roman" w:hAnsi="Times New Roman" w:eastAsia="方正仿宋_GBK" w:cs="Times New Roman"/>
          <w:b w:val="0"/>
          <w:bCs w:val="0"/>
          <w:snapToGrid w:val="0"/>
          <w:color w:val="000000"/>
          <w:spacing w:val="0"/>
          <w:kern w:val="0"/>
          <w:sz w:val="32"/>
          <w:szCs w:val="32"/>
          <w:lang w:val="en-US" w:eastAsia="zh-CN" w:bidi="ar-SA"/>
        </w:rPr>
        <w:t>4.6279</w:t>
      </w:r>
      <w:r>
        <w:rPr>
          <w:rFonts w:hint="default" w:ascii="Times New Roman" w:hAnsi="Times New Roman" w:eastAsia="方正仿宋_GBK" w:cs="Times New Roman"/>
          <w:b w:val="0"/>
          <w:bCs w:val="0"/>
          <w:snapToGrid w:val="0"/>
          <w:color w:val="000000"/>
          <w:spacing w:val="0"/>
          <w:kern w:val="0"/>
          <w:sz w:val="32"/>
          <w:szCs w:val="32"/>
          <w:lang w:val="en-US" w:eastAsia="zh-CN" w:bidi="ar-SA"/>
        </w:rPr>
        <w:t>hm</w:t>
      </w:r>
      <w:r>
        <w:rPr>
          <w:rFonts w:hint="default" w:ascii="Times New Roman" w:hAnsi="Times New Roman" w:eastAsia="方正仿宋_GBK" w:cs="Times New Roman"/>
          <w:b w:val="0"/>
          <w:bCs w:val="0"/>
          <w:snapToGrid w:val="0"/>
          <w:color w:val="000000"/>
          <w:spacing w:val="0"/>
          <w:kern w:val="0"/>
          <w:sz w:val="32"/>
          <w:szCs w:val="32"/>
          <w:vertAlign w:val="superscript"/>
          <w:lang w:val="en-US" w:eastAsia="zh-CN" w:bidi="ar-SA"/>
        </w:rPr>
        <w:t>2</w:t>
      </w:r>
      <w:r>
        <w:rPr>
          <w:rFonts w:hint="default" w:ascii="Times New Roman" w:hAnsi="Times New Roman" w:eastAsia="方正仿宋_GBK" w:cs="Times New Roman"/>
          <w:b w:val="0"/>
          <w:bCs w:val="0"/>
          <w:snapToGrid w:val="0"/>
          <w:color w:val="000000"/>
          <w:spacing w:val="0"/>
          <w:kern w:val="0"/>
          <w:sz w:val="32"/>
          <w:szCs w:val="32"/>
          <w:lang w:val="en-US" w:eastAsia="zh-CN" w:bidi="ar-SA"/>
        </w:rPr>
        <w:t>。则本方案复垦责任范围为</w:t>
      </w:r>
      <w:r>
        <w:rPr>
          <w:rFonts w:hint="eastAsia" w:ascii="Times New Roman" w:hAnsi="Times New Roman" w:eastAsia="方正仿宋_GBK" w:cs="Times New Roman"/>
          <w:b w:val="0"/>
          <w:bCs w:val="0"/>
          <w:snapToGrid w:val="0"/>
          <w:color w:val="000000"/>
          <w:spacing w:val="0"/>
          <w:kern w:val="0"/>
          <w:sz w:val="32"/>
          <w:szCs w:val="32"/>
          <w:lang w:val="en-US" w:eastAsia="zh-CN" w:bidi="ar-SA"/>
        </w:rPr>
        <w:t>4.6279</w:t>
      </w:r>
      <w:r>
        <w:rPr>
          <w:rFonts w:hint="default" w:ascii="Times New Roman" w:hAnsi="Times New Roman" w:eastAsia="方正仿宋_GBK" w:cs="Times New Roman"/>
          <w:b w:val="0"/>
          <w:bCs w:val="0"/>
          <w:snapToGrid w:val="0"/>
          <w:color w:val="000000"/>
          <w:spacing w:val="0"/>
          <w:kern w:val="0"/>
          <w:sz w:val="32"/>
          <w:szCs w:val="32"/>
          <w:lang w:val="en-US" w:eastAsia="zh-CN" w:bidi="ar-SA"/>
        </w:rPr>
        <w:t>hm</w:t>
      </w:r>
      <w:r>
        <w:rPr>
          <w:rFonts w:hint="default" w:ascii="Times New Roman" w:hAnsi="Times New Roman" w:eastAsia="方正仿宋_GBK" w:cs="Times New Roman"/>
          <w:b w:val="0"/>
          <w:bCs w:val="0"/>
          <w:snapToGrid w:val="0"/>
          <w:color w:val="000000"/>
          <w:spacing w:val="0"/>
          <w:kern w:val="0"/>
          <w:sz w:val="32"/>
          <w:szCs w:val="32"/>
          <w:vertAlign w:val="superscript"/>
          <w:lang w:val="en-US" w:eastAsia="zh-CN" w:bidi="ar-SA"/>
        </w:rPr>
        <w:t>2</w:t>
      </w:r>
      <w:r>
        <w:rPr>
          <w:rFonts w:hint="default" w:ascii="Times New Roman" w:hAnsi="Times New Roman" w:eastAsia="方正仿宋_GBK" w:cs="Times New Roman"/>
          <w:b w:val="0"/>
          <w:bCs w:val="0"/>
          <w:snapToGrid w:val="0"/>
          <w:color w:val="000000"/>
          <w:spacing w:val="0"/>
          <w:kern w:val="0"/>
          <w:sz w:val="32"/>
          <w:szCs w:val="32"/>
          <w:lang w:val="en-US" w:eastAsia="zh-CN" w:bidi="ar-SA"/>
        </w:rPr>
        <w:t>。方案涉及具体各类用地面积见表1</w:t>
      </w:r>
      <w:r>
        <w:rPr>
          <w:rFonts w:hint="eastAsia" w:ascii="Times New Roman" w:hAnsi="Times New Roman" w:eastAsia="方正仿宋_GBK" w:cs="Times New Roman"/>
          <w:b w:val="0"/>
          <w:bCs w:val="0"/>
          <w:snapToGrid w:val="0"/>
          <w:color w:val="000000"/>
          <w:spacing w:val="0"/>
          <w:kern w:val="0"/>
          <w:sz w:val="32"/>
          <w:szCs w:val="32"/>
          <w:lang w:val="en-US" w:eastAsia="zh-CN" w:bidi="ar-SA"/>
        </w:rPr>
        <w:t>-1</w:t>
      </w:r>
      <w:r>
        <w:rPr>
          <w:rFonts w:hint="default" w:ascii="Times New Roman" w:hAnsi="Times New Roman" w:eastAsia="方正仿宋_GBK" w:cs="Times New Roman"/>
          <w:b w:val="0"/>
          <w:bCs w:val="0"/>
          <w:snapToGrid w:val="0"/>
          <w:color w:val="000000"/>
          <w:spacing w:val="0"/>
          <w:kern w:val="0"/>
          <w:sz w:val="32"/>
          <w:szCs w:val="32"/>
          <w:lang w:val="en-US" w:eastAsia="zh-CN" w:bidi="ar-SA"/>
        </w:rPr>
        <w:t>所示。</w:t>
      </w:r>
    </w:p>
    <w:p w14:paraId="0CAE79F2">
      <w:pPr>
        <w:widowControl w:val="0"/>
        <w:kinsoku/>
        <w:autoSpaceDE/>
        <w:autoSpaceDN/>
        <w:adjustRightInd/>
        <w:snapToGrid/>
        <w:spacing w:line="360" w:lineRule="auto"/>
        <w:jc w:val="center"/>
        <w:textAlignment w:val="auto"/>
        <w:rPr>
          <w:rFonts w:hint="default" w:ascii="Times New Roman" w:hAnsi="Times New Roman" w:eastAsia="黑体" w:cs="Times New Roman"/>
          <w:snapToGrid/>
          <w:kern w:val="0"/>
          <w:szCs w:val="21"/>
          <w:highlight w:val="none"/>
          <w:lang w:eastAsia="zh-CN"/>
        </w:rPr>
      </w:pPr>
      <w:r>
        <w:rPr>
          <w:rFonts w:hint="default" w:ascii="Times New Roman" w:hAnsi="Times New Roman" w:eastAsia="黑体" w:cs="Times New Roman"/>
          <w:snapToGrid/>
          <w:kern w:val="0"/>
          <w:szCs w:val="21"/>
          <w:highlight w:val="none"/>
          <w:lang w:eastAsia="zh-CN"/>
        </w:rPr>
        <w:t>表1</w:t>
      </w:r>
      <w:r>
        <w:rPr>
          <w:rFonts w:hint="eastAsia" w:ascii="Times New Roman" w:hAnsi="Times New Roman" w:eastAsia="黑体" w:cs="Times New Roman"/>
          <w:snapToGrid/>
          <w:kern w:val="0"/>
          <w:szCs w:val="21"/>
          <w:highlight w:val="none"/>
          <w:lang w:val="en-US" w:eastAsia="zh-CN"/>
        </w:rPr>
        <w:t>-</w:t>
      </w:r>
      <w:r>
        <w:rPr>
          <w:rFonts w:hint="eastAsia" w:ascii="Times New Roman" w:hAnsi="Times New Roman" w:eastAsia="黑体" w:cs="Times New Roman"/>
          <w:snapToGrid/>
          <w:kern w:val="0"/>
          <w:szCs w:val="21"/>
          <w:highlight w:val="none"/>
          <w:lang w:eastAsia="zh-CN"/>
        </w:rPr>
        <w:t>1</w:t>
      </w:r>
      <w:r>
        <w:rPr>
          <w:rFonts w:hint="default" w:ascii="Times New Roman" w:hAnsi="Times New Roman" w:eastAsia="黑体" w:cs="Times New Roman"/>
          <w:snapToGrid/>
          <w:kern w:val="0"/>
          <w:szCs w:val="21"/>
          <w:highlight w:val="none"/>
          <w:lang w:eastAsia="zh-CN"/>
        </w:rPr>
        <w:t xml:space="preserve">   方案涉及各类土地面积表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720"/>
        <w:gridCol w:w="1646"/>
        <w:gridCol w:w="789"/>
        <w:gridCol w:w="1441"/>
        <w:gridCol w:w="1029"/>
        <w:gridCol w:w="937"/>
      </w:tblGrid>
      <w:tr w14:paraId="7217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778A44EB">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临时用地地块名称</w:t>
            </w:r>
          </w:p>
        </w:tc>
        <w:tc>
          <w:tcPr>
            <w:tcW w:w="1305" w:type="pct"/>
            <w:gridSpan w:val="2"/>
            <w:tcBorders>
              <w:top w:val="single" w:color="000000" w:sz="4" w:space="0"/>
              <w:left w:val="single" w:color="000000" w:sz="4" w:space="0"/>
              <w:bottom w:val="single" w:color="000000" w:sz="4" w:space="0"/>
              <w:right w:val="single" w:color="000000" w:sz="4" w:space="0"/>
            </w:tcBorders>
            <w:noWrap w:val="0"/>
            <w:vAlign w:val="center"/>
          </w:tcPr>
          <w:p w14:paraId="0592A68D">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一级地类</w:t>
            </w:r>
          </w:p>
        </w:tc>
        <w:tc>
          <w:tcPr>
            <w:tcW w:w="1230" w:type="pct"/>
            <w:gridSpan w:val="2"/>
            <w:tcBorders>
              <w:top w:val="single" w:color="000000" w:sz="4" w:space="0"/>
              <w:left w:val="single" w:color="000000" w:sz="4" w:space="0"/>
              <w:bottom w:val="single" w:color="000000" w:sz="4" w:space="0"/>
              <w:right w:val="single" w:color="000000" w:sz="4" w:space="0"/>
            </w:tcBorders>
            <w:noWrap w:val="0"/>
            <w:vAlign w:val="center"/>
          </w:tcPr>
          <w:p w14:paraId="3CC6B142">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二级地类</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513E8C">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面积（hm2）</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2132FC88">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合计（hm2）</w:t>
            </w:r>
          </w:p>
        </w:tc>
      </w:tr>
      <w:tr w14:paraId="6437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1620322B">
            <w:pPr>
              <w:pStyle w:val="8"/>
              <w:spacing w:line="300" w:lineRule="exact"/>
              <w:ind w:firstLine="0" w:firstLineChars="0"/>
              <w:jc w:val="center"/>
              <w:rPr>
                <w:rFonts w:hint="eastAsia" w:ascii="仿宋" w:hAnsi="仿宋" w:eastAsia="仿宋" w:cs="仿宋"/>
                <w:sz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6560A25">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地类代码</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4F84B231">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地类名称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C408B8E">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地类代码</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2A4987F">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地类名称</w:t>
            </w: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DB99C">
            <w:pPr>
              <w:pStyle w:val="8"/>
              <w:spacing w:line="300" w:lineRule="exact"/>
              <w:ind w:firstLine="0" w:firstLineChars="0"/>
              <w:jc w:val="center"/>
              <w:rPr>
                <w:rFonts w:hint="eastAsia" w:ascii="仿宋" w:hAnsi="仿宋" w:eastAsia="仿宋" w:cs="仿宋"/>
                <w:sz w:val="21"/>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25411698">
            <w:pPr>
              <w:pStyle w:val="8"/>
              <w:spacing w:line="300" w:lineRule="exact"/>
              <w:ind w:firstLine="0" w:firstLineChars="0"/>
              <w:jc w:val="center"/>
              <w:rPr>
                <w:rFonts w:hint="eastAsia" w:ascii="仿宋" w:hAnsi="仿宋" w:eastAsia="仿宋" w:cs="仿宋"/>
                <w:sz w:val="21"/>
                <w:lang w:val="en-US" w:eastAsia="zh-CN"/>
              </w:rPr>
            </w:pPr>
          </w:p>
        </w:tc>
      </w:tr>
      <w:tr w14:paraId="1E59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3473EA33">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 xml:space="preserve"> 包格旦1#隧道出口便道临时用地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6F8C7B02">
            <w:pPr>
              <w:pStyle w:val="8"/>
              <w:spacing w:line="300" w:lineRule="exact"/>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4B542FF2">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87A4F7B">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6F2647BF">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天然牧草地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03323B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2"/>
                <w:sz w:val="21"/>
                <w:szCs w:val="21"/>
                <w:lang w:val="en-US"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0.4180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775898DC">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 xml:space="preserve">0.4224 </w:t>
            </w:r>
          </w:p>
        </w:tc>
      </w:tr>
      <w:tr w14:paraId="70DD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75A7BF69">
            <w:pPr>
              <w:pStyle w:val="8"/>
              <w:spacing w:line="300" w:lineRule="exact"/>
              <w:ind w:firstLine="0" w:firstLineChars="0"/>
              <w:jc w:val="center"/>
              <w:rPr>
                <w:rFonts w:hint="eastAsia" w:ascii="仿宋" w:hAnsi="仿宋" w:eastAsia="仿宋" w:cs="仿宋"/>
                <w:sz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3F7ECDD">
            <w:pPr>
              <w:pStyle w:val="8"/>
              <w:spacing w:line="300" w:lineRule="exact"/>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B64FCC6">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D1E3391">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1FFD9C0B">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公路用地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47C04E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2"/>
                <w:sz w:val="21"/>
                <w:szCs w:val="21"/>
                <w:lang w:val="en-US"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0.0044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1BCB8409">
            <w:pPr>
              <w:pStyle w:val="8"/>
              <w:spacing w:line="300" w:lineRule="exact"/>
              <w:ind w:firstLine="0" w:firstLineChars="0"/>
              <w:jc w:val="center"/>
              <w:rPr>
                <w:rFonts w:hint="eastAsia" w:ascii="Times New Roman" w:hAnsi="Times New Roman" w:eastAsia="仿宋" w:cs="Times New Roman"/>
                <w:sz w:val="21"/>
                <w:lang w:val="en-US" w:eastAsia="zh-CN"/>
              </w:rPr>
            </w:pPr>
          </w:p>
        </w:tc>
      </w:tr>
      <w:tr w14:paraId="085A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59DA8F57">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包格旦2#隧道出口工人驻地、场站临时用地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3CFAA903">
            <w:pPr>
              <w:pStyle w:val="8"/>
              <w:spacing w:line="300" w:lineRule="exact"/>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71398D2">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52B579C">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65390B2">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天然牧草地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2461D4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2"/>
                <w:sz w:val="21"/>
                <w:szCs w:val="21"/>
                <w:lang w:val="en-US"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1.4214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5EC341D7">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 xml:space="preserve">1.4256 </w:t>
            </w:r>
          </w:p>
        </w:tc>
      </w:tr>
      <w:tr w14:paraId="5D2D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4FEE027E">
            <w:pPr>
              <w:pStyle w:val="8"/>
              <w:spacing w:line="300" w:lineRule="exact"/>
              <w:ind w:firstLine="0" w:firstLineChars="0"/>
              <w:jc w:val="center"/>
              <w:rPr>
                <w:rFonts w:hint="eastAsia" w:ascii="仿宋" w:hAnsi="仿宋" w:eastAsia="仿宋" w:cs="仿宋"/>
                <w:sz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4FF51564">
            <w:pPr>
              <w:pStyle w:val="8"/>
              <w:spacing w:line="300" w:lineRule="exact"/>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D1D7591">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8DE6202">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16F5A626">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公路用地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613BDBC">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2"/>
                <w:sz w:val="21"/>
                <w:szCs w:val="21"/>
                <w:lang w:val="en-US"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0.0042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23E0E524">
            <w:pPr>
              <w:pStyle w:val="8"/>
              <w:spacing w:line="300" w:lineRule="exact"/>
              <w:ind w:firstLine="0" w:firstLineChars="0"/>
              <w:jc w:val="center"/>
              <w:rPr>
                <w:rFonts w:hint="eastAsia" w:ascii="Times New Roman" w:hAnsi="Times New Roman" w:eastAsia="仿宋" w:cs="Times New Roman"/>
                <w:sz w:val="21"/>
                <w:lang w:val="en-US" w:eastAsia="zh-CN"/>
              </w:rPr>
            </w:pPr>
          </w:p>
        </w:tc>
      </w:tr>
      <w:tr w14:paraId="4E0F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tcBorders>
              <w:top w:val="single" w:color="000000" w:sz="4" w:space="0"/>
              <w:left w:val="single" w:color="000000" w:sz="4" w:space="0"/>
              <w:bottom w:val="single" w:color="000000" w:sz="4" w:space="0"/>
              <w:right w:val="single" w:color="000000" w:sz="4" w:space="0"/>
            </w:tcBorders>
            <w:noWrap/>
            <w:vAlign w:val="center"/>
          </w:tcPr>
          <w:p w14:paraId="59470212">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4号弃土场及便道临时用地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4AE6C15A">
            <w:pPr>
              <w:pStyle w:val="8"/>
              <w:spacing w:line="300" w:lineRule="exact"/>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C9A8991">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8F5BD47">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20516BF7">
            <w:pPr>
              <w:pStyle w:val="8"/>
              <w:spacing w:line="300" w:lineRule="exact"/>
              <w:ind w:firstLine="0" w:firstLine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天然牧草地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7B4818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2"/>
                <w:sz w:val="21"/>
                <w:szCs w:val="21"/>
                <w:lang w:val="en-US"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2.7799 </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5F44CE0">
            <w:pPr>
              <w:pStyle w:val="8"/>
              <w:spacing w:line="300" w:lineRule="exact"/>
              <w:ind w:firstLine="0" w:firstLineChars="0"/>
              <w:jc w:val="center"/>
              <w:rPr>
                <w:rFonts w:hint="eastAsia" w:ascii="Times New Roman" w:hAnsi="Times New Roman" w:eastAsia="仿宋" w:cs="Times New Roman"/>
                <w:sz w:val="21"/>
                <w:lang w:val="en-US" w:eastAsia="zh-CN"/>
              </w:rPr>
            </w:pPr>
            <w:r>
              <w:rPr>
                <w:rFonts w:hint="eastAsia" w:ascii="Times New Roman" w:hAnsi="Times New Roman" w:eastAsia="仿宋" w:cs="Times New Roman"/>
                <w:sz w:val="21"/>
                <w:lang w:val="en-US" w:eastAsia="zh-CN"/>
              </w:rPr>
              <w:t xml:space="preserve">2.7799 </w:t>
            </w:r>
          </w:p>
        </w:tc>
      </w:tr>
    </w:tbl>
    <w:p w14:paraId="750125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spacing w:val="0"/>
          <w:kern w:val="2"/>
          <w:sz w:val="32"/>
          <w:szCs w:val="32"/>
          <w:highlight w:val="none"/>
          <w:lang w:eastAsia="zh-CN"/>
        </w:rPr>
      </w:pPr>
      <w:r>
        <w:rPr>
          <w:rFonts w:hint="default" w:ascii="Times New Roman" w:hAnsi="Times New Roman" w:eastAsia="方正仿宋_GBK" w:cs="Times New Roman"/>
          <w:snapToGrid/>
          <w:spacing w:val="0"/>
          <w:kern w:val="2"/>
          <w:sz w:val="32"/>
          <w:szCs w:val="32"/>
          <w:highlight w:val="none"/>
          <w:lang w:eastAsia="zh-CN"/>
        </w:rPr>
        <w:t>土地质量评价：</w:t>
      </w:r>
    </w:p>
    <w:p w14:paraId="46B69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spacing w:val="0"/>
          <w:kern w:val="2"/>
          <w:sz w:val="32"/>
          <w:szCs w:val="32"/>
          <w:highlight w:val="none"/>
          <w:lang w:eastAsia="zh-CN"/>
        </w:rPr>
      </w:pPr>
      <w:r>
        <w:rPr>
          <w:rFonts w:hint="default" w:ascii="Times New Roman" w:hAnsi="Times New Roman" w:eastAsia="方正仿宋_GBK" w:cs="Times New Roman"/>
          <w:snapToGrid/>
          <w:spacing w:val="0"/>
          <w:kern w:val="2"/>
          <w:sz w:val="32"/>
          <w:szCs w:val="32"/>
          <w:highlight w:val="none"/>
          <w:lang w:eastAsia="zh-CN"/>
        </w:rPr>
        <w:t>根据土地利用现状统计结果，项目区内天然牧草地面积</w:t>
      </w:r>
      <w:r>
        <w:rPr>
          <w:rFonts w:hint="default" w:ascii="Times New Roman" w:hAnsi="Times New Roman" w:eastAsia="方正仿宋_GBK" w:cs="Times New Roman"/>
          <w:snapToGrid/>
          <w:spacing w:val="0"/>
          <w:kern w:val="2"/>
          <w:sz w:val="32"/>
          <w:szCs w:val="32"/>
          <w:highlight w:val="none"/>
          <w:lang w:val="en-US" w:eastAsia="zh-CN"/>
        </w:rPr>
        <w:t>4.6193</w:t>
      </w:r>
      <w:r>
        <w:rPr>
          <w:rFonts w:hint="default" w:ascii="Times New Roman" w:hAnsi="Times New Roman" w:eastAsia="方正仿宋_GBK" w:cs="Times New Roman"/>
          <w:snapToGrid/>
          <w:spacing w:val="0"/>
          <w:kern w:val="2"/>
          <w:sz w:val="32"/>
          <w:szCs w:val="32"/>
          <w:highlight w:val="none"/>
          <w:lang w:eastAsia="zh-CN"/>
        </w:rPr>
        <w:t>hm</w:t>
      </w:r>
      <w:r>
        <w:rPr>
          <w:rFonts w:hint="default" w:ascii="Times New Roman" w:hAnsi="Times New Roman" w:eastAsia="方正仿宋_GBK" w:cs="Times New Roman"/>
          <w:snapToGrid/>
          <w:spacing w:val="0"/>
          <w:kern w:val="2"/>
          <w:sz w:val="32"/>
          <w:szCs w:val="32"/>
          <w:highlight w:val="none"/>
          <w:vertAlign w:val="superscript"/>
          <w:lang w:eastAsia="zh-CN"/>
        </w:rPr>
        <w:t>2</w:t>
      </w:r>
      <w:r>
        <w:rPr>
          <w:rFonts w:hint="default" w:ascii="Times New Roman" w:hAnsi="Times New Roman" w:eastAsia="方正仿宋_GBK" w:cs="Times New Roman"/>
          <w:snapToGrid/>
          <w:spacing w:val="0"/>
          <w:kern w:val="2"/>
          <w:sz w:val="32"/>
          <w:szCs w:val="32"/>
          <w:highlight w:val="none"/>
          <w:lang w:eastAsia="zh-CN"/>
        </w:rPr>
        <w:t>，约占土地面积的</w:t>
      </w:r>
      <w:r>
        <w:rPr>
          <w:rFonts w:hint="default" w:ascii="Times New Roman" w:hAnsi="Times New Roman" w:eastAsia="方正仿宋_GBK" w:cs="Times New Roman"/>
          <w:snapToGrid/>
          <w:spacing w:val="0"/>
          <w:kern w:val="2"/>
          <w:sz w:val="32"/>
          <w:szCs w:val="32"/>
          <w:highlight w:val="none"/>
          <w:lang w:val="en-US" w:eastAsia="zh-CN"/>
        </w:rPr>
        <w:t>99.81</w:t>
      </w:r>
      <w:r>
        <w:rPr>
          <w:rFonts w:hint="default" w:ascii="Times New Roman" w:hAnsi="Times New Roman" w:eastAsia="方正仿宋_GBK" w:cs="Times New Roman"/>
          <w:snapToGrid/>
          <w:spacing w:val="0"/>
          <w:kern w:val="2"/>
          <w:sz w:val="32"/>
          <w:szCs w:val="32"/>
          <w:highlight w:val="none"/>
          <w:lang w:eastAsia="zh-CN"/>
        </w:rPr>
        <w:t>%；</w:t>
      </w:r>
      <w:r>
        <w:rPr>
          <w:rFonts w:hint="default" w:ascii="Times New Roman" w:hAnsi="Times New Roman" w:eastAsia="方正仿宋_GBK" w:cs="Times New Roman"/>
          <w:snapToGrid/>
          <w:spacing w:val="0"/>
          <w:kern w:val="2"/>
          <w:sz w:val="32"/>
          <w:szCs w:val="32"/>
          <w:highlight w:val="none"/>
          <w:lang w:val="en-US" w:eastAsia="zh-CN"/>
        </w:rPr>
        <w:t>公路用地面积0.0086，</w:t>
      </w:r>
      <w:r>
        <w:rPr>
          <w:rFonts w:hint="default" w:ascii="Times New Roman" w:hAnsi="Times New Roman" w:eastAsia="方正仿宋_GBK" w:cs="Times New Roman"/>
          <w:snapToGrid/>
          <w:spacing w:val="0"/>
          <w:kern w:val="2"/>
          <w:sz w:val="32"/>
          <w:szCs w:val="32"/>
          <w:highlight w:val="none"/>
          <w:lang w:eastAsia="zh-CN"/>
        </w:rPr>
        <w:t>约占土地面积的</w:t>
      </w:r>
      <w:r>
        <w:rPr>
          <w:rFonts w:hint="default" w:ascii="Times New Roman" w:hAnsi="Times New Roman" w:eastAsia="方正仿宋_GBK" w:cs="Times New Roman"/>
          <w:snapToGrid/>
          <w:spacing w:val="0"/>
          <w:kern w:val="2"/>
          <w:sz w:val="32"/>
          <w:szCs w:val="32"/>
          <w:highlight w:val="none"/>
          <w:lang w:val="en-US" w:eastAsia="zh-CN"/>
        </w:rPr>
        <w:t>0.19</w:t>
      </w:r>
      <w:r>
        <w:rPr>
          <w:rFonts w:hint="default" w:ascii="Times New Roman" w:hAnsi="Times New Roman" w:eastAsia="方正仿宋_GBK" w:cs="Times New Roman"/>
          <w:snapToGrid/>
          <w:spacing w:val="0"/>
          <w:kern w:val="2"/>
          <w:sz w:val="32"/>
          <w:szCs w:val="32"/>
          <w:highlight w:val="none"/>
          <w:lang w:eastAsia="zh-CN"/>
        </w:rPr>
        <w:t>%。</w:t>
      </w:r>
    </w:p>
    <w:p w14:paraId="77BBB4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napToGrid/>
          <w:spacing w:val="0"/>
          <w:kern w:val="2"/>
          <w:sz w:val="32"/>
          <w:szCs w:val="32"/>
          <w:highlight w:val="none"/>
          <w:lang w:val="en-US" w:eastAsia="zh-CN"/>
        </w:rPr>
      </w:pPr>
      <w:r>
        <w:rPr>
          <w:rFonts w:hint="default" w:ascii="Times New Roman" w:hAnsi="Times New Roman" w:eastAsia="方正仿宋_GBK" w:cs="Times New Roman"/>
          <w:b/>
          <w:bCs/>
          <w:snapToGrid/>
          <w:spacing w:val="0"/>
          <w:kern w:val="2"/>
          <w:sz w:val="32"/>
          <w:szCs w:val="32"/>
          <w:highlight w:val="none"/>
          <w:lang w:val="en-US" w:eastAsia="zh-CN"/>
        </w:rPr>
        <w:t>1、草地</w:t>
      </w:r>
    </w:p>
    <w:p w14:paraId="06D683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auto"/>
          <w:spacing w:val="0"/>
          <w:kern w:val="2"/>
          <w:sz w:val="32"/>
          <w:szCs w:val="32"/>
          <w:highlight w:val="none"/>
          <w:lang w:eastAsia="zh-CN"/>
        </w:rPr>
      </w:pPr>
      <w:r>
        <w:rPr>
          <w:rFonts w:hint="default" w:ascii="Times New Roman" w:hAnsi="Times New Roman" w:eastAsia="方正仿宋_GBK" w:cs="Times New Roman"/>
          <w:snapToGrid/>
          <w:spacing w:val="0"/>
          <w:kern w:val="2"/>
          <w:sz w:val="32"/>
          <w:szCs w:val="32"/>
          <w:highlight w:val="none"/>
          <w:lang w:eastAsia="zh-CN"/>
        </w:rPr>
        <w:t>项目区内</w:t>
      </w:r>
      <w:r>
        <w:rPr>
          <w:rFonts w:hint="default" w:ascii="Times New Roman" w:hAnsi="Times New Roman" w:eastAsia="方正仿宋_GBK" w:cs="Times New Roman"/>
          <w:snapToGrid/>
          <w:spacing w:val="0"/>
          <w:kern w:val="2"/>
          <w:sz w:val="32"/>
          <w:szCs w:val="32"/>
          <w:highlight w:val="none"/>
          <w:lang w:val="en-US" w:eastAsia="zh-CN"/>
        </w:rPr>
        <w:t>土地类型多为</w:t>
      </w:r>
      <w:r>
        <w:rPr>
          <w:rFonts w:hint="default" w:ascii="Times New Roman" w:hAnsi="Times New Roman" w:eastAsia="方正仿宋_GBK" w:cs="Times New Roman"/>
          <w:snapToGrid/>
          <w:spacing w:val="0"/>
          <w:kern w:val="2"/>
          <w:sz w:val="32"/>
          <w:szCs w:val="32"/>
          <w:highlight w:val="none"/>
          <w:lang w:eastAsia="zh-CN"/>
        </w:rPr>
        <w:t>草地为天然牧草地。</w:t>
      </w:r>
      <w:r>
        <w:rPr>
          <w:rFonts w:hint="default" w:ascii="Times New Roman" w:hAnsi="Times New Roman" w:eastAsia="方正仿宋_GBK" w:cs="Times New Roman"/>
          <w:snapToGrid/>
          <w:spacing w:val="0"/>
          <w:kern w:val="2"/>
          <w:sz w:val="32"/>
          <w:szCs w:val="32"/>
          <w:highlight w:val="none"/>
          <w:lang w:val="en-US" w:eastAsia="zh-CN"/>
        </w:rPr>
        <w:t>区内</w:t>
      </w:r>
      <w:r>
        <w:rPr>
          <w:rFonts w:hint="default" w:ascii="Times New Roman" w:hAnsi="Times New Roman" w:eastAsia="方正仿宋_GBK" w:cs="Times New Roman"/>
          <w:snapToGrid/>
          <w:color w:val="auto"/>
          <w:spacing w:val="0"/>
          <w:kern w:val="2"/>
          <w:sz w:val="32"/>
          <w:szCs w:val="32"/>
          <w:highlight w:val="none"/>
          <w:lang w:eastAsia="zh-CN"/>
        </w:rPr>
        <w:t>主要植被是中生杂草、禾草等，伴生种主要是茅草、苔草、冰草等。土壤类型为</w:t>
      </w:r>
      <w:r>
        <w:rPr>
          <w:rFonts w:hint="default" w:ascii="Times New Roman" w:hAnsi="Times New Roman" w:eastAsia="方正仿宋_GBK" w:cs="Times New Roman"/>
          <w:snapToGrid/>
          <w:color w:val="auto"/>
          <w:spacing w:val="0"/>
          <w:kern w:val="2"/>
          <w:sz w:val="32"/>
          <w:szCs w:val="32"/>
          <w:highlight w:val="none"/>
          <w:lang w:val="en-US" w:eastAsia="zh-CN"/>
        </w:rPr>
        <w:t>亚高山草甸土</w:t>
      </w:r>
      <w:r>
        <w:rPr>
          <w:rFonts w:hint="default" w:ascii="Times New Roman" w:hAnsi="Times New Roman" w:eastAsia="方正仿宋_GBK" w:cs="Times New Roman"/>
          <w:snapToGrid/>
          <w:color w:val="auto"/>
          <w:spacing w:val="0"/>
          <w:kern w:val="2"/>
          <w:sz w:val="32"/>
          <w:szCs w:val="32"/>
          <w:highlight w:val="none"/>
          <w:lang w:eastAsia="zh-CN"/>
        </w:rPr>
        <w:t>，大面积分布于山前冲洪积平原和山区沟谷盆地低山丘陵区及现代河床中也有分布，厚度</w:t>
      </w:r>
      <w:r>
        <w:rPr>
          <w:rFonts w:hint="default" w:ascii="Times New Roman" w:hAnsi="Times New Roman" w:eastAsia="方正仿宋_GBK" w:cs="Times New Roman"/>
          <w:snapToGrid/>
          <w:color w:val="auto"/>
          <w:spacing w:val="0"/>
          <w:kern w:val="2"/>
          <w:sz w:val="32"/>
          <w:szCs w:val="32"/>
          <w:highlight w:val="none"/>
          <w:lang w:val="en-US" w:eastAsia="zh-CN"/>
        </w:rPr>
        <w:t>约为0.4米</w:t>
      </w:r>
      <w:r>
        <w:rPr>
          <w:rFonts w:hint="default" w:ascii="Times New Roman" w:hAnsi="Times New Roman" w:eastAsia="方正仿宋_GBK" w:cs="Times New Roman"/>
          <w:snapToGrid/>
          <w:color w:val="auto"/>
          <w:spacing w:val="0"/>
          <w:kern w:val="2"/>
          <w:sz w:val="32"/>
          <w:szCs w:val="32"/>
          <w:highlight w:val="none"/>
          <w:lang w:eastAsia="zh-CN"/>
        </w:rPr>
        <w:t>。</w:t>
      </w:r>
    </w:p>
    <w:p w14:paraId="0D157C4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b/>
          <w:bCs/>
          <w:snapToGrid/>
          <w:spacing w:val="0"/>
          <w:kern w:val="2"/>
          <w:sz w:val="32"/>
          <w:szCs w:val="32"/>
          <w:highlight w:val="none"/>
          <w:lang w:val="en-US" w:eastAsia="zh-CN"/>
        </w:rPr>
      </w:pPr>
      <w:r>
        <w:rPr>
          <w:rFonts w:hint="default" w:ascii="Times New Roman" w:hAnsi="Times New Roman" w:eastAsia="方正仿宋_GBK" w:cs="Times New Roman"/>
          <w:b/>
          <w:bCs/>
          <w:snapToGrid/>
          <w:spacing w:val="0"/>
          <w:kern w:val="2"/>
          <w:sz w:val="32"/>
          <w:szCs w:val="32"/>
          <w:highlight w:val="none"/>
          <w:lang w:val="en-US" w:eastAsia="zh-CN"/>
        </w:rPr>
        <w:t>2、公路用地</w:t>
      </w:r>
    </w:p>
    <w:p w14:paraId="3425E8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napToGrid/>
          <w:spacing w:val="0"/>
          <w:kern w:val="2"/>
          <w:sz w:val="32"/>
          <w:szCs w:val="32"/>
          <w:lang w:val="en-US" w:eastAsia="zh-CN"/>
        </w:rPr>
      </w:pPr>
      <w:r>
        <w:rPr>
          <w:rFonts w:hint="default" w:ascii="Times New Roman" w:hAnsi="Times New Roman" w:eastAsia="方正仿宋_GBK" w:cs="Times New Roman"/>
          <w:snapToGrid/>
          <w:spacing w:val="0"/>
          <w:kern w:val="2"/>
          <w:sz w:val="32"/>
          <w:szCs w:val="32"/>
          <w:highlight w:val="none"/>
          <w:lang w:eastAsia="zh-CN"/>
        </w:rPr>
        <w:t>项目区内</w:t>
      </w:r>
      <w:r>
        <w:rPr>
          <w:rFonts w:hint="default" w:ascii="Times New Roman" w:hAnsi="Times New Roman" w:eastAsia="方正仿宋_GBK" w:cs="Times New Roman"/>
          <w:snapToGrid/>
          <w:spacing w:val="0"/>
          <w:kern w:val="2"/>
          <w:sz w:val="32"/>
          <w:szCs w:val="32"/>
          <w:highlight w:val="none"/>
          <w:lang w:val="en-US" w:eastAsia="zh-CN"/>
        </w:rPr>
        <w:t>土地类型少部分为公路用地，该公路为简易砂砾石路面，为G218国道伴行公路以及牧民生产生活</w:t>
      </w:r>
      <w:r>
        <w:rPr>
          <w:rFonts w:hint="eastAsia" w:ascii="Times New Roman" w:hAnsi="Times New Roman" w:eastAsia="方正仿宋_GBK" w:cs="Times New Roman"/>
          <w:snapToGrid/>
          <w:spacing w:val="0"/>
          <w:kern w:val="2"/>
          <w:sz w:val="32"/>
          <w:szCs w:val="32"/>
          <w:highlight w:val="none"/>
          <w:lang w:val="en-US" w:eastAsia="zh-CN"/>
        </w:rPr>
        <w:t>通行</w:t>
      </w:r>
      <w:r>
        <w:rPr>
          <w:rFonts w:hint="default" w:ascii="Times New Roman" w:hAnsi="Times New Roman" w:eastAsia="方正仿宋_GBK" w:cs="Times New Roman"/>
          <w:snapToGrid/>
          <w:spacing w:val="0"/>
          <w:kern w:val="2"/>
          <w:sz w:val="32"/>
          <w:szCs w:val="32"/>
          <w:highlight w:val="none"/>
          <w:lang w:val="en-US" w:eastAsia="zh-CN"/>
        </w:rPr>
        <w:t>道路。</w:t>
      </w:r>
    </w:p>
    <w:p w14:paraId="5FF3339D">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2"/>
        <w:rPr>
          <w:rFonts w:hint="default" w:ascii="Times New Roman" w:hAnsi="Times New Roman" w:eastAsia="方正仿宋_GBK" w:cs="Times New Roman"/>
          <w:snapToGrid/>
          <w:spacing w:val="0"/>
          <w:kern w:val="2"/>
          <w:sz w:val="32"/>
          <w:szCs w:val="32"/>
          <w:lang w:eastAsia="zh-CN"/>
        </w:rPr>
      </w:pPr>
      <w:bookmarkStart w:id="12" w:name="_Toc19725"/>
      <w:r>
        <w:rPr>
          <w:rFonts w:hint="default" w:ascii="Times New Roman" w:hAnsi="Times New Roman" w:eastAsia="黑体" w:cs="Times New Roman"/>
          <w:snapToGrid/>
          <w:spacing w:val="0"/>
          <w:kern w:val="2"/>
          <w:sz w:val="28"/>
          <w:szCs w:val="28"/>
          <w:lang w:eastAsia="zh-CN"/>
        </w:rPr>
        <w:t>3</w:t>
      </w:r>
      <w:r>
        <w:rPr>
          <w:rFonts w:hint="eastAsia" w:ascii="Times New Roman" w:hAnsi="Times New Roman" w:eastAsia="黑体" w:cs="Times New Roman"/>
          <w:snapToGrid/>
          <w:spacing w:val="0"/>
          <w:kern w:val="2"/>
          <w:sz w:val="28"/>
          <w:szCs w:val="28"/>
          <w:lang w:val="en-US" w:eastAsia="zh-CN"/>
        </w:rPr>
        <w:t>.</w:t>
      </w:r>
      <w:r>
        <w:rPr>
          <w:rFonts w:hint="default" w:ascii="Times New Roman" w:hAnsi="Times New Roman" w:eastAsia="方正仿宋_GBK" w:cs="Times New Roman"/>
          <w:snapToGrid/>
          <w:spacing w:val="0"/>
          <w:kern w:val="2"/>
          <w:sz w:val="32"/>
          <w:szCs w:val="32"/>
          <w:lang w:eastAsia="zh-CN"/>
        </w:rPr>
        <w:t>土地损毁情况</w:t>
      </w:r>
      <w:bookmarkEnd w:id="12"/>
    </w:p>
    <w:p w14:paraId="287EC3A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napToGrid/>
          <w:spacing w:val="0"/>
          <w:kern w:val="0"/>
          <w:sz w:val="32"/>
          <w:szCs w:val="32"/>
          <w:lang w:val="en-US" w:eastAsia="zh-CN"/>
        </w:rPr>
      </w:pPr>
      <w:r>
        <w:rPr>
          <w:rFonts w:hint="default" w:ascii="Times New Roman" w:hAnsi="Times New Roman" w:eastAsia="方正仿宋_GBK" w:cs="Times New Roman"/>
          <w:snapToGrid/>
          <w:spacing w:val="0"/>
          <w:kern w:val="0"/>
          <w:sz w:val="32"/>
          <w:szCs w:val="32"/>
          <w:lang w:eastAsia="zh-CN"/>
        </w:rPr>
        <w:t>本方案临时用地面积为</w:t>
      </w:r>
      <w:r>
        <w:rPr>
          <w:rFonts w:hint="default" w:ascii="Times New Roman" w:hAnsi="Times New Roman" w:eastAsia="方正仿宋_GBK" w:cs="Times New Roman"/>
          <w:snapToGrid/>
          <w:spacing w:val="0"/>
          <w:kern w:val="0"/>
          <w:sz w:val="32"/>
          <w:szCs w:val="32"/>
          <w:lang w:val="en-US" w:eastAsia="zh-CN"/>
        </w:rPr>
        <w:t>4.6279</w:t>
      </w:r>
      <w:r>
        <w:rPr>
          <w:rFonts w:hint="default" w:ascii="Times New Roman" w:hAnsi="Times New Roman" w:eastAsia="方正仿宋_GBK" w:cs="Times New Roman"/>
          <w:snapToGrid/>
          <w:spacing w:val="0"/>
          <w:kern w:val="0"/>
          <w:sz w:val="32"/>
          <w:szCs w:val="32"/>
          <w:lang w:eastAsia="zh-CN"/>
        </w:rPr>
        <w:t>hm</w:t>
      </w:r>
      <w:r>
        <w:rPr>
          <w:rFonts w:hint="default" w:ascii="Times New Roman" w:hAnsi="Times New Roman" w:eastAsia="方正仿宋_GBK" w:cs="Times New Roman"/>
          <w:snapToGrid/>
          <w:spacing w:val="0"/>
          <w:kern w:val="0"/>
          <w:sz w:val="32"/>
          <w:szCs w:val="32"/>
          <w:vertAlign w:val="superscript"/>
          <w:lang w:eastAsia="zh-CN"/>
        </w:rPr>
        <w:t>2</w:t>
      </w:r>
      <w:r>
        <w:rPr>
          <w:rFonts w:hint="default" w:ascii="Times New Roman" w:hAnsi="Times New Roman" w:eastAsia="方正仿宋_GBK" w:cs="Times New Roman"/>
          <w:snapToGrid/>
          <w:spacing w:val="0"/>
          <w:kern w:val="0"/>
          <w:sz w:val="32"/>
          <w:szCs w:val="32"/>
          <w:lang w:eastAsia="zh-CN"/>
        </w:rPr>
        <w:t>，</w:t>
      </w:r>
      <w:r>
        <w:rPr>
          <w:rFonts w:hint="default" w:ascii="Times New Roman" w:hAnsi="Times New Roman" w:eastAsia="方正仿宋_GBK" w:cs="Times New Roman"/>
          <w:snapToGrid/>
          <w:spacing w:val="0"/>
          <w:kern w:val="0"/>
          <w:sz w:val="32"/>
          <w:szCs w:val="32"/>
          <w:lang w:val="en-US" w:eastAsia="zh-CN"/>
        </w:rPr>
        <w:t>其中</w:t>
      </w:r>
      <w:r>
        <w:rPr>
          <w:rFonts w:hint="default" w:ascii="Times New Roman" w:hAnsi="Times New Roman" w:eastAsia="方正仿宋_GBK" w:cs="Times New Roman"/>
          <w:snapToGrid/>
          <w:spacing w:val="0"/>
          <w:kern w:val="0"/>
          <w:sz w:val="32"/>
          <w:szCs w:val="32"/>
          <w:lang w:eastAsia="zh-CN"/>
        </w:rPr>
        <w:t>包括 包格旦1#隧道出口便道临时用地（0.4224hm</w:t>
      </w:r>
      <w:r>
        <w:rPr>
          <w:rFonts w:hint="default" w:ascii="Times New Roman" w:hAnsi="Times New Roman" w:eastAsia="方正仿宋_GBK" w:cs="Times New Roman"/>
          <w:snapToGrid/>
          <w:spacing w:val="0"/>
          <w:kern w:val="0"/>
          <w:sz w:val="32"/>
          <w:szCs w:val="32"/>
          <w:vertAlign w:val="superscript"/>
          <w:lang w:eastAsia="zh-CN"/>
        </w:rPr>
        <w:t>2</w:t>
      </w:r>
      <w:r>
        <w:rPr>
          <w:rFonts w:hint="default" w:ascii="Times New Roman" w:hAnsi="Times New Roman" w:eastAsia="方正仿宋_GBK" w:cs="Times New Roman"/>
          <w:snapToGrid/>
          <w:spacing w:val="0"/>
          <w:kern w:val="0"/>
          <w:sz w:val="32"/>
          <w:szCs w:val="32"/>
          <w:lang w:eastAsia="zh-CN"/>
        </w:rPr>
        <w:t>）、包格旦2#隧道出口工人驻地、场站临时用地（1.4256hm</w:t>
      </w:r>
      <w:r>
        <w:rPr>
          <w:rFonts w:hint="default" w:ascii="Times New Roman" w:hAnsi="Times New Roman" w:eastAsia="方正仿宋_GBK" w:cs="Times New Roman"/>
          <w:snapToGrid/>
          <w:spacing w:val="0"/>
          <w:kern w:val="0"/>
          <w:sz w:val="32"/>
          <w:szCs w:val="32"/>
          <w:vertAlign w:val="superscript"/>
          <w:lang w:eastAsia="zh-CN"/>
        </w:rPr>
        <w:t>2</w:t>
      </w:r>
      <w:r>
        <w:rPr>
          <w:rFonts w:hint="default" w:ascii="Times New Roman" w:hAnsi="Times New Roman" w:eastAsia="方正仿宋_GBK" w:cs="Times New Roman"/>
          <w:snapToGrid/>
          <w:spacing w:val="0"/>
          <w:kern w:val="0"/>
          <w:sz w:val="32"/>
          <w:szCs w:val="32"/>
          <w:lang w:eastAsia="zh-CN"/>
        </w:rPr>
        <w:t>）。</w:t>
      </w:r>
    </w:p>
    <w:p w14:paraId="7CD95F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napToGrid/>
          <w:spacing w:val="0"/>
          <w:kern w:val="2"/>
          <w:sz w:val="32"/>
          <w:szCs w:val="32"/>
          <w:lang w:eastAsia="zh-CN"/>
        </w:rPr>
      </w:pPr>
      <w:r>
        <w:rPr>
          <w:rFonts w:hint="default" w:ascii="Times New Roman" w:hAnsi="Times New Roman" w:eastAsia="方正仿宋_GBK" w:cs="Times New Roman"/>
          <w:snapToGrid/>
          <w:spacing w:val="0"/>
          <w:kern w:val="2"/>
          <w:sz w:val="32"/>
          <w:szCs w:val="32"/>
          <w:highlight w:val="none"/>
          <w:lang w:eastAsia="zh-CN"/>
        </w:rPr>
        <w:t>临时用地损毁地类</w:t>
      </w:r>
      <w:r>
        <w:rPr>
          <w:rFonts w:hint="default" w:ascii="Times New Roman" w:hAnsi="Times New Roman" w:eastAsia="方正仿宋_GBK" w:cs="Times New Roman"/>
          <w:snapToGrid/>
          <w:spacing w:val="0"/>
          <w:kern w:val="2"/>
          <w:sz w:val="32"/>
          <w:szCs w:val="32"/>
          <w:highlight w:val="none"/>
          <w:lang w:val="en-US" w:eastAsia="zh-CN"/>
        </w:rPr>
        <w:t>主要为</w:t>
      </w:r>
      <w:r>
        <w:rPr>
          <w:rFonts w:hint="default" w:ascii="Times New Roman" w:hAnsi="Times New Roman" w:eastAsia="方正仿宋_GBK" w:cs="Times New Roman"/>
          <w:snapToGrid/>
          <w:spacing w:val="0"/>
          <w:kern w:val="2"/>
          <w:sz w:val="32"/>
          <w:szCs w:val="32"/>
          <w:highlight w:val="none"/>
          <w:lang w:eastAsia="zh-CN"/>
        </w:rPr>
        <w:t>草地中的天然牧草地，</w:t>
      </w:r>
      <w:r>
        <w:rPr>
          <w:rFonts w:hint="default" w:ascii="Times New Roman" w:hAnsi="Times New Roman" w:eastAsia="方正仿宋_GBK" w:cs="Times New Roman"/>
          <w:snapToGrid/>
          <w:spacing w:val="0"/>
          <w:kern w:val="2"/>
          <w:sz w:val="32"/>
          <w:szCs w:val="32"/>
          <w:lang w:eastAsia="zh-CN"/>
        </w:rPr>
        <w:t>土地损毁形式为压占。</w:t>
      </w:r>
    </w:p>
    <w:p w14:paraId="6819741F">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Cs w:val="22"/>
          <w:lang w:eastAsia="zh-CN"/>
        </w:rPr>
      </w:pPr>
      <w:r>
        <w:rPr>
          <w:rFonts w:hint="default" w:ascii="Times New Roman" w:hAnsi="Times New Roman" w:eastAsia="黑体" w:cs="Times New Roman"/>
          <w:snapToGrid/>
          <w:kern w:val="2"/>
          <w:szCs w:val="22"/>
          <w:lang w:eastAsia="zh-CN"/>
        </w:rPr>
        <w:t>表1-2   土地损毁程度评价标准表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42"/>
        <w:gridCol w:w="1073"/>
        <w:gridCol w:w="2077"/>
        <w:gridCol w:w="2690"/>
      </w:tblGrid>
      <w:tr w14:paraId="49D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0EBAEF7B">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土地损毁形式</w:t>
            </w:r>
          </w:p>
        </w:tc>
        <w:tc>
          <w:tcPr>
            <w:tcW w:w="1742" w:type="dxa"/>
            <w:vMerge w:val="restart"/>
            <w:noWrap w:val="0"/>
            <w:vAlign w:val="center"/>
          </w:tcPr>
          <w:p w14:paraId="2B367E96">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评价因子</w:t>
            </w:r>
          </w:p>
        </w:tc>
        <w:tc>
          <w:tcPr>
            <w:tcW w:w="5840" w:type="dxa"/>
            <w:gridSpan w:val="3"/>
            <w:noWrap w:val="0"/>
            <w:vAlign w:val="center"/>
          </w:tcPr>
          <w:p w14:paraId="2233D962">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土地损毁程度</w:t>
            </w:r>
          </w:p>
        </w:tc>
      </w:tr>
      <w:tr w14:paraId="37DF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31B5437D">
            <w:pPr>
              <w:pStyle w:val="8"/>
              <w:spacing w:line="300" w:lineRule="exact"/>
              <w:ind w:firstLine="0" w:firstLineChars="0"/>
              <w:jc w:val="center"/>
              <w:rPr>
                <w:rFonts w:hint="default" w:ascii="Times New Roman" w:hAnsi="Times New Roman" w:eastAsia="仿宋" w:cs="Times New Roman"/>
                <w:sz w:val="21"/>
              </w:rPr>
            </w:pPr>
          </w:p>
        </w:tc>
        <w:tc>
          <w:tcPr>
            <w:tcW w:w="1742" w:type="dxa"/>
            <w:vMerge w:val="continue"/>
            <w:noWrap w:val="0"/>
            <w:vAlign w:val="center"/>
          </w:tcPr>
          <w:p w14:paraId="14D2A15A">
            <w:pPr>
              <w:pStyle w:val="8"/>
              <w:spacing w:line="300" w:lineRule="exact"/>
              <w:ind w:firstLine="0" w:firstLineChars="0"/>
              <w:jc w:val="center"/>
              <w:rPr>
                <w:rFonts w:hint="default" w:ascii="Times New Roman" w:hAnsi="Times New Roman" w:eastAsia="仿宋" w:cs="Times New Roman"/>
                <w:sz w:val="21"/>
              </w:rPr>
            </w:pPr>
          </w:p>
        </w:tc>
        <w:tc>
          <w:tcPr>
            <w:tcW w:w="1073" w:type="dxa"/>
            <w:noWrap w:val="0"/>
            <w:vAlign w:val="center"/>
          </w:tcPr>
          <w:p w14:paraId="5AE6B37C">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lang w:val="en-US" w:eastAsia="zh-CN"/>
              </w:rPr>
              <w:t>轻</w:t>
            </w:r>
            <w:r>
              <w:rPr>
                <w:rFonts w:hint="default" w:ascii="Times New Roman" w:hAnsi="Times New Roman" w:eastAsia="仿宋" w:cs="Times New Roman"/>
                <w:sz w:val="21"/>
              </w:rPr>
              <w:t>度</w:t>
            </w:r>
          </w:p>
        </w:tc>
        <w:tc>
          <w:tcPr>
            <w:tcW w:w="2077" w:type="dxa"/>
            <w:noWrap w:val="0"/>
            <w:vAlign w:val="center"/>
          </w:tcPr>
          <w:p w14:paraId="7A995E49">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中度</w:t>
            </w:r>
          </w:p>
        </w:tc>
        <w:tc>
          <w:tcPr>
            <w:tcW w:w="2690" w:type="dxa"/>
            <w:noWrap w:val="0"/>
            <w:vAlign w:val="center"/>
          </w:tcPr>
          <w:p w14:paraId="7C02ED5F">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重度</w:t>
            </w:r>
          </w:p>
        </w:tc>
      </w:tr>
      <w:tr w14:paraId="5E01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19B3E3E7">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压占、挖损</w:t>
            </w:r>
          </w:p>
        </w:tc>
        <w:tc>
          <w:tcPr>
            <w:tcW w:w="1742" w:type="dxa"/>
            <w:noWrap w:val="0"/>
            <w:vAlign w:val="center"/>
          </w:tcPr>
          <w:p w14:paraId="301BD5BF">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表土层损毁厚度</w:t>
            </w:r>
          </w:p>
        </w:tc>
        <w:tc>
          <w:tcPr>
            <w:tcW w:w="1073" w:type="dxa"/>
            <w:noWrap w:val="0"/>
            <w:vAlign w:val="center"/>
          </w:tcPr>
          <w:p w14:paraId="2468D12E">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＜10cm</w:t>
            </w:r>
          </w:p>
        </w:tc>
        <w:tc>
          <w:tcPr>
            <w:tcW w:w="2077" w:type="dxa"/>
            <w:noWrap w:val="0"/>
            <w:vAlign w:val="center"/>
          </w:tcPr>
          <w:p w14:paraId="7065AC13">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10</w:t>
            </w:r>
            <w:r>
              <w:rPr>
                <w:rFonts w:hint="eastAsia" w:eastAsia="仿宋" w:cs="Times New Roman"/>
                <w:sz w:val="21"/>
                <w:lang w:eastAsia="zh-CN"/>
              </w:rPr>
              <w:t>—</w:t>
            </w:r>
            <w:bookmarkStart w:id="15" w:name="_GoBack"/>
            <w:bookmarkEnd w:id="15"/>
            <w:r>
              <w:rPr>
                <w:rFonts w:hint="default" w:ascii="Times New Roman" w:hAnsi="Times New Roman" w:eastAsia="仿宋" w:cs="Times New Roman"/>
                <w:sz w:val="21"/>
              </w:rPr>
              <w:t>20cm</w:t>
            </w:r>
          </w:p>
        </w:tc>
        <w:tc>
          <w:tcPr>
            <w:tcW w:w="2690" w:type="dxa"/>
            <w:noWrap w:val="0"/>
            <w:vAlign w:val="center"/>
          </w:tcPr>
          <w:p w14:paraId="78DEE3C8">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＞20cm</w:t>
            </w:r>
          </w:p>
        </w:tc>
      </w:tr>
      <w:tr w14:paraId="1065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60627E8A">
            <w:pPr>
              <w:pStyle w:val="8"/>
              <w:spacing w:line="300" w:lineRule="exact"/>
              <w:ind w:firstLine="0" w:firstLineChars="0"/>
              <w:jc w:val="center"/>
              <w:rPr>
                <w:rFonts w:hint="default" w:ascii="Times New Roman" w:hAnsi="Times New Roman" w:eastAsia="仿宋" w:cs="Times New Roman"/>
                <w:sz w:val="21"/>
              </w:rPr>
            </w:pPr>
          </w:p>
        </w:tc>
        <w:tc>
          <w:tcPr>
            <w:tcW w:w="1742" w:type="dxa"/>
            <w:noWrap w:val="0"/>
            <w:vAlign w:val="center"/>
          </w:tcPr>
          <w:p w14:paraId="13EBB520">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坡度</w:t>
            </w:r>
          </w:p>
        </w:tc>
        <w:tc>
          <w:tcPr>
            <w:tcW w:w="1073" w:type="dxa"/>
            <w:noWrap w:val="0"/>
            <w:vAlign w:val="center"/>
          </w:tcPr>
          <w:p w14:paraId="46C50EB0">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＜6°</w:t>
            </w:r>
          </w:p>
        </w:tc>
        <w:tc>
          <w:tcPr>
            <w:tcW w:w="2077" w:type="dxa"/>
            <w:noWrap w:val="0"/>
            <w:vAlign w:val="center"/>
          </w:tcPr>
          <w:p w14:paraId="1BB6F04F">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6</w:t>
            </w:r>
            <w:r>
              <w:rPr>
                <w:rFonts w:hint="eastAsia" w:ascii="Times New Roman" w:hAnsi="Times New Roman" w:eastAsia="仿宋" w:cs="Times New Roman"/>
                <w:sz w:val="21"/>
                <w:lang w:eastAsia="zh-CN"/>
              </w:rPr>
              <w:t>（1）</w:t>
            </w:r>
            <w:r>
              <w:rPr>
                <w:rFonts w:hint="default" w:ascii="Times New Roman" w:hAnsi="Times New Roman" w:eastAsia="仿宋" w:cs="Times New Roman"/>
                <w:sz w:val="21"/>
              </w:rPr>
              <w:t>5°</w:t>
            </w:r>
          </w:p>
        </w:tc>
        <w:tc>
          <w:tcPr>
            <w:tcW w:w="2690" w:type="dxa"/>
            <w:noWrap w:val="0"/>
            <w:vAlign w:val="center"/>
          </w:tcPr>
          <w:p w14:paraId="7FBC8A29">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＞15°</w:t>
            </w:r>
          </w:p>
        </w:tc>
      </w:tr>
      <w:tr w14:paraId="3C0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5142AB4B">
            <w:pPr>
              <w:pStyle w:val="8"/>
              <w:spacing w:line="300" w:lineRule="exact"/>
              <w:ind w:firstLine="0" w:firstLineChars="0"/>
              <w:jc w:val="center"/>
              <w:rPr>
                <w:rFonts w:hint="default" w:ascii="Times New Roman" w:hAnsi="Times New Roman" w:eastAsia="仿宋" w:cs="Times New Roman"/>
                <w:sz w:val="21"/>
              </w:rPr>
            </w:pPr>
          </w:p>
        </w:tc>
        <w:tc>
          <w:tcPr>
            <w:tcW w:w="1742" w:type="dxa"/>
            <w:noWrap w:val="0"/>
            <w:vAlign w:val="center"/>
          </w:tcPr>
          <w:p w14:paraId="297FFD0E">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压占物</w:t>
            </w:r>
          </w:p>
        </w:tc>
        <w:tc>
          <w:tcPr>
            <w:tcW w:w="1073" w:type="dxa"/>
            <w:noWrap w:val="0"/>
            <w:vAlign w:val="center"/>
          </w:tcPr>
          <w:p w14:paraId="7E7C9945">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18"/>
                <w:szCs w:val="18"/>
              </w:rPr>
              <w:t>原始土壤</w:t>
            </w:r>
          </w:p>
        </w:tc>
        <w:tc>
          <w:tcPr>
            <w:tcW w:w="2077" w:type="dxa"/>
            <w:noWrap w:val="0"/>
            <w:vAlign w:val="center"/>
          </w:tcPr>
          <w:p w14:paraId="00935D93">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18"/>
                <w:szCs w:val="18"/>
              </w:rPr>
              <w:t>原始土壤和岩石混合物</w:t>
            </w:r>
          </w:p>
        </w:tc>
        <w:tc>
          <w:tcPr>
            <w:tcW w:w="2690" w:type="dxa"/>
            <w:noWrap w:val="0"/>
            <w:vAlign w:val="center"/>
          </w:tcPr>
          <w:p w14:paraId="73CD70DD">
            <w:pPr>
              <w:pStyle w:val="8"/>
              <w:spacing w:line="300" w:lineRule="exact"/>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18"/>
                <w:szCs w:val="18"/>
              </w:rPr>
              <w:t>岩土、砾石、建筑物、建筑垃圾</w:t>
            </w:r>
          </w:p>
        </w:tc>
      </w:tr>
    </w:tbl>
    <w:p w14:paraId="3CEF8411">
      <w:pPr>
        <w:pStyle w:val="8"/>
        <w:keepNext w:val="0"/>
        <w:keepLines w:val="0"/>
        <w:pageBreakBefore w:val="0"/>
        <w:widowControl w:val="0"/>
        <w:kinsoku/>
        <w:wordWrap/>
        <w:overflowPunct/>
        <w:topLinePunct w:val="0"/>
        <w:autoSpaceDE/>
        <w:autoSpaceDN/>
        <w:bidi w:val="0"/>
        <w:adjustRightInd/>
        <w:spacing w:line="54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根据土地损毁程度评价标准表1-2，确定</w:t>
      </w:r>
      <w:r>
        <w:rPr>
          <w:rFonts w:hint="eastAsia" w:eastAsia="方正仿宋_GBK" w:cs="Times New Roman"/>
          <w:sz w:val="32"/>
          <w:szCs w:val="32"/>
          <w:lang w:eastAsia="zh-CN"/>
        </w:rPr>
        <w:t>拌和站</w:t>
      </w:r>
      <w:r>
        <w:rPr>
          <w:rFonts w:hint="default" w:ascii="Times New Roman" w:hAnsi="Times New Roman" w:eastAsia="方正仿宋_GBK" w:cs="Times New Roman"/>
          <w:sz w:val="32"/>
          <w:szCs w:val="32"/>
          <w:lang w:val="en-US" w:eastAsia="zh-CN"/>
        </w:rPr>
        <w:t>、工区驻地、弃土场等</w:t>
      </w:r>
      <w:r>
        <w:rPr>
          <w:rFonts w:hint="default" w:ascii="Times New Roman" w:hAnsi="Times New Roman" w:eastAsia="方正仿宋_GBK" w:cs="Times New Roman"/>
          <w:sz w:val="32"/>
          <w:szCs w:val="32"/>
        </w:rPr>
        <w:t>拟损毁土地损毁程度为重度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施工便道</w:t>
      </w:r>
      <w:r>
        <w:rPr>
          <w:rFonts w:hint="default" w:ascii="Times New Roman" w:hAnsi="Times New Roman" w:eastAsia="方正仿宋_GBK" w:cs="Times New Roman"/>
          <w:sz w:val="32"/>
          <w:szCs w:val="32"/>
        </w:rPr>
        <w:t>拟损毁土地损毁程度为</w:t>
      </w:r>
      <w:r>
        <w:rPr>
          <w:rFonts w:hint="default"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rPr>
        <w:t>度。项目区土地损毁情况见表1-3，复垦责任范</w:t>
      </w:r>
      <w:r>
        <w:rPr>
          <w:rFonts w:hint="default" w:ascii="Times New Roman" w:hAnsi="Times New Roman" w:eastAsia="方正仿宋_GBK" w:cs="Times New Roman"/>
          <w:color w:val="000000"/>
          <w:sz w:val="32"/>
          <w:szCs w:val="32"/>
        </w:rPr>
        <w:t>围土地损毁情况见表1-4。</w:t>
      </w:r>
    </w:p>
    <w:p w14:paraId="7C854D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r>
        <w:rPr>
          <w:rFonts w:hint="default" w:ascii="Times New Roman" w:hAnsi="Times New Roman" w:eastAsia="黑体" w:cs="Times New Roman"/>
          <w:snapToGrid/>
          <w:color w:val="000000"/>
          <w:kern w:val="2"/>
          <w:szCs w:val="22"/>
          <w:lang w:eastAsia="zh-CN"/>
        </w:rPr>
        <w:t>表</w:t>
      </w:r>
      <w:r>
        <w:rPr>
          <w:rFonts w:hint="default" w:ascii="Times New Roman" w:hAnsi="Times New Roman" w:eastAsia="黑体" w:cs="Times New Roman"/>
          <w:snapToGrid/>
          <w:color w:val="000000"/>
          <w:kern w:val="0"/>
          <w:szCs w:val="21"/>
          <w:lang w:eastAsia="zh-CN"/>
        </w:rPr>
        <w:t>1-3   项目区</w:t>
      </w:r>
      <w:r>
        <w:rPr>
          <w:rFonts w:hint="default" w:ascii="Times New Roman" w:hAnsi="Times New Roman" w:eastAsia="黑体" w:cs="Times New Roman"/>
          <w:snapToGrid/>
          <w:color w:val="000000"/>
          <w:kern w:val="2"/>
          <w:szCs w:val="22"/>
          <w:lang w:eastAsia="zh-CN"/>
        </w:rPr>
        <w:t>土地损毁情况表</w:t>
      </w:r>
    </w:p>
    <w:tbl>
      <w:tblPr>
        <w:tblStyle w:val="4"/>
        <w:tblW w:w="85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03"/>
        <w:gridCol w:w="1080"/>
        <w:gridCol w:w="1875"/>
        <w:gridCol w:w="1177"/>
        <w:gridCol w:w="1097"/>
        <w:gridCol w:w="984"/>
      </w:tblGrid>
      <w:tr w14:paraId="08FE6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58" w:type="dxa"/>
            <w:gridSpan w:val="3"/>
            <w:tcBorders>
              <w:bottom w:val="single" w:color="000000" w:sz="4" w:space="0"/>
              <w:right w:val="single" w:color="000000" w:sz="4" w:space="0"/>
            </w:tcBorders>
            <w:noWrap w:val="0"/>
            <w:vAlign w:val="center"/>
          </w:tcPr>
          <w:p w14:paraId="021889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用地范围</w:t>
            </w:r>
          </w:p>
        </w:tc>
        <w:tc>
          <w:tcPr>
            <w:tcW w:w="1177" w:type="dxa"/>
            <w:tcBorders>
              <w:left w:val="single" w:color="000000" w:sz="4" w:space="0"/>
              <w:bottom w:val="single" w:color="000000" w:sz="4" w:space="0"/>
              <w:right w:val="single" w:color="000000" w:sz="4" w:space="0"/>
            </w:tcBorders>
            <w:noWrap w:val="0"/>
            <w:vAlign w:val="center"/>
          </w:tcPr>
          <w:p w14:paraId="70EFF8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面积</w:t>
            </w:r>
            <w:r>
              <w:rPr>
                <w:rFonts w:hint="default" w:ascii="Times New Roman" w:hAnsi="Times New Roman" w:eastAsia="仿宋" w:cs="Times New Roman"/>
                <w:i w:val="0"/>
                <w:iCs w:val="0"/>
                <w:snapToGrid/>
                <w:color w:val="000000"/>
                <w:kern w:val="0"/>
                <w:sz w:val="21"/>
                <w:szCs w:val="21"/>
                <w:u w:val="none"/>
                <w:lang w:val="en-US" w:eastAsia="zh-CN" w:bidi="ar"/>
              </w:rPr>
              <w:t>/hm</w:t>
            </w:r>
            <w:r>
              <w:rPr>
                <w:rFonts w:hint="default" w:ascii="Times New Roman" w:hAnsi="Times New Roman" w:eastAsia="仿宋" w:cs="Times New Roman"/>
                <w:i w:val="0"/>
                <w:iCs w:val="0"/>
                <w:snapToGrid/>
                <w:color w:val="000000"/>
                <w:kern w:val="0"/>
                <w:sz w:val="21"/>
                <w:szCs w:val="21"/>
                <w:u w:val="none"/>
                <w:vertAlign w:val="superscript"/>
                <w:lang w:val="en-US" w:eastAsia="zh-CN" w:bidi="ar"/>
              </w:rPr>
              <w:t>2</w:t>
            </w:r>
          </w:p>
        </w:tc>
        <w:tc>
          <w:tcPr>
            <w:tcW w:w="1097" w:type="dxa"/>
            <w:tcBorders>
              <w:left w:val="single" w:color="000000" w:sz="4" w:space="0"/>
              <w:bottom w:val="single" w:color="000000" w:sz="4" w:space="0"/>
              <w:right w:val="single" w:color="000000" w:sz="4" w:space="0"/>
            </w:tcBorders>
            <w:noWrap w:val="0"/>
            <w:vAlign w:val="center"/>
          </w:tcPr>
          <w:p w14:paraId="03BCE5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损毁程度</w:t>
            </w:r>
          </w:p>
        </w:tc>
        <w:tc>
          <w:tcPr>
            <w:tcW w:w="984" w:type="dxa"/>
            <w:tcBorders>
              <w:left w:val="single" w:color="000000" w:sz="4" w:space="0"/>
              <w:bottom w:val="single" w:color="000000" w:sz="4" w:space="0"/>
            </w:tcBorders>
            <w:noWrap w:val="0"/>
            <w:vAlign w:val="center"/>
          </w:tcPr>
          <w:p w14:paraId="1F7F5D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备注</w:t>
            </w:r>
          </w:p>
        </w:tc>
      </w:tr>
      <w:tr w14:paraId="04A8D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303" w:type="dxa"/>
            <w:vMerge w:val="restart"/>
            <w:tcBorders>
              <w:top w:val="single" w:color="000000" w:sz="4" w:space="0"/>
              <w:bottom w:val="single" w:color="000000" w:sz="4" w:space="0"/>
              <w:right w:val="single" w:color="000000" w:sz="4" w:space="0"/>
            </w:tcBorders>
            <w:noWrap w:val="0"/>
            <w:vAlign w:val="center"/>
          </w:tcPr>
          <w:p w14:paraId="0D6CD1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 xml:space="preserve"> 包格旦1#隧道出口便道临时用地</w:t>
            </w:r>
          </w:p>
        </w:tc>
        <w:tc>
          <w:tcPr>
            <w:tcW w:w="1080" w:type="dxa"/>
            <w:tcBorders>
              <w:top w:val="single" w:color="000000" w:sz="4" w:space="0"/>
              <w:left w:val="single" w:color="000000" w:sz="4" w:space="0"/>
              <w:right w:val="single" w:color="000000" w:sz="4" w:space="0"/>
            </w:tcBorders>
            <w:noWrap w:val="0"/>
            <w:vAlign w:val="center"/>
          </w:tcPr>
          <w:p w14:paraId="4D950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right w:val="single" w:color="000000" w:sz="4" w:space="0"/>
            </w:tcBorders>
            <w:noWrap w:val="0"/>
            <w:vAlign w:val="center"/>
          </w:tcPr>
          <w:p w14:paraId="03B135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right w:val="single" w:color="000000" w:sz="4" w:space="0"/>
            </w:tcBorders>
            <w:noWrap w:val="0"/>
            <w:vAlign w:val="center"/>
          </w:tcPr>
          <w:p w14:paraId="48DCD0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0.4224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E1FCC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restart"/>
            <w:tcBorders>
              <w:top w:val="single" w:color="000000" w:sz="4" w:space="0"/>
              <w:left w:val="single" w:color="000000" w:sz="4" w:space="0"/>
            </w:tcBorders>
            <w:noWrap w:val="0"/>
            <w:vAlign w:val="center"/>
          </w:tcPr>
          <w:p w14:paraId="231C9B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纳入复垦责任范围</w:t>
            </w:r>
          </w:p>
        </w:tc>
      </w:tr>
      <w:tr w14:paraId="6CAF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03" w:type="dxa"/>
            <w:vMerge w:val="restart"/>
            <w:tcBorders>
              <w:top w:val="single" w:color="000000" w:sz="4" w:space="0"/>
              <w:bottom w:val="single" w:color="000000" w:sz="4" w:space="0"/>
              <w:right w:val="single" w:color="000000" w:sz="4" w:space="0"/>
            </w:tcBorders>
            <w:noWrap w:val="0"/>
            <w:vAlign w:val="center"/>
          </w:tcPr>
          <w:p w14:paraId="52B0FD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包格旦2#隧道出口工人驻地、场站临时用地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843E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358B9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工人驻地、场站</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6FFB0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1.0854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02386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tcBorders>
            <w:noWrap w:val="0"/>
            <w:vAlign w:val="center"/>
          </w:tcPr>
          <w:p w14:paraId="5AA79B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0FB3A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303" w:type="dxa"/>
            <w:vMerge w:val="continue"/>
            <w:tcBorders>
              <w:top w:val="single" w:color="000000" w:sz="4" w:space="0"/>
              <w:bottom w:val="single" w:color="000000" w:sz="4" w:space="0"/>
              <w:right w:val="single" w:color="000000" w:sz="4" w:space="0"/>
            </w:tcBorders>
            <w:noWrap w:val="0"/>
            <w:vAlign w:val="center"/>
          </w:tcPr>
          <w:p w14:paraId="570F5F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F571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1EDF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35DAA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0.3402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9DD72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tcBorders>
            <w:noWrap w:val="0"/>
            <w:vAlign w:val="center"/>
          </w:tcPr>
          <w:p w14:paraId="28B8E4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6F639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2303" w:type="dxa"/>
            <w:vMerge w:val="restart"/>
            <w:tcBorders>
              <w:top w:val="single" w:color="000000" w:sz="4" w:space="0"/>
              <w:bottom w:val="single" w:color="000000" w:sz="4" w:space="0"/>
              <w:right w:val="single" w:color="000000" w:sz="4" w:space="0"/>
            </w:tcBorders>
            <w:noWrap w:val="0"/>
            <w:vAlign w:val="center"/>
          </w:tcPr>
          <w:p w14:paraId="053C54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4号弃土场及便道临时用地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5F1F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15A4A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弃土场</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90DEB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2.7271</w:t>
            </w:r>
            <w:r>
              <w:rPr>
                <w:rFonts w:hint="default" w:ascii="Times New Roman" w:hAnsi="Times New Roman" w:eastAsia="宋体" w:cs="Times New Roman"/>
                <w:i w:val="0"/>
                <w:iCs w:val="0"/>
                <w:snapToGrid/>
                <w:color w:val="000000"/>
                <w:kern w:val="0"/>
                <w:sz w:val="21"/>
                <w:szCs w:val="21"/>
                <w:u w:val="none"/>
                <w:lang w:val="en-US" w:eastAsia="zh-CN" w:bidi="ar"/>
              </w:rPr>
              <w:t xml:space="preserve">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C0AC8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tcBorders>
            <w:noWrap w:val="0"/>
            <w:vAlign w:val="center"/>
          </w:tcPr>
          <w:p w14:paraId="197CA3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2A8CC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3" w:type="dxa"/>
            <w:vMerge w:val="continue"/>
            <w:tcBorders>
              <w:top w:val="single" w:color="000000" w:sz="4" w:space="0"/>
              <w:right w:val="single" w:color="000000" w:sz="4" w:space="0"/>
            </w:tcBorders>
            <w:noWrap w:val="0"/>
            <w:vAlign w:val="center"/>
          </w:tcPr>
          <w:p w14:paraId="456288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right w:val="single" w:color="000000" w:sz="4" w:space="0"/>
            </w:tcBorders>
            <w:noWrap w:val="0"/>
            <w:vAlign w:val="center"/>
          </w:tcPr>
          <w:p w14:paraId="1F6C45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right w:val="single" w:color="000000" w:sz="4" w:space="0"/>
            </w:tcBorders>
            <w:noWrap w:val="0"/>
            <w:vAlign w:val="center"/>
          </w:tcPr>
          <w:p w14:paraId="745260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right w:val="single" w:color="000000" w:sz="4" w:space="0"/>
            </w:tcBorders>
            <w:noWrap w:val="0"/>
            <w:vAlign w:val="center"/>
          </w:tcPr>
          <w:p w14:paraId="58B5AF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0.0528</w:t>
            </w:r>
          </w:p>
        </w:tc>
        <w:tc>
          <w:tcPr>
            <w:tcW w:w="1097" w:type="dxa"/>
            <w:tcBorders>
              <w:top w:val="single" w:color="000000" w:sz="4" w:space="0"/>
              <w:left w:val="single" w:color="000000" w:sz="4" w:space="0"/>
              <w:right w:val="single" w:color="000000" w:sz="4" w:space="0"/>
            </w:tcBorders>
            <w:noWrap w:val="0"/>
            <w:vAlign w:val="center"/>
          </w:tcPr>
          <w:p w14:paraId="65FFFC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tcBorders>
            <w:noWrap w:val="0"/>
            <w:vAlign w:val="center"/>
          </w:tcPr>
          <w:p w14:paraId="08E029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bl>
    <w:p w14:paraId="37F6A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p>
    <w:p w14:paraId="6ED0C6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r>
        <w:rPr>
          <w:rFonts w:hint="default" w:ascii="Times New Roman" w:hAnsi="Times New Roman" w:eastAsia="黑体" w:cs="Times New Roman"/>
          <w:snapToGrid/>
          <w:color w:val="000000"/>
          <w:kern w:val="2"/>
          <w:szCs w:val="22"/>
          <w:lang w:eastAsia="zh-CN"/>
        </w:rPr>
        <w:t>表1-4   复垦责任范围土地损毁情况表</w:t>
      </w:r>
    </w:p>
    <w:tbl>
      <w:tblPr>
        <w:tblStyle w:val="4"/>
        <w:tblW w:w="8532"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3"/>
        <w:gridCol w:w="1661"/>
        <w:gridCol w:w="1452"/>
        <w:gridCol w:w="1258"/>
        <w:gridCol w:w="790"/>
        <w:gridCol w:w="968"/>
      </w:tblGrid>
      <w:tr w14:paraId="5229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03" w:type="dxa"/>
            <w:tcBorders>
              <w:top w:val="single" w:color="000000" w:sz="4" w:space="0"/>
              <w:left w:val="single" w:color="000000" w:sz="4" w:space="0"/>
              <w:bottom w:val="single" w:color="000000" w:sz="4" w:space="0"/>
              <w:right w:val="single" w:color="000000" w:sz="4" w:space="0"/>
            </w:tcBorders>
            <w:noWrap w:val="0"/>
            <w:vAlign w:val="center"/>
          </w:tcPr>
          <w:p w14:paraId="7F783203">
            <w:pPr>
              <w:keepNext w:val="0"/>
              <w:keepLines w:val="0"/>
              <w:widowControl/>
              <w:suppressLineNumbers w:val="0"/>
              <w:kinsoku/>
              <w:autoSpaceDE/>
              <w:autoSpaceDN/>
              <w:adjustRightInd/>
              <w:snapToGrid/>
              <w:spacing w:line="240" w:lineRule="auto"/>
              <w:jc w:val="center"/>
              <w:textAlignment w:val="center"/>
              <w:rPr>
                <w:rFonts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地块名称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1BB885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一级评价单元</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088ABA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土地类型</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93A61D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7A228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损毁程度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C326E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损毁面积</w:t>
            </w:r>
            <w:r>
              <w:rPr>
                <w:rFonts w:hint="default" w:ascii="Times New Roman" w:hAnsi="Times New Roman" w:eastAsia="仿宋" w:cs="Times New Roman"/>
                <w:i w:val="0"/>
                <w:iCs w:val="0"/>
                <w:snapToGrid/>
                <w:color w:val="000000"/>
                <w:kern w:val="0"/>
                <w:sz w:val="21"/>
                <w:szCs w:val="21"/>
                <w:u w:val="none"/>
                <w:lang w:val="en-US" w:eastAsia="zh-CN" w:bidi="ar"/>
              </w:rPr>
              <w:t>hm</w:t>
            </w:r>
            <w:r>
              <w:rPr>
                <w:rFonts w:hint="default" w:ascii="Times New Roman" w:hAnsi="Times New Roman" w:eastAsia="仿宋" w:cs="Times New Roman"/>
                <w:i w:val="0"/>
                <w:iCs w:val="0"/>
                <w:snapToGrid/>
                <w:color w:val="000000"/>
                <w:kern w:val="0"/>
                <w:sz w:val="21"/>
                <w:szCs w:val="21"/>
                <w:u w:val="none"/>
                <w:vertAlign w:val="superscript"/>
                <w:lang w:val="en-US" w:eastAsia="zh-CN" w:bidi="ar"/>
              </w:rPr>
              <w:t>2</w:t>
            </w:r>
          </w:p>
        </w:tc>
      </w:tr>
      <w:tr w14:paraId="663D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9583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 xml:space="preserve"> 包格旦1#隧道出口便道临时用地</w:t>
            </w: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187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5FE6048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8A10D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9A18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2CC1F8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 xml:space="preserve">0.4180 </w:t>
            </w:r>
          </w:p>
        </w:tc>
      </w:tr>
      <w:tr w14:paraId="59C8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C3CF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887B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5B41B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E95B68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5AEB0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中度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51B9426">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 xml:space="preserve">0.0044 </w:t>
            </w:r>
          </w:p>
        </w:tc>
      </w:tr>
      <w:tr w14:paraId="3FF5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642E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3113" w:type="dxa"/>
            <w:gridSpan w:val="2"/>
            <w:tcBorders>
              <w:top w:val="single" w:color="000000" w:sz="4" w:space="0"/>
              <w:left w:val="single" w:color="000000" w:sz="4" w:space="0"/>
              <w:bottom w:val="single" w:color="000000" w:sz="4" w:space="0"/>
              <w:right w:val="single" w:color="000000" w:sz="4" w:space="0"/>
            </w:tcBorders>
            <w:noWrap w:val="0"/>
            <w:vAlign w:val="center"/>
          </w:tcPr>
          <w:p w14:paraId="47DEFD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rPr>
            </w:pPr>
            <w:r>
              <w:rPr>
                <w:rFonts w:hint="eastAsia" w:ascii="仿宋" w:hAnsi="仿宋" w:eastAsia="仿宋" w:cs="仿宋"/>
                <w:i w:val="0"/>
                <w:iCs w:val="0"/>
                <w:snapToGrid/>
                <w:color w:val="000000"/>
                <w:kern w:val="2"/>
                <w:sz w:val="21"/>
                <w:szCs w:val="21"/>
                <w:u w:val="none"/>
                <w:lang w:val="en-US" w:eastAsia="zh-CN"/>
              </w:rPr>
              <w:t>小计</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EA68A16">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0E2A71">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037419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i w:val="0"/>
                <w:iCs w:val="0"/>
                <w:snapToGrid/>
                <w:color w:val="000000"/>
                <w:kern w:val="0"/>
                <w:sz w:val="21"/>
                <w:szCs w:val="21"/>
                <w:u w:val="none"/>
                <w:lang w:val="en-US" w:eastAsia="zh-CN" w:bidi="ar"/>
              </w:rPr>
              <w:t>0.4224</w:t>
            </w:r>
          </w:p>
        </w:tc>
      </w:tr>
      <w:tr w14:paraId="3148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FEE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包格旦2#隧道出口工人驻地、场站临时用地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272EF3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工人驻地、场站</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176FBEB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8CDC8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8DAEA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E584FE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i w:val="0"/>
                <w:iCs w:val="0"/>
                <w:snapToGrid/>
                <w:color w:val="000000"/>
                <w:kern w:val="0"/>
                <w:sz w:val="21"/>
                <w:szCs w:val="21"/>
                <w:u w:val="none"/>
                <w:lang w:val="en-US" w:eastAsia="zh-CN" w:bidi="ar"/>
              </w:rPr>
              <w:t>1.0854</w:t>
            </w:r>
          </w:p>
        </w:tc>
      </w:tr>
      <w:tr w14:paraId="446B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492C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B88C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339DFC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18C606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F3393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79B141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i w:val="0"/>
                <w:iCs w:val="0"/>
                <w:snapToGrid/>
                <w:color w:val="000000"/>
                <w:kern w:val="0"/>
                <w:sz w:val="21"/>
                <w:szCs w:val="21"/>
                <w:u w:val="none"/>
                <w:lang w:val="en-US" w:eastAsia="zh-CN" w:bidi="ar"/>
              </w:rPr>
              <w:t>0.3360</w:t>
            </w:r>
            <w:r>
              <w:rPr>
                <w:rFonts w:hint="default" w:ascii="Times New Roman" w:hAnsi="Times New Roman" w:eastAsia="宋体" w:cs="Times New Roman"/>
                <w:i w:val="0"/>
                <w:iCs w:val="0"/>
                <w:snapToGrid/>
                <w:color w:val="000000"/>
                <w:kern w:val="0"/>
                <w:sz w:val="21"/>
                <w:szCs w:val="21"/>
                <w:u w:val="none"/>
                <w:lang w:val="en-US" w:eastAsia="zh-CN" w:bidi="ar"/>
              </w:rPr>
              <w:t xml:space="preserve"> </w:t>
            </w:r>
          </w:p>
        </w:tc>
      </w:tr>
      <w:tr w14:paraId="0486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672C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left w:val="single" w:color="000000" w:sz="4" w:space="0"/>
              <w:bottom w:val="single" w:color="auto" w:sz="4" w:space="0"/>
              <w:right w:val="single" w:color="000000" w:sz="4" w:space="0"/>
            </w:tcBorders>
            <w:noWrap w:val="0"/>
            <w:vAlign w:val="center"/>
          </w:tcPr>
          <w:p w14:paraId="0E095D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p>
        </w:tc>
        <w:tc>
          <w:tcPr>
            <w:tcW w:w="1452" w:type="dxa"/>
            <w:tcBorders>
              <w:top w:val="single" w:color="000000" w:sz="4" w:space="0"/>
              <w:left w:val="single" w:color="000000" w:sz="4" w:space="0"/>
              <w:bottom w:val="single" w:color="auto" w:sz="4" w:space="0"/>
              <w:right w:val="single" w:color="000000" w:sz="4" w:space="0"/>
            </w:tcBorders>
            <w:noWrap w:val="0"/>
            <w:vAlign w:val="center"/>
          </w:tcPr>
          <w:p w14:paraId="0BF250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bidi="ar-SA"/>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E5F90B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bidi="ar-SA"/>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9564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bidi="ar-SA"/>
              </w:rPr>
            </w:pPr>
            <w:r>
              <w:rPr>
                <w:rFonts w:hint="eastAsia" w:ascii="仿宋" w:hAnsi="仿宋" w:eastAsia="仿宋" w:cs="仿宋"/>
                <w:i w:val="0"/>
                <w:iCs w:val="0"/>
                <w:snapToGrid/>
                <w:color w:val="000000"/>
                <w:kern w:val="0"/>
                <w:sz w:val="21"/>
                <w:szCs w:val="21"/>
                <w:u w:val="none"/>
                <w:lang w:val="en-US" w:eastAsia="zh-CN" w:bidi="ar"/>
              </w:rPr>
              <w:t>中度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C257F09">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2"/>
                <w:sz w:val="21"/>
                <w:szCs w:val="21"/>
                <w:u w:val="none"/>
                <w:lang w:val="en-US" w:eastAsia="zh-CN" w:bidi="ar-SA"/>
              </w:rPr>
            </w:pPr>
            <w:r>
              <w:rPr>
                <w:rFonts w:hint="eastAsia" w:ascii="Times New Roman" w:hAnsi="Times New Roman" w:eastAsia="宋体" w:cs="Times New Roman"/>
                <w:i w:val="0"/>
                <w:iCs w:val="0"/>
                <w:snapToGrid/>
                <w:color w:val="000000"/>
                <w:kern w:val="0"/>
                <w:sz w:val="21"/>
                <w:szCs w:val="21"/>
                <w:u w:val="none"/>
                <w:lang w:val="en-US" w:eastAsia="zh-CN" w:bidi="ar"/>
              </w:rPr>
              <w:t>0.0042</w:t>
            </w:r>
          </w:p>
        </w:tc>
      </w:tr>
      <w:tr w14:paraId="3F92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4F3B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3113" w:type="dxa"/>
            <w:gridSpan w:val="2"/>
            <w:tcBorders>
              <w:top w:val="single" w:color="auto" w:sz="4" w:space="0"/>
              <w:left w:val="single" w:color="000000" w:sz="4" w:space="0"/>
              <w:bottom w:val="single" w:color="000000" w:sz="4" w:space="0"/>
              <w:right w:val="single" w:color="000000" w:sz="4" w:space="0"/>
            </w:tcBorders>
            <w:noWrap w:val="0"/>
            <w:vAlign w:val="center"/>
          </w:tcPr>
          <w:p w14:paraId="576E517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rPr>
            </w:pPr>
            <w:r>
              <w:rPr>
                <w:rFonts w:hint="eastAsia" w:ascii="仿宋" w:hAnsi="仿宋" w:eastAsia="仿宋" w:cs="仿宋"/>
                <w:i w:val="0"/>
                <w:iCs w:val="0"/>
                <w:snapToGrid/>
                <w:color w:val="000000"/>
                <w:kern w:val="2"/>
                <w:sz w:val="21"/>
                <w:szCs w:val="21"/>
                <w:u w:val="none"/>
                <w:lang w:val="en-US" w:eastAsia="zh-CN"/>
              </w:rPr>
              <w:t>小计</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2442545">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334C9B">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111CB7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val="en-US" w:eastAsia="zh-CN"/>
              </w:rPr>
            </w:pPr>
            <w:r>
              <w:rPr>
                <w:rFonts w:hint="eastAsia" w:ascii="Times New Roman" w:hAnsi="Times New Roman" w:eastAsia="宋体" w:cs="Times New Roman"/>
                <w:i w:val="0"/>
                <w:iCs w:val="0"/>
                <w:snapToGrid/>
                <w:color w:val="000000"/>
                <w:kern w:val="2"/>
                <w:sz w:val="21"/>
                <w:szCs w:val="21"/>
                <w:u w:val="none"/>
                <w:lang w:val="en-US" w:eastAsia="zh-CN"/>
              </w:rPr>
              <w:t>1.4256</w:t>
            </w:r>
          </w:p>
        </w:tc>
      </w:tr>
      <w:tr w14:paraId="4224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0EEE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4号弃土场及便道临时用地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7D0A91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弃土场</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503FFE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3D6C6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A064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C5EEF0A">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i w:val="0"/>
                <w:iCs w:val="0"/>
                <w:snapToGrid/>
                <w:color w:val="000000"/>
                <w:kern w:val="0"/>
                <w:sz w:val="21"/>
                <w:szCs w:val="21"/>
                <w:u w:val="none"/>
                <w:lang w:val="en-US" w:eastAsia="zh-CN" w:bidi="ar"/>
              </w:rPr>
              <w:t>2.7271</w:t>
            </w:r>
            <w:r>
              <w:rPr>
                <w:rFonts w:hint="default" w:ascii="Times New Roman" w:hAnsi="Times New Roman" w:eastAsia="宋体" w:cs="Times New Roman"/>
                <w:i w:val="0"/>
                <w:iCs w:val="0"/>
                <w:snapToGrid/>
                <w:color w:val="000000"/>
                <w:kern w:val="0"/>
                <w:sz w:val="21"/>
                <w:szCs w:val="21"/>
                <w:u w:val="none"/>
                <w:lang w:val="en-US" w:eastAsia="zh-CN" w:bidi="ar"/>
              </w:rPr>
              <w:t xml:space="preserve"> </w:t>
            </w:r>
          </w:p>
        </w:tc>
      </w:tr>
      <w:tr w14:paraId="5133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44C3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tcBorders>
              <w:top w:val="single" w:color="000000" w:sz="4" w:space="0"/>
              <w:left w:val="single" w:color="000000" w:sz="4" w:space="0"/>
              <w:bottom w:val="single" w:color="auto" w:sz="4" w:space="0"/>
              <w:right w:val="single" w:color="000000" w:sz="4" w:space="0"/>
            </w:tcBorders>
            <w:noWrap w:val="0"/>
            <w:vAlign w:val="center"/>
          </w:tcPr>
          <w:p w14:paraId="54E855B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auto" w:sz="4" w:space="0"/>
              <w:right w:val="single" w:color="000000" w:sz="4" w:space="0"/>
            </w:tcBorders>
            <w:noWrap w:val="0"/>
            <w:vAlign w:val="center"/>
          </w:tcPr>
          <w:p w14:paraId="60113F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50144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F23E5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505FDC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i w:val="0"/>
                <w:iCs w:val="0"/>
                <w:snapToGrid/>
                <w:color w:val="000000"/>
                <w:kern w:val="0"/>
                <w:sz w:val="21"/>
                <w:szCs w:val="21"/>
                <w:u w:val="none"/>
                <w:lang w:val="en-US" w:eastAsia="zh-CN" w:bidi="ar"/>
              </w:rPr>
              <w:t>0.0528</w:t>
            </w:r>
          </w:p>
        </w:tc>
      </w:tr>
      <w:tr w14:paraId="6398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4DC0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3113" w:type="dxa"/>
            <w:gridSpan w:val="2"/>
            <w:tcBorders>
              <w:top w:val="single" w:color="auto" w:sz="4" w:space="0"/>
              <w:left w:val="single" w:color="000000" w:sz="4" w:space="0"/>
              <w:bottom w:val="single" w:color="000000" w:sz="4" w:space="0"/>
              <w:right w:val="single" w:color="000000" w:sz="4" w:space="0"/>
            </w:tcBorders>
            <w:noWrap w:val="0"/>
            <w:vAlign w:val="center"/>
          </w:tcPr>
          <w:p w14:paraId="27077CEB">
            <w:pPr>
              <w:keepNext w:val="0"/>
              <w:keepLines w:val="0"/>
              <w:widowControl/>
              <w:suppressLineNumbers w:val="0"/>
              <w:kinsoku/>
              <w:autoSpaceDE/>
              <w:autoSpaceDN/>
              <w:adjustRightInd/>
              <w:snapToGrid/>
              <w:spacing w:line="240" w:lineRule="auto"/>
              <w:jc w:val="center"/>
              <w:textAlignment w:val="center"/>
              <w:rPr>
                <w:rFonts w:hint="default" w:ascii="仿宋" w:hAnsi="仿宋" w:eastAsia="仿宋" w:cs="仿宋"/>
                <w:i w:val="0"/>
                <w:iCs w:val="0"/>
                <w:snapToGrid/>
                <w:color w:val="000000"/>
                <w:kern w:val="2"/>
                <w:sz w:val="21"/>
                <w:szCs w:val="21"/>
                <w:u w:val="none"/>
                <w:lang w:val="en-US" w:eastAsia="zh-CN"/>
              </w:rPr>
            </w:pPr>
            <w:r>
              <w:rPr>
                <w:rFonts w:hint="eastAsia" w:ascii="仿宋" w:hAnsi="仿宋" w:eastAsia="仿宋" w:cs="仿宋"/>
                <w:i w:val="0"/>
                <w:iCs w:val="0"/>
                <w:snapToGrid/>
                <w:color w:val="000000"/>
                <w:kern w:val="2"/>
                <w:sz w:val="21"/>
                <w:szCs w:val="21"/>
                <w:u w:val="none"/>
                <w:lang w:val="en-US" w:eastAsia="zh-CN"/>
              </w:rPr>
              <w:t>小计</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BF32D26">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5A51C5">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val="en-US" w:eastAsia="zh-CN" w:bidi="ar-SA"/>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56F66C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val="en-US" w:eastAsia="zh-CN"/>
              </w:rPr>
            </w:pPr>
            <w:r>
              <w:rPr>
                <w:rFonts w:hint="eastAsia" w:ascii="Times New Roman" w:hAnsi="Times New Roman" w:eastAsia="宋体" w:cs="Times New Roman"/>
                <w:i w:val="0"/>
                <w:iCs w:val="0"/>
                <w:snapToGrid/>
                <w:color w:val="000000"/>
                <w:kern w:val="2"/>
                <w:sz w:val="21"/>
                <w:szCs w:val="21"/>
                <w:u w:val="none"/>
                <w:lang w:val="en-US" w:eastAsia="zh-CN"/>
              </w:rPr>
              <w:t>2.7799</w:t>
            </w:r>
          </w:p>
        </w:tc>
      </w:tr>
      <w:tr w14:paraId="546E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tcBorders>
              <w:top w:val="single" w:color="000000" w:sz="4" w:space="0"/>
              <w:left w:val="single" w:color="000000" w:sz="4" w:space="0"/>
              <w:bottom w:val="single" w:color="000000" w:sz="4" w:space="0"/>
              <w:right w:val="single" w:color="000000" w:sz="4" w:space="0"/>
            </w:tcBorders>
            <w:noWrap w:val="0"/>
            <w:vAlign w:val="center"/>
          </w:tcPr>
          <w:p w14:paraId="6822614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合计</w:t>
            </w:r>
          </w:p>
        </w:tc>
        <w:tc>
          <w:tcPr>
            <w:tcW w:w="1661" w:type="dxa"/>
            <w:tcBorders>
              <w:top w:val="single" w:color="000000" w:sz="4" w:space="0"/>
              <w:left w:val="single" w:color="000000" w:sz="4" w:space="0"/>
              <w:bottom w:val="single" w:color="000000" w:sz="4" w:space="0"/>
              <w:right w:val="single" w:color="000000" w:sz="4" w:space="0"/>
            </w:tcBorders>
            <w:noWrap/>
            <w:vAlign w:val="center"/>
          </w:tcPr>
          <w:p w14:paraId="596728FB">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noWrap/>
            <w:vAlign w:val="center"/>
          </w:tcPr>
          <w:p w14:paraId="3AED4DCB">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5C9234E3">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1F50B07">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0D912C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eastAsia" w:ascii="Times New Roman" w:hAnsi="Times New Roman" w:eastAsia="宋体" w:cs="Times New Roman"/>
                <w:b/>
                <w:bCs/>
                <w:i w:val="0"/>
                <w:iCs w:val="0"/>
                <w:snapToGrid/>
                <w:color w:val="000000"/>
                <w:kern w:val="0"/>
                <w:sz w:val="21"/>
                <w:szCs w:val="21"/>
                <w:u w:val="none"/>
                <w:lang w:val="en-US" w:eastAsia="zh-CN" w:bidi="ar"/>
              </w:rPr>
              <w:t>4.6279</w:t>
            </w:r>
            <w:r>
              <w:rPr>
                <w:rFonts w:hint="default" w:ascii="Times New Roman" w:hAnsi="Times New Roman" w:eastAsia="宋体" w:cs="Times New Roman"/>
                <w:i w:val="0"/>
                <w:iCs w:val="0"/>
                <w:snapToGrid/>
                <w:color w:val="000000"/>
                <w:kern w:val="0"/>
                <w:sz w:val="21"/>
                <w:szCs w:val="21"/>
                <w:u w:val="none"/>
                <w:lang w:val="en-US" w:eastAsia="zh-CN" w:bidi="ar"/>
              </w:rPr>
              <w:t xml:space="preserve"> </w:t>
            </w:r>
          </w:p>
        </w:tc>
      </w:tr>
    </w:tbl>
    <w:p w14:paraId="560BCCF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b/>
          <w:snapToGrid/>
          <w:kern w:val="2"/>
          <w:sz w:val="32"/>
          <w:szCs w:val="32"/>
          <w:lang w:eastAsia="zh-CN"/>
        </w:rPr>
      </w:pPr>
      <w:r>
        <w:rPr>
          <w:rFonts w:hint="default" w:ascii="Times New Roman" w:hAnsi="Times New Roman" w:eastAsia="方正仿宋_GBK" w:cs="Times New Roman"/>
          <w:b/>
          <w:snapToGrid/>
          <w:kern w:val="2"/>
          <w:sz w:val="32"/>
          <w:szCs w:val="32"/>
          <w:lang w:eastAsia="zh-CN"/>
        </w:rPr>
        <w:t>（4）土地复垦目标</w:t>
      </w:r>
    </w:p>
    <w:p w14:paraId="27E3386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方正仿宋_GBK" w:cs="Times New Roman"/>
          <w:snapToGrid/>
          <w:kern w:val="0"/>
          <w:sz w:val="32"/>
          <w:szCs w:val="32"/>
          <w:lang w:eastAsia="zh-CN"/>
        </w:rPr>
      </w:pPr>
      <w:bookmarkStart w:id="13" w:name="_Toc29170909"/>
      <w:r>
        <w:rPr>
          <w:rFonts w:hint="default" w:ascii="Times New Roman" w:hAnsi="Times New Roman" w:eastAsia="方正仿宋_GBK" w:cs="Times New Roman"/>
          <w:snapToGrid/>
          <w:kern w:val="0"/>
          <w:sz w:val="32"/>
          <w:szCs w:val="32"/>
          <w:lang w:eastAsia="zh-CN"/>
        </w:rPr>
        <w:t>在尽量确保复垦方向与土地利用总体规划、周边景观保持一致的情况下，根据土地复垦适宜性评价结果，结合项目区自然环境特征，确定项目区最终的土地复垦方向、复垦面积及土地复垦率。</w:t>
      </w:r>
      <w:r>
        <w:rPr>
          <w:rFonts w:hint="default" w:ascii="Times New Roman" w:hAnsi="Times New Roman" w:eastAsia="方正仿宋_GBK" w:cs="Times New Roman"/>
          <w:snapToGrid/>
          <w:kern w:val="2"/>
          <w:sz w:val="32"/>
          <w:szCs w:val="32"/>
          <w:lang w:eastAsia="zh-CN"/>
        </w:rPr>
        <w:t>本方案土地复垦目标为恢复原有地类，本方案复垦区责任范围面积</w:t>
      </w:r>
      <w:r>
        <w:rPr>
          <w:rFonts w:hint="default" w:ascii="Times New Roman" w:hAnsi="Times New Roman" w:eastAsia="方正仿宋_GBK" w:cs="Times New Roman"/>
          <w:snapToGrid/>
          <w:kern w:val="2"/>
          <w:sz w:val="32"/>
          <w:szCs w:val="32"/>
          <w:lang w:val="en-US" w:eastAsia="zh-CN"/>
        </w:rPr>
        <w:t>4.6279</w:t>
      </w:r>
      <w:r>
        <w:rPr>
          <w:rFonts w:hint="default" w:ascii="Times New Roman" w:hAnsi="Times New Roman" w:eastAsia="方正仿宋_GBK" w:cs="Times New Roman"/>
          <w:snapToGrid/>
          <w:kern w:val="2"/>
          <w:sz w:val="32"/>
          <w:szCs w:val="32"/>
          <w:lang w:eastAsia="zh-CN"/>
        </w:rPr>
        <w:t>hm</w:t>
      </w:r>
      <w:r>
        <w:rPr>
          <w:rFonts w:hint="default" w:ascii="Times New Roman" w:hAnsi="Times New Roman" w:eastAsia="方正仿宋_GBK" w:cs="Times New Roman"/>
          <w:snapToGrid/>
          <w:kern w:val="2"/>
          <w:sz w:val="32"/>
          <w:szCs w:val="32"/>
          <w:vertAlign w:val="superscript"/>
          <w:lang w:eastAsia="zh-CN"/>
        </w:rPr>
        <w:t>2</w:t>
      </w:r>
      <w:r>
        <w:rPr>
          <w:rFonts w:hint="default" w:ascii="Times New Roman" w:hAnsi="Times New Roman" w:eastAsia="方正仿宋_GBK" w:cs="Times New Roman"/>
          <w:snapToGrid/>
          <w:kern w:val="2"/>
          <w:sz w:val="32"/>
          <w:szCs w:val="32"/>
          <w:lang w:eastAsia="zh-CN"/>
        </w:rPr>
        <w:t>，拟复垦土地面积</w:t>
      </w:r>
      <w:r>
        <w:rPr>
          <w:rFonts w:hint="default" w:ascii="Times New Roman" w:hAnsi="Times New Roman" w:eastAsia="方正仿宋_GBK" w:cs="Times New Roman"/>
          <w:snapToGrid/>
          <w:kern w:val="2"/>
          <w:sz w:val="32"/>
          <w:szCs w:val="32"/>
          <w:lang w:val="en-US" w:eastAsia="zh-CN"/>
        </w:rPr>
        <w:t>4.6279</w:t>
      </w:r>
      <w:r>
        <w:rPr>
          <w:rFonts w:hint="default" w:ascii="Times New Roman" w:hAnsi="Times New Roman" w:eastAsia="方正仿宋_GBK" w:cs="Times New Roman"/>
          <w:snapToGrid/>
          <w:kern w:val="2"/>
          <w:sz w:val="32"/>
          <w:szCs w:val="32"/>
          <w:lang w:eastAsia="zh-CN"/>
        </w:rPr>
        <w:t>hm</w:t>
      </w:r>
      <w:r>
        <w:rPr>
          <w:rFonts w:hint="default" w:ascii="Times New Roman" w:hAnsi="Times New Roman" w:eastAsia="方正仿宋_GBK" w:cs="Times New Roman"/>
          <w:snapToGrid/>
          <w:kern w:val="2"/>
          <w:sz w:val="32"/>
          <w:szCs w:val="32"/>
          <w:vertAlign w:val="superscript"/>
          <w:lang w:eastAsia="zh-CN"/>
        </w:rPr>
        <w:t>2</w:t>
      </w:r>
      <w:r>
        <w:rPr>
          <w:rFonts w:hint="default" w:ascii="Times New Roman" w:hAnsi="Times New Roman" w:eastAsia="方正仿宋_GBK" w:cs="Times New Roman"/>
          <w:snapToGrid/>
          <w:kern w:val="2"/>
          <w:sz w:val="32"/>
          <w:szCs w:val="32"/>
          <w:lang w:eastAsia="zh-CN"/>
        </w:rPr>
        <w:t>，土地复垦率为100%。</w:t>
      </w:r>
    </w:p>
    <w:p w14:paraId="3177E63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方正仿宋_GBK" w:cs="Times New Roman"/>
          <w:snapToGrid/>
          <w:kern w:val="2"/>
          <w:sz w:val="32"/>
          <w:szCs w:val="32"/>
          <w:lang w:eastAsia="zh-CN"/>
        </w:rPr>
      </w:pPr>
      <w:r>
        <w:rPr>
          <w:rFonts w:hint="default" w:ascii="Times New Roman" w:hAnsi="Times New Roman" w:eastAsia="方正仿宋_GBK" w:cs="Times New Roman"/>
          <w:snapToGrid/>
          <w:kern w:val="2"/>
          <w:sz w:val="32"/>
          <w:szCs w:val="32"/>
          <w:lang w:eastAsia="zh-CN"/>
        </w:rPr>
        <w:t>本方案复垦前后土地利用结构调整表见1-5。</w:t>
      </w:r>
    </w:p>
    <w:p w14:paraId="4207A490">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Cs w:val="22"/>
          <w:lang w:eastAsia="zh-CN"/>
        </w:rPr>
      </w:pPr>
      <w:r>
        <w:rPr>
          <w:rFonts w:hint="default" w:ascii="Times New Roman" w:hAnsi="Times New Roman" w:eastAsia="黑体" w:cs="Times New Roman"/>
          <w:snapToGrid/>
          <w:kern w:val="2"/>
          <w:szCs w:val="22"/>
          <w:lang w:eastAsia="zh-CN"/>
        </w:rPr>
        <w:t>表1-5   复垦前后土地利用结构调整表</w:t>
      </w:r>
    </w:p>
    <w:tbl>
      <w:tblPr>
        <w:tblStyle w:val="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927"/>
        <w:gridCol w:w="1847"/>
        <w:gridCol w:w="1848"/>
        <w:gridCol w:w="1289"/>
      </w:tblGrid>
      <w:tr w14:paraId="6BC6A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1626E0B6">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一级地类</w:t>
            </w:r>
          </w:p>
        </w:tc>
        <w:tc>
          <w:tcPr>
            <w:tcW w:w="1927" w:type="dxa"/>
            <w:noWrap w:val="0"/>
            <w:vAlign w:val="center"/>
          </w:tcPr>
          <w:p w14:paraId="651FE2DE">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二级地类</w:t>
            </w:r>
          </w:p>
        </w:tc>
        <w:tc>
          <w:tcPr>
            <w:tcW w:w="1847" w:type="dxa"/>
            <w:noWrap w:val="0"/>
            <w:vAlign w:val="center"/>
          </w:tcPr>
          <w:p w14:paraId="1033CA0F">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复垦前/hm</w:t>
            </w:r>
            <w:r>
              <w:rPr>
                <w:rFonts w:hint="default" w:ascii="Times New Roman" w:hAnsi="Times New Roman" w:eastAsia="仿宋" w:cs="Times New Roman"/>
                <w:snapToGrid/>
                <w:kern w:val="0"/>
                <w:szCs w:val="21"/>
                <w:highlight w:val="none"/>
                <w:vertAlign w:val="superscript"/>
                <w:lang w:eastAsia="zh-CN"/>
              </w:rPr>
              <w:t>2</w:t>
            </w:r>
          </w:p>
        </w:tc>
        <w:tc>
          <w:tcPr>
            <w:tcW w:w="1848" w:type="dxa"/>
            <w:noWrap w:val="0"/>
            <w:vAlign w:val="center"/>
          </w:tcPr>
          <w:p w14:paraId="7F8CFC26">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复垦后/hm</w:t>
            </w:r>
            <w:r>
              <w:rPr>
                <w:rFonts w:hint="default" w:ascii="Times New Roman" w:hAnsi="Times New Roman" w:eastAsia="仿宋" w:cs="Times New Roman"/>
                <w:snapToGrid/>
                <w:kern w:val="0"/>
                <w:szCs w:val="21"/>
                <w:highlight w:val="none"/>
                <w:vertAlign w:val="superscript"/>
                <w:lang w:eastAsia="zh-CN"/>
              </w:rPr>
              <w:t>2</w:t>
            </w:r>
          </w:p>
        </w:tc>
        <w:tc>
          <w:tcPr>
            <w:tcW w:w="1289" w:type="dxa"/>
            <w:noWrap w:val="0"/>
            <w:vAlign w:val="center"/>
          </w:tcPr>
          <w:p w14:paraId="4298CF98">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变幅/%</w:t>
            </w:r>
          </w:p>
        </w:tc>
      </w:tr>
      <w:tr w14:paraId="32BC4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773D66B7">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草地</w:t>
            </w:r>
          </w:p>
        </w:tc>
        <w:tc>
          <w:tcPr>
            <w:tcW w:w="1927" w:type="dxa"/>
            <w:noWrap w:val="0"/>
            <w:vAlign w:val="center"/>
          </w:tcPr>
          <w:p w14:paraId="74201D9A">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天然牧草地</w:t>
            </w:r>
          </w:p>
        </w:tc>
        <w:tc>
          <w:tcPr>
            <w:tcW w:w="1847" w:type="dxa"/>
            <w:noWrap w:val="0"/>
            <w:vAlign w:val="center"/>
          </w:tcPr>
          <w:p w14:paraId="464E6412">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4.6193 </w:t>
            </w:r>
          </w:p>
        </w:tc>
        <w:tc>
          <w:tcPr>
            <w:tcW w:w="1848" w:type="dxa"/>
            <w:noWrap w:val="0"/>
            <w:vAlign w:val="center"/>
          </w:tcPr>
          <w:p w14:paraId="4FBAF8A5">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4.6193 </w:t>
            </w:r>
          </w:p>
        </w:tc>
        <w:tc>
          <w:tcPr>
            <w:tcW w:w="1289" w:type="dxa"/>
            <w:noWrap w:val="0"/>
            <w:vAlign w:val="center"/>
          </w:tcPr>
          <w:p w14:paraId="75D0E06B">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default" w:ascii="Times New Roman" w:hAnsi="Times New Roman" w:eastAsia="等线" w:cs="Times New Roman"/>
                <w:snapToGrid/>
                <w:color w:val="000000"/>
                <w:kern w:val="0"/>
                <w:szCs w:val="21"/>
                <w:highlight w:val="none"/>
                <w:lang w:val="en-US" w:eastAsia="zh-CN"/>
              </w:rPr>
              <w:t>0%</w:t>
            </w:r>
          </w:p>
        </w:tc>
      </w:tr>
      <w:tr w14:paraId="13F05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5085A665">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eastAsia" w:ascii="仿宋" w:hAnsi="仿宋" w:eastAsia="仿宋" w:cs="仿宋"/>
                <w:snapToGrid/>
                <w:kern w:val="2"/>
                <w:sz w:val="21"/>
                <w:szCs w:val="22"/>
                <w:lang w:val="en-US" w:eastAsia="zh-CN"/>
              </w:rPr>
              <w:t>交通运输用地</w:t>
            </w:r>
          </w:p>
        </w:tc>
        <w:tc>
          <w:tcPr>
            <w:tcW w:w="1927" w:type="dxa"/>
            <w:noWrap w:val="0"/>
            <w:vAlign w:val="center"/>
          </w:tcPr>
          <w:p w14:paraId="5B0332D5">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仿宋" w:cs="Times New Roman"/>
                <w:snapToGrid/>
                <w:kern w:val="0"/>
                <w:szCs w:val="21"/>
                <w:highlight w:val="none"/>
                <w:lang w:val="en-US" w:eastAsia="zh-CN"/>
              </w:rPr>
              <w:t>公路用地</w:t>
            </w:r>
          </w:p>
        </w:tc>
        <w:tc>
          <w:tcPr>
            <w:tcW w:w="1847" w:type="dxa"/>
            <w:noWrap w:val="0"/>
            <w:vAlign w:val="center"/>
          </w:tcPr>
          <w:p w14:paraId="70F5462F">
            <w:pPr>
              <w:widowControl w:val="0"/>
              <w:kinsoku/>
              <w:autoSpaceDE/>
              <w:autoSpaceDN/>
              <w:adjustRightInd/>
              <w:snapToGrid/>
              <w:spacing w:line="300" w:lineRule="exact"/>
              <w:jc w:val="center"/>
              <w:textAlignment w:val="auto"/>
              <w:rPr>
                <w:rFonts w:hint="eastAsia"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0.0086</w:t>
            </w:r>
          </w:p>
        </w:tc>
        <w:tc>
          <w:tcPr>
            <w:tcW w:w="1848" w:type="dxa"/>
            <w:noWrap w:val="0"/>
            <w:vAlign w:val="center"/>
          </w:tcPr>
          <w:p w14:paraId="3808EC8A">
            <w:pPr>
              <w:widowControl w:val="0"/>
              <w:kinsoku/>
              <w:autoSpaceDE/>
              <w:autoSpaceDN/>
              <w:adjustRightInd/>
              <w:snapToGrid/>
              <w:spacing w:line="300" w:lineRule="exact"/>
              <w:jc w:val="center"/>
              <w:textAlignment w:val="auto"/>
              <w:rPr>
                <w:rFonts w:hint="eastAsia"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0.0086</w:t>
            </w:r>
          </w:p>
        </w:tc>
        <w:tc>
          <w:tcPr>
            <w:tcW w:w="1289" w:type="dxa"/>
            <w:noWrap w:val="0"/>
            <w:vAlign w:val="center"/>
          </w:tcPr>
          <w:p w14:paraId="023B6BE4">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default" w:ascii="Times New Roman" w:hAnsi="Times New Roman" w:eastAsia="等线" w:cs="Times New Roman"/>
                <w:snapToGrid/>
                <w:color w:val="000000"/>
                <w:kern w:val="0"/>
                <w:szCs w:val="21"/>
                <w:highlight w:val="none"/>
                <w:lang w:val="en-US" w:eastAsia="zh-CN"/>
              </w:rPr>
              <w:t>0%</w:t>
            </w:r>
          </w:p>
        </w:tc>
      </w:tr>
      <w:tr w14:paraId="6135C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534" w:type="dxa"/>
            <w:gridSpan w:val="2"/>
            <w:noWrap w:val="0"/>
            <w:vAlign w:val="center"/>
          </w:tcPr>
          <w:p w14:paraId="1E80AF09">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合计</w:t>
            </w:r>
          </w:p>
        </w:tc>
        <w:tc>
          <w:tcPr>
            <w:tcW w:w="1847" w:type="dxa"/>
            <w:noWrap w:val="0"/>
            <w:vAlign w:val="center"/>
          </w:tcPr>
          <w:p w14:paraId="58D5F175">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4.6279</w:t>
            </w:r>
          </w:p>
        </w:tc>
        <w:tc>
          <w:tcPr>
            <w:tcW w:w="1848" w:type="dxa"/>
            <w:noWrap w:val="0"/>
            <w:vAlign w:val="center"/>
          </w:tcPr>
          <w:p w14:paraId="01F1DD96">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4.6279</w:t>
            </w:r>
          </w:p>
        </w:tc>
        <w:tc>
          <w:tcPr>
            <w:tcW w:w="1289" w:type="dxa"/>
            <w:noWrap w:val="0"/>
            <w:vAlign w:val="center"/>
          </w:tcPr>
          <w:p w14:paraId="48D01103">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bl>
    <w:p w14:paraId="732ACF8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snapToGrid/>
          <w:kern w:val="2"/>
          <w:sz w:val="32"/>
          <w:szCs w:val="32"/>
          <w:lang w:eastAsia="zh-CN"/>
        </w:rPr>
      </w:pPr>
      <w:r>
        <w:rPr>
          <w:rFonts w:hint="default" w:ascii="Times New Roman" w:hAnsi="Times New Roman" w:eastAsia="方正仿宋_GBK" w:cs="Times New Roman"/>
          <w:b/>
          <w:snapToGrid/>
          <w:kern w:val="2"/>
          <w:sz w:val="32"/>
          <w:szCs w:val="32"/>
          <w:lang w:eastAsia="zh-CN"/>
        </w:rPr>
        <w:t>（5）复垦的投资情况</w:t>
      </w:r>
    </w:p>
    <w:bookmarkEnd w:id="13"/>
    <w:p w14:paraId="5DBC9D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方正仿宋_GBK" w:cs="Times New Roman"/>
          <w:snapToGrid/>
          <w:kern w:val="2"/>
          <w:sz w:val="32"/>
          <w:szCs w:val="32"/>
          <w:lang w:eastAsia="zh-CN"/>
        </w:rPr>
      </w:pPr>
      <w:r>
        <w:rPr>
          <w:rFonts w:hint="default" w:ascii="Times New Roman" w:hAnsi="Times New Roman" w:eastAsia="方正仿宋_GBK" w:cs="Times New Roman"/>
          <w:snapToGrid/>
          <w:kern w:val="2"/>
          <w:sz w:val="32"/>
          <w:szCs w:val="32"/>
          <w:lang w:eastAsia="zh-CN"/>
        </w:rPr>
        <w:t>本项目复垦投资依据复垦工程内容及工程量进行估算，复垦静态总投资</w:t>
      </w:r>
      <w:r>
        <w:rPr>
          <w:rFonts w:hint="eastAsia" w:ascii="Times New Roman" w:hAnsi="Times New Roman" w:eastAsia="方正仿宋_GBK" w:cs="Times New Roman"/>
          <w:snapToGrid/>
          <w:kern w:val="2"/>
          <w:sz w:val="32"/>
          <w:szCs w:val="32"/>
          <w:lang w:val="en-US" w:eastAsia="zh-CN"/>
        </w:rPr>
        <w:t>10.15万元</w:t>
      </w:r>
      <w:r>
        <w:rPr>
          <w:rFonts w:hint="default" w:ascii="Times New Roman" w:hAnsi="Times New Roman" w:eastAsia="方正仿宋_GBK" w:cs="Times New Roman"/>
          <w:snapToGrid/>
          <w:kern w:val="2"/>
          <w:sz w:val="32"/>
          <w:szCs w:val="32"/>
          <w:lang w:eastAsia="zh-CN"/>
        </w:rPr>
        <w:t>，静态亩均投资</w:t>
      </w:r>
      <w:r>
        <w:rPr>
          <w:rFonts w:hint="eastAsia" w:ascii="Times New Roman" w:hAnsi="Times New Roman" w:eastAsia="方正仿宋_GBK" w:cs="Times New Roman"/>
          <w:snapToGrid/>
          <w:kern w:val="2"/>
          <w:sz w:val="32"/>
          <w:szCs w:val="32"/>
          <w:lang w:val="en-US" w:eastAsia="zh-CN"/>
        </w:rPr>
        <w:t>约1462元</w:t>
      </w:r>
      <w:r>
        <w:rPr>
          <w:rFonts w:hint="default" w:ascii="Times New Roman" w:hAnsi="Times New Roman" w:eastAsia="方正仿宋_GBK" w:cs="Times New Roman"/>
          <w:snapToGrid/>
          <w:kern w:val="2"/>
          <w:sz w:val="32"/>
          <w:szCs w:val="32"/>
          <w:lang w:eastAsia="zh-CN"/>
        </w:rPr>
        <w:t>。其中：工程施工费</w:t>
      </w:r>
      <w:r>
        <w:rPr>
          <w:rFonts w:hint="eastAsia" w:ascii="Times New Roman" w:hAnsi="Times New Roman" w:eastAsia="方正仿宋_GBK" w:cs="Times New Roman"/>
          <w:snapToGrid/>
          <w:kern w:val="2"/>
          <w:sz w:val="32"/>
          <w:szCs w:val="32"/>
          <w:lang w:val="en-US" w:eastAsia="zh-CN"/>
        </w:rPr>
        <w:t>7.15</w:t>
      </w:r>
      <w:r>
        <w:rPr>
          <w:rFonts w:hint="default" w:ascii="Times New Roman" w:hAnsi="Times New Roman" w:eastAsia="方正仿宋_GBK" w:cs="Times New Roman"/>
          <w:snapToGrid/>
          <w:kern w:val="2"/>
          <w:sz w:val="32"/>
          <w:szCs w:val="32"/>
          <w:lang w:eastAsia="zh-CN"/>
        </w:rPr>
        <w:t>万元，其他费用</w:t>
      </w:r>
      <w:r>
        <w:rPr>
          <w:rFonts w:hint="eastAsia" w:ascii="Times New Roman" w:hAnsi="Times New Roman" w:eastAsia="方正仿宋_GBK" w:cs="Times New Roman"/>
          <w:snapToGrid/>
          <w:kern w:val="2"/>
          <w:sz w:val="32"/>
          <w:szCs w:val="32"/>
          <w:lang w:val="en-US" w:eastAsia="zh-CN"/>
        </w:rPr>
        <w:t>0.81万</w:t>
      </w:r>
      <w:r>
        <w:rPr>
          <w:rFonts w:hint="default" w:ascii="Times New Roman" w:hAnsi="Times New Roman" w:eastAsia="方正仿宋_GBK" w:cs="Times New Roman"/>
          <w:snapToGrid/>
          <w:kern w:val="2"/>
          <w:sz w:val="32"/>
          <w:szCs w:val="32"/>
          <w:lang w:eastAsia="zh-CN"/>
        </w:rPr>
        <w:t>元，监测费</w:t>
      </w:r>
      <w:r>
        <w:rPr>
          <w:rFonts w:hint="eastAsia" w:ascii="Times New Roman" w:hAnsi="Times New Roman" w:eastAsia="方正仿宋_GBK" w:cs="Times New Roman"/>
          <w:snapToGrid/>
          <w:kern w:val="2"/>
          <w:sz w:val="32"/>
          <w:szCs w:val="32"/>
          <w:lang w:val="en-US" w:eastAsia="zh-CN"/>
        </w:rPr>
        <w:t>1.08万</w:t>
      </w:r>
      <w:r>
        <w:rPr>
          <w:rFonts w:hint="default" w:ascii="Times New Roman" w:hAnsi="Times New Roman" w:eastAsia="方正仿宋_GBK" w:cs="Times New Roman"/>
          <w:snapToGrid/>
          <w:kern w:val="2"/>
          <w:sz w:val="32"/>
          <w:szCs w:val="32"/>
          <w:lang w:eastAsia="zh-CN"/>
        </w:rPr>
        <w:t>元，管护费</w:t>
      </w:r>
      <w:r>
        <w:rPr>
          <w:rFonts w:hint="eastAsia" w:ascii="Times New Roman" w:hAnsi="Times New Roman" w:eastAsia="方正仿宋_GBK" w:cs="Times New Roman"/>
          <w:snapToGrid/>
          <w:kern w:val="2"/>
          <w:sz w:val="32"/>
          <w:szCs w:val="32"/>
          <w:lang w:val="en-US" w:eastAsia="zh-CN"/>
        </w:rPr>
        <w:t>0.87万</w:t>
      </w:r>
      <w:r>
        <w:rPr>
          <w:rFonts w:hint="default" w:ascii="Times New Roman" w:hAnsi="Times New Roman" w:eastAsia="方正仿宋_GBK" w:cs="Times New Roman"/>
          <w:snapToGrid/>
          <w:kern w:val="2"/>
          <w:sz w:val="32"/>
          <w:szCs w:val="32"/>
          <w:lang w:eastAsia="zh-CN"/>
        </w:rPr>
        <w:t>元，预备费</w:t>
      </w:r>
      <w:r>
        <w:rPr>
          <w:rFonts w:hint="eastAsia" w:ascii="Times New Roman" w:hAnsi="Times New Roman" w:eastAsia="方正仿宋_GBK" w:cs="Times New Roman"/>
          <w:snapToGrid/>
          <w:kern w:val="2"/>
          <w:sz w:val="32"/>
          <w:szCs w:val="32"/>
          <w:lang w:val="en-US" w:eastAsia="zh-CN"/>
        </w:rPr>
        <w:t>0.24</w:t>
      </w:r>
      <w:r>
        <w:rPr>
          <w:rFonts w:hint="default" w:ascii="Times New Roman" w:hAnsi="Times New Roman" w:eastAsia="方正仿宋_GBK" w:cs="Times New Roman"/>
          <w:snapToGrid/>
          <w:kern w:val="2"/>
          <w:sz w:val="32"/>
          <w:szCs w:val="32"/>
          <w:lang w:eastAsia="zh-CN"/>
        </w:rPr>
        <w:t>万元。</w:t>
      </w:r>
    </w:p>
    <w:p w14:paraId="69A20C1B">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8</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26</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系</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0EACDA32">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564283BB">
      <w:pPr>
        <w:pStyle w:val="2"/>
        <w:rPr>
          <w:rFonts w:hint="default"/>
          <w:lang w:val="en-US" w:eastAsia="zh-CN"/>
        </w:rPr>
      </w:pPr>
    </w:p>
    <w:p w14:paraId="4C3B6ABF">
      <w:pPr>
        <w:pStyle w:val="2"/>
        <w:rPr>
          <w:rFonts w:hint="default"/>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5120" w:firstLineChars="16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5120" w:firstLineChars="16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26日</w:t>
      </w: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3460CD54">
      <w:pPr>
        <w:spacing w:line="560" w:lineRule="exact"/>
        <w:ind w:firstLine="320" w:firstLineChars="100"/>
        <w:jc w:val="left"/>
        <w:rPr>
          <w:rFonts w:hint="default" w:ascii="仿宋" w:hAnsi="仿宋" w:eastAsia="仿宋" w:cs="Times New Roman"/>
          <w:color w:val="00000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14"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26</w:t>
      </w:r>
      <w:r>
        <w:rPr>
          <w:rFonts w:hint="eastAsia" w:ascii="仿宋" w:hAnsi="仿宋" w:eastAsia="仿宋" w:cs="Times New Roman"/>
          <w:color w:val="000000"/>
          <w:sz w:val="32"/>
          <w:szCs w:val="32"/>
        </w:rPr>
        <w:t>日</w:t>
      </w:r>
      <w:bookmarkEnd w:id="14"/>
      <w:r>
        <w:rPr>
          <w:rFonts w:hint="eastAsia" w:ascii="仿宋" w:hAnsi="仿宋" w:eastAsia="仿宋" w:cs="Times New Roman"/>
          <w:color w:val="000000"/>
          <w:sz w:val="32"/>
          <w:szCs w:val="32"/>
        </w:rPr>
        <w:t>印发</w:t>
      </w:r>
    </w:p>
    <w:sectPr>
      <w:pgSz w:w="11906" w:h="16838"/>
      <w:pgMar w:top="1871" w:right="1531" w:bottom="1984" w:left="1531" w:header="851" w:footer="992"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3A7C2A74"/>
    <w:rsid w:val="1B256297"/>
    <w:rsid w:val="2B6A5CC1"/>
    <w:rsid w:val="2CCC6994"/>
    <w:rsid w:val="3A7C2A74"/>
    <w:rsid w:val="3BC12C0B"/>
    <w:rsid w:val="545C3B9F"/>
    <w:rsid w:val="7C6E648D"/>
    <w:rsid w:val="7E57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styleId="3">
    <w:name w:val="Body Text Indent"/>
    <w:qFormat/>
    <w:uiPriority w:val="0"/>
    <w:pPr>
      <w:widowControl w:val="0"/>
      <w:spacing w:after="120"/>
      <w:ind w:left="420" w:leftChars="200"/>
      <w:jc w:val="both"/>
    </w:pPr>
    <w:rPr>
      <w:rFonts w:ascii="Times New Roman" w:hAnsi="Times New Roman" w:eastAsia="宋体" w:cs="Times New Roman"/>
      <w:kern w:val="2"/>
      <w:sz w:val="24"/>
      <w:szCs w:val="24"/>
      <w:lang w:val="en-US" w:eastAsia="zh-CN" w:bidi="ar-SA"/>
    </w:r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x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paragraph" w:customStyle="1" w:styleId="9">
    <w:name w:val="报告正文"/>
    <w:qFormat/>
    <w:uiPriority w:val="0"/>
    <w:pPr>
      <w:widowControl w:val="0"/>
      <w:adjustRightInd w:val="0"/>
      <w:snapToGrid w:val="0"/>
      <w:spacing w:line="300" w:lineRule="auto"/>
      <w:jc w:val="both"/>
    </w:pPr>
    <w:rPr>
      <w:rFonts w:ascii="宋体"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2754</Words>
  <Characters>3268</Characters>
  <Lines>0</Lines>
  <Paragraphs>0</Paragraphs>
  <TotalTime>20</TotalTime>
  <ScaleCrop>false</ScaleCrop>
  <LinksUpToDate>false</LinksUpToDate>
  <CharactersWithSpaces>3320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2024-08-22T03:10:00Z</dcterms:created>
  <dc:creator></dc:creator>
  <cp:lastModifiedBy>觉伦图尔根</cp:lastModifiedBy>
  <cp:lastPrinted>2024-08-23T11:57:00Z</cp:lastPrinted>
  <dcterms:modified xsi:type="dcterms:W3CDTF">2024-08-26T03:47:06Z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293ECDD53B5D425CA165CC3892015A8F_13</vt:lpwstr>
  </property>
</Properties>
</file>